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9C3" w:rsidRPr="00E96121" w:rsidRDefault="00BC79C3" w:rsidP="00BC79C3">
      <w:pPr>
        <w:rPr>
          <w:rFonts w:cs="Arial"/>
          <w:sz w:val="20"/>
          <w:szCs w:val="20"/>
        </w:rPr>
      </w:pPr>
      <w:bookmarkStart w:id="0" w:name="_Toc401150092"/>
      <w:bookmarkStart w:id="1" w:name="_Toc393879197"/>
    </w:p>
    <w:p w:rsidR="00BC79C3" w:rsidRPr="00E96121" w:rsidRDefault="00BC79C3" w:rsidP="00BC79C3">
      <w:pPr>
        <w:rPr>
          <w:rFonts w:cs="Arial"/>
          <w:sz w:val="20"/>
          <w:szCs w:val="20"/>
        </w:rPr>
      </w:pPr>
    </w:p>
    <w:p w:rsidR="00BC79C3" w:rsidRPr="00E96121" w:rsidRDefault="00BC79C3" w:rsidP="00BC79C3">
      <w:pPr>
        <w:rPr>
          <w:rFonts w:cs="Arial"/>
          <w:sz w:val="20"/>
          <w:szCs w:val="20"/>
        </w:rPr>
      </w:pPr>
      <w:bookmarkStart w:id="2" w:name="_Toc127343746"/>
    </w:p>
    <w:p w:rsidR="00BC79C3" w:rsidRPr="00E96121" w:rsidRDefault="00BC79C3" w:rsidP="00BC79C3">
      <w:pPr>
        <w:rPr>
          <w:rFonts w:cs="Arial"/>
          <w:sz w:val="20"/>
          <w:szCs w:val="20"/>
        </w:rPr>
      </w:pPr>
    </w:p>
    <w:bookmarkStart w:id="3" w:name="_Toc223158046"/>
    <w:bookmarkEnd w:id="2"/>
    <w:p w:rsidR="00BC79C3" w:rsidRPr="004843FD" w:rsidRDefault="00BC79C3" w:rsidP="00BC79C3">
      <w:pPr>
        <w:spacing w:before="320"/>
        <w:jc w:val="left"/>
        <w:rPr>
          <w:rFonts w:ascii="Times New Roman" w:hAnsi="Times New Roman"/>
          <w:color w:val="002776" w:themeColor="text2"/>
          <w:sz w:val="60"/>
          <w:szCs w:val="60"/>
        </w:rPr>
      </w:pPr>
      <w:r w:rsidRPr="004843FD">
        <w:rPr>
          <w:rFonts w:cs="Arial"/>
          <w:noProof/>
          <w:sz w:val="20"/>
          <w:szCs w:val="20"/>
          <w:lang w:eastAsia="cs-CZ"/>
        </w:rPr>
        <mc:AlternateContent>
          <mc:Choice Requires="wps">
            <w:drawing>
              <wp:anchor distT="0" distB="0" distL="114300" distR="114300" simplePos="0" relativeHeight="251938816" behindDoc="0" locked="0" layoutInCell="1" allowOverlap="1" wp14:anchorId="7A7CEE6A" wp14:editId="25D357BD">
                <wp:simplePos x="0" y="0"/>
                <wp:positionH relativeFrom="column">
                  <wp:posOffset>536227</wp:posOffset>
                </wp:positionH>
                <wp:positionV relativeFrom="paragraph">
                  <wp:posOffset>632712</wp:posOffset>
                </wp:positionV>
                <wp:extent cx="5224145" cy="5770880"/>
                <wp:effectExtent l="0" t="0" r="0" b="1270"/>
                <wp:wrapNone/>
                <wp:docPr id="11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145" cy="577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B77" w:rsidRPr="00191710" w:rsidRDefault="00F61B77" w:rsidP="00271CDF">
                            <w:pPr>
                              <w:jc w:val="left"/>
                              <w:rPr>
                                <w:rFonts w:ascii="Times New Roman" w:hAnsi="Times New Roman"/>
                                <w:color w:val="002776"/>
                                <w:sz w:val="48"/>
                                <w:szCs w:val="70"/>
                              </w:rPr>
                            </w:pPr>
                            <w:r>
                              <w:rPr>
                                <w:rFonts w:ascii="Times New Roman" w:hAnsi="Times New Roman"/>
                                <w:color w:val="002776"/>
                                <w:sz w:val="48"/>
                                <w:szCs w:val="70"/>
                              </w:rPr>
                              <w:t>Předběžné posouzení využití finančního nástroje v IROP</w:t>
                            </w:r>
                          </w:p>
                          <w:p w:rsidR="00F61B77" w:rsidRDefault="00F61B77" w:rsidP="00271CDF">
                            <w:pPr>
                              <w:jc w:val="left"/>
                              <w:rPr>
                                <w:rFonts w:ascii="Times New Roman" w:hAnsi="Times New Roman"/>
                                <w:color w:val="92D400" w:themeColor="accent2"/>
                                <w:sz w:val="48"/>
                                <w:szCs w:val="70"/>
                              </w:rPr>
                            </w:pPr>
                          </w:p>
                          <w:p w:rsidR="00F61B77" w:rsidRPr="00191710" w:rsidRDefault="00F61B77" w:rsidP="00271CDF">
                            <w:pPr>
                              <w:jc w:val="left"/>
                              <w:rPr>
                                <w:rFonts w:ascii="Times New Roman" w:hAnsi="Times New Roman"/>
                                <w:color w:val="92D400" w:themeColor="accent2"/>
                                <w:sz w:val="48"/>
                                <w:szCs w:val="70"/>
                              </w:rPr>
                            </w:pPr>
                            <w:r w:rsidRPr="00191710">
                              <w:rPr>
                                <w:rFonts w:ascii="Times New Roman" w:hAnsi="Times New Roman"/>
                                <w:color w:val="92D400" w:themeColor="accent2"/>
                                <w:sz w:val="48"/>
                                <w:szCs w:val="70"/>
                              </w:rPr>
                              <w:t xml:space="preserve">Ministerstvo </w:t>
                            </w:r>
                            <w:r>
                              <w:rPr>
                                <w:rFonts w:ascii="Times New Roman" w:hAnsi="Times New Roman"/>
                                <w:color w:val="92D400" w:themeColor="accent2"/>
                                <w:sz w:val="48"/>
                                <w:szCs w:val="70"/>
                              </w:rPr>
                              <w:t>pro místní rozvoj</w:t>
                            </w:r>
                          </w:p>
                          <w:p w:rsidR="00F61B77" w:rsidRDefault="00F61B77" w:rsidP="00271CDF">
                            <w:pPr>
                              <w:jc w:val="left"/>
                              <w:rPr>
                                <w:rFonts w:ascii="Times New Roman" w:hAnsi="Times New Roman"/>
                                <w:color w:val="92D400" w:themeColor="accent2"/>
                                <w:sz w:val="28"/>
                                <w:szCs w:val="56"/>
                              </w:rPr>
                            </w:pPr>
                          </w:p>
                          <w:p w:rsidR="00F61B77" w:rsidRPr="00191710" w:rsidRDefault="00F61B77" w:rsidP="00271CDF">
                            <w:pPr>
                              <w:jc w:val="left"/>
                              <w:rPr>
                                <w:rFonts w:ascii="Times New Roman" w:hAnsi="Times New Roman"/>
                                <w:color w:val="92D400" w:themeColor="accent2"/>
                                <w:sz w:val="28"/>
                                <w:szCs w:val="56"/>
                              </w:rPr>
                            </w:pPr>
                          </w:p>
                          <w:p w:rsidR="00F61B77" w:rsidRDefault="00F61B77" w:rsidP="00271CDF">
                            <w:pPr>
                              <w:jc w:val="left"/>
                              <w:rPr>
                                <w:rFonts w:ascii="Times New Roman" w:hAnsi="Times New Roman"/>
                                <w:color w:val="002776" w:themeColor="accent1"/>
                                <w:sz w:val="32"/>
                                <w:szCs w:val="56"/>
                              </w:rPr>
                            </w:pPr>
                          </w:p>
                          <w:p w:rsidR="00F61B77" w:rsidRDefault="00F61B77" w:rsidP="00271CDF">
                            <w:pPr>
                              <w:jc w:val="left"/>
                              <w:rPr>
                                <w:rFonts w:ascii="Times New Roman" w:hAnsi="Times New Roman"/>
                                <w:color w:val="002776" w:themeColor="accent1"/>
                                <w:sz w:val="32"/>
                                <w:szCs w:val="56"/>
                              </w:rPr>
                            </w:pPr>
                          </w:p>
                          <w:p w:rsidR="00F61B77" w:rsidRDefault="00F61B77" w:rsidP="00271CDF">
                            <w:pPr>
                              <w:jc w:val="left"/>
                              <w:rPr>
                                <w:rFonts w:ascii="Times New Roman" w:hAnsi="Times New Roman"/>
                                <w:color w:val="002776" w:themeColor="accent1"/>
                                <w:sz w:val="32"/>
                                <w:szCs w:val="56"/>
                              </w:rPr>
                            </w:pPr>
                          </w:p>
                          <w:p w:rsidR="00F61B77" w:rsidRPr="003E6EC4" w:rsidRDefault="00F61B77" w:rsidP="00271CDF">
                            <w:pPr>
                              <w:jc w:val="left"/>
                              <w:rPr>
                                <w:rFonts w:ascii="Times New Roman" w:hAnsi="Times New Roman"/>
                                <w:b/>
                                <w:color w:val="002776" w:themeColor="accent1"/>
                                <w:sz w:val="48"/>
                                <w:szCs w:val="56"/>
                              </w:rPr>
                            </w:pPr>
                            <w:r>
                              <w:rPr>
                                <w:rFonts w:ascii="Times New Roman" w:hAnsi="Times New Roman"/>
                                <w:b/>
                                <w:color w:val="002776" w:themeColor="accent1"/>
                                <w:sz w:val="48"/>
                                <w:szCs w:val="56"/>
                              </w:rPr>
                              <w:t>Závěrečná zpráva projektu</w:t>
                            </w:r>
                          </w:p>
                          <w:p w:rsidR="00F61B77" w:rsidRDefault="00F61B77" w:rsidP="00271CDF">
                            <w:pPr>
                              <w:jc w:val="left"/>
                              <w:rPr>
                                <w:rFonts w:ascii="Times New Roman" w:hAnsi="Times New Roman"/>
                                <w:color w:val="002776" w:themeColor="accent1"/>
                                <w:sz w:val="32"/>
                                <w:szCs w:val="56"/>
                              </w:rPr>
                            </w:pPr>
                          </w:p>
                          <w:p w:rsidR="00F61B77" w:rsidRDefault="00F61B77" w:rsidP="00271CDF">
                            <w:pPr>
                              <w:jc w:val="left"/>
                              <w:rPr>
                                <w:rFonts w:ascii="Times New Roman" w:hAnsi="Times New Roman"/>
                                <w:color w:val="002776" w:themeColor="accent1"/>
                                <w:sz w:val="32"/>
                                <w:szCs w:val="56"/>
                              </w:rPr>
                            </w:pPr>
                          </w:p>
                          <w:p w:rsidR="00F61B77" w:rsidRDefault="00F61B77" w:rsidP="00271CDF">
                            <w:pPr>
                              <w:jc w:val="left"/>
                              <w:rPr>
                                <w:rFonts w:ascii="Times New Roman" w:hAnsi="Times New Roman"/>
                                <w:color w:val="002776" w:themeColor="accent1"/>
                                <w:sz w:val="32"/>
                                <w:szCs w:val="56"/>
                              </w:rPr>
                            </w:pPr>
                          </w:p>
                          <w:p w:rsidR="00F61B77" w:rsidRDefault="00F61B77" w:rsidP="00BC79C3">
                            <w:pPr>
                              <w:jc w:val="left"/>
                              <w:rPr>
                                <w:rFonts w:ascii="Times New Roman" w:hAnsi="Times New Roman"/>
                                <w:color w:val="002776" w:themeColor="accent1"/>
                                <w:sz w:val="32"/>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0" o:spid="_x0000_s1026" type="#_x0000_t202" style="position:absolute;margin-left:42.2pt;margin-top:49.8pt;width:411.35pt;height:454.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epuQIAAL4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" filled="f" stroked="f">
                <v:textbox>
                  <w:txbxContent>
                    <w:p w:rsidR="00F61B77" w:rsidRPr="00191710" w:rsidRDefault="00F61B77" w:rsidP="00271CDF">
                      <w:pPr>
                        <w:jc w:val="left"/>
                        <w:rPr>
                          <w:rFonts w:ascii="Times New Roman" w:hAnsi="Times New Roman"/>
                          <w:color w:val="002776"/>
                          <w:sz w:val="48"/>
                          <w:szCs w:val="70"/>
                        </w:rPr>
                      </w:pPr>
                      <w:r>
                        <w:rPr>
                          <w:rFonts w:ascii="Times New Roman" w:hAnsi="Times New Roman"/>
                          <w:color w:val="002776"/>
                          <w:sz w:val="48"/>
                          <w:szCs w:val="70"/>
                        </w:rPr>
                        <w:t>Předběžné posouzení využití finančního nástroje v IROP</w:t>
                      </w:r>
                    </w:p>
                    <w:p w:rsidR="00F61B77" w:rsidRDefault="00F61B77" w:rsidP="00271CDF">
                      <w:pPr>
                        <w:jc w:val="left"/>
                        <w:rPr>
                          <w:rFonts w:ascii="Times New Roman" w:hAnsi="Times New Roman"/>
                          <w:color w:val="92D400" w:themeColor="accent2"/>
                          <w:sz w:val="48"/>
                          <w:szCs w:val="70"/>
                        </w:rPr>
                      </w:pPr>
                    </w:p>
                    <w:p w:rsidR="00F61B77" w:rsidRPr="00191710" w:rsidRDefault="00F61B77" w:rsidP="00271CDF">
                      <w:pPr>
                        <w:jc w:val="left"/>
                        <w:rPr>
                          <w:rFonts w:ascii="Times New Roman" w:hAnsi="Times New Roman"/>
                          <w:color w:val="92D400" w:themeColor="accent2"/>
                          <w:sz w:val="48"/>
                          <w:szCs w:val="70"/>
                        </w:rPr>
                      </w:pPr>
                      <w:r w:rsidRPr="00191710">
                        <w:rPr>
                          <w:rFonts w:ascii="Times New Roman" w:hAnsi="Times New Roman"/>
                          <w:color w:val="92D400" w:themeColor="accent2"/>
                          <w:sz w:val="48"/>
                          <w:szCs w:val="70"/>
                        </w:rPr>
                        <w:t xml:space="preserve">Ministerstvo </w:t>
                      </w:r>
                      <w:r>
                        <w:rPr>
                          <w:rFonts w:ascii="Times New Roman" w:hAnsi="Times New Roman"/>
                          <w:color w:val="92D400" w:themeColor="accent2"/>
                          <w:sz w:val="48"/>
                          <w:szCs w:val="70"/>
                        </w:rPr>
                        <w:t>pro místní rozvoj</w:t>
                      </w:r>
                    </w:p>
                    <w:p w:rsidR="00F61B77" w:rsidRDefault="00F61B77" w:rsidP="00271CDF">
                      <w:pPr>
                        <w:jc w:val="left"/>
                        <w:rPr>
                          <w:rFonts w:ascii="Times New Roman" w:hAnsi="Times New Roman"/>
                          <w:color w:val="92D400" w:themeColor="accent2"/>
                          <w:sz w:val="28"/>
                          <w:szCs w:val="56"/>
                        </w:rPr>
                      </w:pPr>
                    </w:p>
                    <w:p w:rsidR="00F61B77" w:rsidRPr="00191710" w:rsidRDefault="00F61B77" w:rsidP="00271CDF">
                      <w:pPr>
                        <w:jc w:val="left"/>
                        <w:rPr>
                          <w:rFonts w:ascii="Times New Roman" w:hAnsi="Times New Roman"/>
                          <w:color w:val="92D400" w:themeColor="accent2"/>
                          <w:sz w:val="28"/>
                          <w:szCs w:val="56"/>
                        </w:rPr>
                      </w:pPr>
                    </w:p>
                    <w:p w:rsidR="00F61B77" w:rsidRDefault="00F61B77" w:rsidP="00271CDF">
                      <w:pPr>
                        <w:jc w:val="left"/>
                        <w:rPr>
                          <w:rFonts w:ascii="Times New Roman" w:hAnsi="Times New Roman"/>
                          <w:color w:val="002776" w:themeColor="accent1"/>
                          <w:sz w:val="32"/>
                          <w:szCs w:val="56"/>
                        </w:rPr>
                      </w:pPr>
                    </w:p>
                    <w:p w:rsidR="00F61B77" w:rsidRDefault="00F61B77" w:rsidP="00271CDF">
                      <w:pPr>
                        <w:jc w:val="left"/>
                        <w:rPr>
                          <w:rFonts w:ascii="Times New Roman" w:hAnsi="Times New Roman"/>
                          <w:color w:val="002776" w:themeColor="accent1"/>
                          <w:sz w:val="32"/>
                          <w:szCs w:val="56"/>
                        </w:rPr>
                      </w:pPr>
                    </w:p>
                    <w:p w:rsidR="00F61B77" w:rsidRDefault="00F61B77" w:rsidP="00271CDF">
                      <w:pPr>
                        <w:jc w:val="left"/>
                        <w:rPr>
                          <w:rFonts w:ascii="Times New Roman" w:hAnsi="Times New Roman"/>
                          <w:color w:val="002776" w:themeColor="accent1"/>
                          <w:sz w:val="32"/>
                          <w:szCs w:val="56"/>
                        </w:rPr>
                      </w:pPr>
                    </w:p>
                    <w:p w:rsidR="00F61B77" w:rsidRPr="003E6EC4" w:rsidRDefault="00F61B77" w:rsidP="00271CDF">
                      <w:pPr>
                        <w:jc w:val="left"/>
                        <w:rPr>
                          <w:rFonts w:ascii="Times New Roman" w:hAnsi="Times New Roman"/>
                          <w:b/>
                          <w:color w:val="002776" w:themeColor="accent1"/>
                          <w:sz w:val="48"/>
                          <w:szCs w:val="56"/>
                        </w:rPr>
                      </w:pPr>
                      <w:r>
                        <w:rPr>
                          <w:rFonts w:ascii="Times New Roman" w:hAnsi="Times New Roman"/>
                          <w:b/>
                          <w:color w:val="002776" w:themeColor="accent1"/>
                          <w:sz w:val="48"/>
                          <w:szCs w:val="56"/>
                        </w:rPr>
                        <w:t>Závěrečná zpráva projektu</w:t>
                      </w:r>
                    </w:p>
                    <w:p w:rsidR="00F61B77" w:rsidRDefault="00F61B77" w:rsidP="00271CDF">
                      <w:pPr>
                        <w:jc w:val="left"/>
                        <w:rPr>
                          <w:rFonts w:ascii="Times New Roman" w:hAnsi="Times New Roman"/>
                          <w:color w:val="002776" w:themeColor="accent1"/>
                          <w:sz w:val="32"/>
                          <w:szCs w:val="56"/>
                        </w:rPr>
                      </w:pPr>
                    </w:p>
                    <w:p w:rsidR="00F61B77" w:rsidRDefault="00F61B77" w:rsidP="00271CDF">
                      <w:pPr>
                        <w:jc w:val="left"/>
                        <w:rPr>
                          <w:rFonts w:ascii="Times New Roman" w:hAnsi="Times New Roman"/>
                          <w:color w:val="002776" w:themeColor="accent1"/>
                          <w:sz w:val="32"/>
                          <w:szCs w:val="56"/>
                        </w:rPr>
                      </w:pPr>
                    </w:p>
                    <w:p w:rsidR="00F61B77" w:rsidRDefault="00F61B77" w:rsidP="00271CDF">
                      <w:pPr>
                        <w:jc w:val="left"/>
                        <w:rPr>
                          <w:rFonts w:ascii="Times New Roman" w:hAnsi="Times New Roman"/>
                          <w:color w:val="002776" w:themeColor="accent1"/>
                          <w:sz w:val="32"/>
                          <w:szCs w:val="56"/>
                        </w:rPr>
                      </w:pPr>
                    </w:p>
                    <w:p w:rsidR="00F61B77" w:rsidRDefault="00F61B77" w:rsidP="00BC79C3">
                      <w:pPr>
                        <w:jc w:val="left"/>
                        <w:rPr>
                          <w:rFonts w:ascii="Times New Roman" w:hAnsi="Times New Roman"/>
                          <w:color w:val="002776" w:themeColor="accent1"/>
                          <w:sz w:val="32"/>
                          <w:szCs w:val="56"/>
                        </w:rPr>
                      </w:pPr>
                    </w:p>
                  </w:txbxContent>
                </v:textbox>
              </v:shape>
            </w:pict>
          </mc:Fallback>
        </mc:AlternateContent>
      </w:r>
    </w:p>
    <w:p w:rsidR="00BC79C3" w:rsidRPr="004843FD" w:rsidRDefault="00BC79C3" w:rsidP="00BC79C3"/>
    <w:p w:rsidR="00BC79C3" w:rsidRPr="004843FD" w:rsidRDefault="00A527C3" w:rsidP="00BC79C3">
      <w:r w:rsidRPr="004843FD">
        <w:rPr>
          <w:noProof/>
          <w:lang w:eastAsia="cs-CZ"/>
        </w:rPr>
        <w:drawing>
          <wp:anchor distT="0" distB="0" distL="114300" distR="114300" simplePos="0" relativeHeight="251936768" behindDoc="0" locked="0" layoutInCell="1" allowOverlap="1" wp14:anchorId="37D9B179" wp14:editId="357A3132">
            <wp:simplePos x="0" y="0"/>
            <wp:positionH relativeFrom="column">
              <wp:posOffset>3051810</wp:posOffset>
            </wp:positionH>
            <wp:positionV relativeFrom="paragraph">
              <wp:posOffset>6725549</wp:posOffset>
            </wp:positionV>
            <wp:extent cx="2257425" cy="428625"/>
            <wp:effectExtent l="0" t="0" r="0" b="9525"/>
            <wp:wrapNone/>
            <wp:docPr id="2" name="Picture 15" descr="Deloitte_no_backgr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oitte_no_background2"/>
                    <pic:cNvPicPr>
                      <a:picLocks noChangeAspect="1" noChangeArrowheads="1"/>
                    </pic:cNvPicPr>
                  </pic:nvPicPr>
                  <pic:blipFill>
                    <a:blip r:embed="rId9" cstate="print"/>
                    <a:srcRect/>
                    <a:stretch>
                      <a:fillRect/>
                    </a:stretch>
                  </pic:blipFill>
                  <pic:spPr bwMode="auto">
                    <a:xfrm>
                      <a:off x="0" y="0"/>
                      <a:ext cx="2257425" cy="428625"/>
                    </a:xfrm>
                    <a:prstGeom prst="rect">
                      <a:avLst/>
                    </a:prstGeom>
                    <a:noFill/>
                    <a:ln w="9525">
                      <a:noFill/>
                      <a:miter lim="800000"/>
                      <a:headEnd/>
                      <a:tailEnd/>
                    </a:ln>
                  </pic:spPr>
                </pic:pic>
              </a:graphicData>
            </a:graphic>
          </wp:anchor>
        </w:drawing>
      </w:r>
      <w:r w:rsidR="00BC79C3" w:rsidRPr="004843FD">
        <w:rPr>
          <w:b/>
          <w:noProof/>
          <w:color w:val="002776" w:themeColor="text2"/>
          <w:sz w:val="24"/>
          <w:lang w:eastAsia="cs-CZ"/>
        </w:rPr>
        <mc:AlternateContent>
          <mc:Choice Requires="wps">
            <w:drawing>
              <wp:anchor distT="0" distB="0" distL="114300" distR="114300" simplePos="0" relativeHeight="251937792" behindDoc="0" locked="0" layoutInCell="1" allowOverlap="1" wp14:anchorId="2BBE1485" wp14:editId="3626057D">
                <wp:simplePos x="0" y="0"/>
                <wp:positionH relativeFrom="column">
                  <wp:posOffset>-71120</wp:posOffset>
                </wp:positionH>
                <wp:positionV relativeFrom="paragraph">
                  <wp:posOffset>6885940</wp:posOffset>
                </wp:positionV>
                <wp:extent cx="1934845" cy="826770"/>
                <wp:effectExtent l="0" t="0" r="8255"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826770"/>
                        </a:xfrm>
                        <a:prstGeom prst="rect">
                          <a:avLst/>
                        </a:prstGeom>
                        <a:solidFill>
                          <a:srgbClr val="FFFFFF"/>
                        </a:solidFill>
                        <a:ln w="9525">
                          <a:noFill/>
                          <a:miter lim="800000"/>
                          <a:headEnd/>
                          <a:tailEnd/>
                        </a:ln>
                      </wps:spPr>
                      <wps:txbx>
                        <w:txbxContent>
                          <w:p w:rsidR="00F61B77" w:rsidRPr="00A26EB7" w:rsidRDefault="00F61B77" w:rsidP="00BC79C3">
                            <w:pPr>
                              <w:pStyle w:val="BodyText1"/>
                              <w:spacing w:before="120" w:after="240"/>
                              <w:rPr>
                                <w:b/>
                                <w:color w:val="002776" w:themeColor="text2"/>
                                <w:sz w:val="20"/>
                              </w:rPr>
                            </w:pPr>
                            <w:r>
                              <w:rPr>
                                <w:b/>
                                <w:color w:val="002776" w:themeColor="text2"/>
                                <w:sz w:val="20"/>
                              </w:rPr>
                              <w:t>3</w:t>
                            </w:r>
                            <w:r w:rsidRPr="00AD5615">
                              <w:rPr>
                                <w:b/>
                                <w:color w:val="002776" w:themeColor="text2"/>
                                <w:sz w:val="20"/>
                              </w:rPr>
                              <w:t xml:space="preserve">. </w:t>
                            </w:r>
                            <w:r>
                              <w:rPr>
                                <w:b/>
                                <w:color w:val="002776" w:themeColor="text2"/>
                                <w:sz w:val="20"/>
                              </w:rPr>
                              <w:t>března</w:t>
                            </w:r>
                            <w:r w:rsidRPr="00AD5615">
                              <w:rPr>
                                <w:b/>
                                <w:color w:val="002776" w:themeColor="text2"/>
                                <w:sz w:val="20"/>
                              </w:rPr>
                              <w:t xml:space="preserve"> 201</w:t>
                            </w:r>
                            <w:r>
                              <w:rPr>
                                <w:b/>
                                <w:color w:val="002776" w:themeColor="text2"/>
                                <w:sz w:val="20"/>
                              </w:rPr>
                              <w:t>5</w:t>
                            </w:r>
                          </w:p>
                          <w:p w:rsidR="00F61B77" w:rsidRDefault="00F61B77" w:rsidP="00BC79C3">
                            <w:pPr>
                              <w:jc w:val="lef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5.6pt;margin-top:542.2pt;width:152.35pt;height:65.1pt;z-index:25193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" stroked="f">
                <v:textbox style="mso-fit-shape-to-text:t">
                  <w:txbxContent>
                    <w:p w:rsidR="00F61B77" w:rsidRPr="00A26EB7" w:rsidRDefault="00F61B77" w:rsidP="00BC79C3">
                      <w:pPr>
                        <w:pStyle w:val="BodyText1"/>
                        <w:spacing w:before="120" w:after="240"/>
                        <w:rPr>
                          <w:b/>
                          <w:color w:val="002776" w:themeColor="text2"/>
                          <w:sz w:val="20"/>
                        </w:rPr>
                      </w:pPr>
                      <w:r>
                        <w:rPr>
                          <w:b/>
                          <w:color w:val="002776" w:themeColor="text2"/>
                          <w:sz w:val="20"/>
                        </w:rPr>
                        <w:t>3</w:t>
                      </w:r>
                      <w:r w:rsidRPr="00AD5615">
                        <w:rPr>
                          <w:b/>
                          <w:color w:val="002776" w:themeColor="text2"/>
                          <w:sz w:val="20"/>
                        </w:rPr>
                        <w:t xml:space="preserve">. </w:t>
                      </w:r>
                      <w:r>
                        <w:rPr>
                          <w:b/>
                          <w:color w:val="002776" w:themeColor="text2"/>
                          <w:sz w:val="20"/>
                        </w:rPr>
                        <w:t>března</w:t>
                      </w:r>
                      <w:r w:rsidRPr="00AD5615">
                        <w:rPr>
                          <w:b/>
                          <w:color w:val="002776" w:themeColor="text2"/>
                          <w:sz w:val="20"/>
                        </w:rPr>
                        <w:t xml:space="preserve"> 201</w:t>
                      </w:r>
                      <w:r>
                        <w:rPr>
                          <w:b/>
                          <w:color w:val="002776" w:themeColor="text2"/>
                          <w:sz w:val="20"/>
                        </w:rPr>
                        <w:t>5</w:t>
                      </w:r>
                    </w:p>
                    <w:p w:rsidR="00F61B77" w:rsidRDefault="00F61B77" w:rsidP="00BC79C3">
                      <w:pPr>
                        <w:jc w:val="left"/>
                      </w:pPr>
                    </w:p>
                  </w:txbxContent>
                </v:textbox>
              </v:shape>
            </w:pict>
          </mc:Fallback>
        </mc:AlternateContent>
      </w:r>
    </w:p>
    <w:p w:rsidR="00BC79C3" w:rsidRPr="004843FD" w:rsidRDefault="00BC79C3" w:rsidP="00BC79C3">
      <w:pPr>
        <w:sectPr w:rsidR="00BC79C3" w:rsidRPr="004843FD" w:rsidSect="00BC79C3">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142" w:footer="709" w:gutter="0"/>
          <w:paperSrc w:first="15" w:other="15"/>
          <w:cols w:space="708"/>
          <w:titlePg/>
          <w:docGrid w:linePitch="360"/>
        </w:sectPr>
      </w:pPr>
    </w:p>
    <w:sdt>
      <w:sdtPr>
        <w:rPr>
          <w:sz w:val="24"/>
        </w:rPr>
        <w:id w:val="709612029"/>
        <w:docPartObj>
          <w:docPartGallery w:val="Table of Contents"/>
          <w:docPartUnique/>
        </w:docPartObj>
      </w:sdtPr>
      <w:sdtEndPr/>
      <w:sdtContent>
        <w:p w:rsidR="00BC79C3" w:rsidRPr="004843FD" w:rsidRDefault="00BC79C3" w:rsidP="00BC79C3">
          <w:pPr>
            <w:spacing w:after="360"/>
            <w:rPr>
              <w:rFonts w:ascii="Times New Roman" w:hAnsi="Times New Roman"/>
              <w:color w:val="002060"/>
              <w:sz w:val="56"/>
              <w:szCs w:val="56"/>
            </w:rPr>
          </w:pPr>
          <w:r w:rsidRPr="00BD1785">
            <w:rPr>
              <w:rStyle w:val="Nadpis1Char"/>
            </w:rPr>
            <w:t>Obsah</w:t>
          </w:r>
        </w:p>
        <w:p w:rsidR="006172C3" w:rsidRDefault="00BC79C3">
          <w:pPr>
            <w:pStyle w:val="Obsah1"/>
            <w:tabs>
              <w:tab w:val="right" w:leader="dot" w:pos="10457"/>
            </w:tabs>
            <w:rPr>
              <w:rFonts w:asciiTheme="minorHAnsi" w:eastAsiaTheme="minorEastAsia" w:hAnsiTheme="minorHAnsi" w:cstheme="minorBidi"/>
              <w:noProof/>
              <w:sz w:val="22"/>
              <w:szCs w:val="22"/>
              <w:lang w:eastAsia="cs-CZ"/>
            </w:rPr>
          </w:pPr>
          <w:r w:rsidRPr="004843FD">
            <w:fldChar w:fldCharType="begin"/>
          </w:r>
          <w:r w:rsidRPr="004843FD">
            <w:instrText xml:space="preserve"> TOC \o "1-3" \h \z \u </w:instrText>
          </w:r>
          <w:r w:rsidRPr="004843FD">
            <w:fldChar w:fldCharType="separate"/>
          </w:r>
          <w:hyperlink w:anchor="_Toc418767133" w:history="1">
            <w:r w:rsidR="006172C3" w:rsidRPr="0058600B">
              <w:rPr>
                <w:rStyle w:val="Hypertextovodkaz"/>
                <w:noProof/>
              </w:rPr>
              <w:t>Seznam zkratek</w:t>
            </w:r>
            <w:r w:rsidR="006172C3">
              <w:rPr>
                <w:noProof/>
                <w:webHidden/>
              </w:rPr>
              <w:tab/>
            </w:r>
            <w:r w:rsidR="006172C3">
              <w:rPr>
                <w:noProof/>
                <w:webHidden/>
              </w:rPr>
              <w:fldChar w:fldCharType="begin"/>
            </w:r>
            <w:r w:rsidR="006172C3">
              <w:rPr>
                <w:noProof/>
                <w:webHidden/>
              </w:rPr>
              <w:instrText xml:space="preserve"> PAGEREF _Toc418767133 \h </w:instrText>
            </w:r>
            <w:r w:rsidR="006172C3">
              <w:rPr>
                <w:noProof/>
                <w:webHidden/>
              </w:rPr>
            </w:r>
            <w:r w:rsidR="006172C3">
              <w:rPr>
                <w:noProof/>
                <w:webHidden/>
              </w:rPr>
              <w:fldChar w:fldCharType="separate"/>
            </w:r>
            <w:r w:rsidR="006172C3">
              <w:rPr>
                <w:noProof/>
                <w:webHidden/>
              </w:rPr>
              <w:t>4</w:t>
            </w:r>
            <w:r w:rsidR="006172C3">
              <w:rPr>
                <w:noProof/>
                <w:webHidden/>
              </w:rPr>
              <w:fldChar w:fldCharType="end"/>
            </w:r>
          </w:hyperlink>
        </w:p>
        <w:p w:rsidR="006172C3" w:rsidRDefault="00B853F3">
          <w:pPr>
            <w:pStyle w:val="Obsah1"/>
            <w:tabs>
              <w:tab w:val="right" w:leader="dot" w:pos="10457"/>
            </w:tabs>
            <w:rPr>
              <w:rFonts w:asciiTheme="minorHAnsi" w:eastAsiaTheme="minorEastAsia" w:hAnsiTheme="minorHAnsi" w:cstheme="minorBidi"/>
              <w:noProof/>
              <w:sz w:val="22"/>
              <w:szCs w:val="22"/>
              <w:lang w:eastAsia="cs-CZ"/>
            </w:rPr>
          </w:pPr>
          <w:hyperlink w:anchor="_Toc418767134" w:history="1">
            <w:r w:rsidR="006172C3" w:rsidRPr="0058600B">
              <w:rPr>
                <w:rStyle w:val="Hypertextovodkaz"/>
                <w:noProof/>
              </w:rPr>
              <w:t>1</w:t>
            </w:r>
            <w:r w:rsidR="006172C3">
              <w:rPr>
                <w:rFonts w:asciiTheme="minorHAnsi" w:eastAsiaTheme="minorEastAsia" w:hAnsiTheme="minorHAnsi" w:cstheme="minorBidi"/>
                <w:noProof/>
                <w:sz w:val="22"/>
                <w:szCs w:val="22"/>
                <w:lang w:eastAsia="cs-CZ"/>
              </w:rPr>
              <w:tab/>
            </w:r>
            <w:r w:rsidR="006172C3" w:rsidRPr="0058600B">
              <w:rPr>
                <w:rStyle w:val="Hypertextovodkaz"/>
                <w:noProof/>
              </w:rPr>
              <w:t>Manažerské shrnutí</w:t>
            </w:r>
            <w:r w:rsidR="006172C3">
              <w:rPr>
                <w:noProof/>
                <w:webHidden/>
              </w:rPr>
              <w:tab/>
            </w:r>
            <w:r w:rsidR="006172C3">
              <w:rPr>
                <w:noProof/>
                <w:webHidden/>
              </w:rPr>
              <w:fldChar w:fldCharType="begin"/>
            </w:r>
            <w:r w:rsidR="006172C3">
              <w:rPr>
                <w:noProof/>
                <w:webHidden/>
              </w:rPr>
              <w:instrText xml:space="preserve"> PAGEREF _Toc418767134 \h </w:instrText>
            </w:r>
            <w:r w:rsidR="006172C3">
              <w:rPr>
                <w:noProof/>
                <w:webHidden/>
              </w:rPr>
            </w:r>
            <w:r w:rsidR="006172C3">
              <w:rPr>
                <w:noProof/>
                <w:webHidden/>
              </w:rPr>
              <w:fldChar w:fldCharType="separate"/>
            </w:r>
            <w:r w:rsidR="006172C3">
              <w:rPr>
                <w:noProof/>
                <w:webHidden/>
              </w:rPr>
              <w:t>6</w:t>
            </w:r>
            <w:r w:rsidR="006172C3">
              <w:rPr>
                <w:noProof/>
                <w:webHidden/>
              </w:rPr>
              <w:fldChar w:fldCharType="end"/>
            </w:r>
          </w:hyperlink>
        </w:p>
        <w:p w:rsidR="006172C3" w:rsidRDefault="00B853F3">
          <w:pPr>
            <w:pStyle w:val="Obsah1"/>
            <w:tabs>
              <w:tab w:val="right" w:leader="dot" w:pos="10457"/>
            </w:tabs>
            <w:rPr>
              <w:rFonts w:asciiTheme="minorHAnsi" w:eastAsiaTheme="minorEastAsia" w:hAnsiTheme="minorHAnsi" w:cstheme="minorBidi"/>
              <w:noProof/>
              <w:sz w:val="22"/>
              <w:szCs w:val="22"/>
              <w:lang w:eastAsia="cs-CZ"/>
            </w:rPr>
          </w:pPr>
          <w:hyperlink w:anchor="_Toc418767135" w:history="1">
            <w:r w:rsidR="006172C3" w:rsidRPr="0058600B">
              <w:rPr>
                <w:rStyle w:val="Hypertextovodkaz"/>
                <w:noProof/>
              </w:rPr>
              <w:t>2</w:t>
            </w:r>
            <w:r w:rsidR="006172C3">
              <w:rPr>
                <w:rFonts w:asciiTheme="minorHAnsi" w:eastAsiaTheme="minorEastAsia" w:hAnsiTheme="minorHAnsi" w:cstheme="minorBidi"/>
                <w:noProof/>
                <w:sz w:val="22"/>
                <w:szCs w:val="22"/>
                <w:lang w:eastAsia="cs-CZ"/>
              </w:rPr>
              <w:tab/>
            </w:r>
            <w:r w:rsidR="006172C3" w:rsidRPr="0058600B">
              <w:rPr>
                <w:rStyle w:val="Hypertextovodkaz"/>
                <w:noProof/>
              </w:rPr>
              <w:t>Metodický postup</w:t>
            </w:r>
            <w:r w:rsidR="006172C3">
              <w:rPr>
                <w:noProof/>
                <w:webHidden/>
              </w:rPr>
              <w:tab/>
            </w:r>
            <w:r w:rsidR="006172C3">
              <w:rPr>
                <w:noProof/>
                <w:webHidden/>
              </w:rPr>
              <w:fldChar w:fldCharType="begin"/>
            </w:r>
            <w:r w:rsidR="006172C3">
              <w:rPr>
                <w:noProof/>
                <w:webHidden/>
              </w:rPr>
              <w:instrText xml:space="preserve"> PAGEREF _Toc418767135 \h </w:instrText>
            </w:r>
            <w:r w:rsidR="006172C3">
              <w:rPr>
                <w:noProof/>
                <w:webHidden/>
              </w:rPr>
            </w:r>
            <w:r w:rsidR="006172C3">
              <w:rPr>
                <w:noProof/>
                <w:webHidden/>
              </w:rPr>
              <w:fldChar w:fldCharType="separate"/>
            </w:r>
            <w:r w:rsidR="006172C3">
              <w:rPr>
                <w:noProof/>
                <w:webHidden/>
              </w:rPr>
              <w:t>10</w:t>
            </w:r>
            <w:r w:rsidR="006172C3">
              <w:rPr>
                <w:noProof/>
                <w:webHidden/>
              </w:rPr>
              <w:fldChar w:fldCharType="end"/>
            </w:r>
          </w:hyperlink>
        </w:p>
        <w:p w:rsidR="006172C3" w:rsidRDefault="00B853F3">
          <w:pPr>
            <w:pStyle w:val="Obsah1"/>
            <w:tabs>
              <w:tab w:val="right" w:leader="dot" w:pos="10457"/>
            </w:tabs>
            <w:rPr>
              <w:rFonts w:asciiTheme="minorHAnsi" w:eastAsiaTheme="minorEastAsia" w:hAnsiTheme="minorHAnsi" w:cstheme="minorBidi"/>
              <w:noProof/>
              <w:sz w:val="22"/>
              <w:szCs w:val="22"/>
              <w:lang w:eastAsia="cs-CZ"/>
            </w:rPr>
          </w:pPr>
          <w:hyperlink w:anchor="_Toc418767136" w:history="1">
            <w:r w:rsidR="006172C3" w:rsidRPr="0058600B">
              <w:rPr>
                <w:rStyle w:val="Hypertextovodkaz"/>
                <w:noProof/>
              </w:rPr>
              <w:t>3</w:t>
            </w:r>
            <w:r w:rsidR="006172C3">
              <w:rPr>
                <w:rFonts w:asciiTheme="minorHAnsi" w:eastAsiaTheme="minorEastAsia" w:hAnsiTheme="minorHAnsi" w:cstheme="minorBidi"/>
                <w:noProof/>
                <w:sz w:val="22"/>
                <w:szCs w:val="22"/>
                <w:lang w:eastAsia="cs-CZ"/>
              </w:rPr>
              <w:tab/>
            </w:r>
            <w:r w:rsidR="006172C3" w:rsidRPr="0058600B">
              <w:rPr>
                <w:rStyle w:val="Hypertextovodkaz"/>
                <w:noProof/>
              </w:rPr>
              <w:t>Možnosti využití IFN</w:t>
            </w:r>
            <w:r w:rsidR="006172C3">
              <w:rPr>
                <w:noProof/>
                <w:webHidden/>
              </w:rPr>
              <w:tab/>
            </w:r>
            <w:r w:rsidR="006172C3">
              <w:rPr>
                <w:noProof/>
                <w:webHidden/>
              </w:rPr>
              <w:fldChar w:fldCharType="begin"/>
            </w:r>
            <w:r w:rsidR="006172C3">
              <w:rPr>
                <w:noProof/>
                <w:webHidden/>
              </w:rPr>
              <w:instrText xml:space="preserve"> PAGEREF _Toc418767136 \h </w:instrText>
            </w:r>
            <w:r w:rsidR="006172C3">
              <w:rPr>
                <w:noProof/>
                <w:webHidden/>
              </w:rPr>
            </w:r>
            <w:r w:rsidR="006172C3">
              <w:rPr>
                <w:noProof/>
                <w:webHidden/>
              </w:rPr>
              <w:fldChar w:fldCharType="separate"/>
            </w:r>
            <w:r w:rsidR="006172C3">
              <w:rPr>
                <w:noProof/>
                <w:webHidden/>
              </w:rPr>
              <w:t>12</w:t>
            </w:r>
            <w:r w:rsidR="006172C3">
              <w:rPr>
                <w:noProof/>
                <w:webHidden/>
              </w:rPr>
              <w:fldChar w:fldCharType="end"/>
            </w:r>
          </w:hyperlink>
        </w:p>
        <w:p w:rsidR="006172C3" w:rsidRDefault="00B853F3">
          <w:pPr>
            <w:pStyle w:val="Obsah2"/>
            <w:tabs>
              <w:tab w:val="right" w:leader="dot" w:pos="10457"/>
            </w:tabs>
            <w:rPr>
              <w:rFonts w:asciiTheme="minorHAnsi" w:eastAsiaTheme="minorEastAsia" w:hAnsiTheme="minorHAnsi" w:cstheme="minorBidi"/>
              <w:noProof/>
              <w:sz w:val="22"/>
              <w:szCs w:val="22"/>
              <w:lang w:eastAsia="cs-CZ"/>
            </w:rPr>
          </w:pPr>
          <w:hyperlink w:anchor="_Toc418767137" w:history="1">
            <w:r w:rsidR="006172C3" w:rsidRPr="0058600B">
              <w:rPr>
                <w:rStyle w:val="Hypertextovodkaz"/>
                <w:noProof/>
              </w:rPr>
              <w:t>3.1</w:t>
            </w:r>
            <w:r w:rsidR="006172C3">
              <w:rPr>
                <w:rFonts w:asciiTheme="minorHAnsi" w:eastAsiaTheme="minorEastAsia" w:hAnsiTheme="minorHAnsi" w:cstheme="minorBidi"/>
                <w:noProof/>
                <w:sz w:val="22"/>
                <w:szCs w:val="22"/>
                <w:lang w:eastAsia="cs-CZ"/>
              </w:rPr>
              <w:tab/>
            </w:r>
            <w:r w:rsidR="006172C3" w:rsidRPr="0058600B">
              <w:rPr>
                <w:rStyle w:val="Hypertextovodkaz"/>
                <w:noProof/>
              </w:rPr>
              <w:t>Inovativní finanční nástroje</w:t>
            </w:r>
            <w:r w:rsidR="006172C3">
              <w:rPr>
                <w:noProof/>
                <w:webHidden/>
              </w:rPr>
              <w:tab/>
            </w:r>
            <w:r w:rsidR="006172C3">
              <w:rPr>
                <w:noProof/>
                <w:webHidden/>
              </w:rPr>
              <w:fldChar w:fldCharType="begin"/>
            </w:r>
            <w:r w:rsidR="006172C3">
              <w:rPr>
                <w:noProof/>
                <w:webHidden/>
              </w:rPr>
              <w:instrText xml:space="preserve"> PAGEREF _Toc418767137 \h </w:instrText>
            </w:r>
            <w:r w:rsidR="006172C3">
              <w:rPr>
                <w:noProof/>
                <w:webHidden/>
              </w:rPr>
            </w:r>
            <w:r w:rsidR="006172C3">
              <w:rPr>
                <w:noProof/>
                <w:webHidden/>
              </w:rPr>
              <w:fldChar w:fldCharType="separate"/>
            </w:r>
            <w:r w:rsidR="006172C3">
              <w:rPr>
                <w:noProof/>
                <w:webHidden/>
              </w:rPr>
              <w:t>12</w:t>
            </w:r>
            <w:r w:rsidR="006172C3">
              <w:rPr>
                <w:noProof/>
                <w:webHidden/>
              </w:rPr>
              <w:fldChar w:fldCharType="end"/>
            </w:r>
          </w:hyperlink>
        </w:p>
        <w:p w:rsidR="006172C3" w:rsidRDefault="00B853F3">
          <w:pPr>
            <w:pStyle w:val="Obsah2"/>
            <w:tabs>
              <w:tab w:val="right" w:leader="dot" w:pos="10457"/>
            </w:tabs>
            <w:rPr>
              <w:rFonts w:asciiTheme="minorHAnsi" w:eastAsiaTheme="minorEastAsia" w:hAnsiTheme="minorHAnsi" w:cstheme="minorBidi"/>
              <w:noProof/>
              <w:sz w:val="22"/>
              <w:szCs w:val="22"/>
              <w:lang w:eastAsia="cs-CZ"/>
            </w:rPr>
          </w:pPr>
          <w:hyperlink w:anchor="_Toc418767138" w:history="1">
            <w:r w:rsidR="006172C3" w:rsidRPr="0058600B">
              <w:rPr>
                <w:rStyle w:val="Hypertextovodkaz"/>
                <w:noProof/>
              </w:rPr>
              <w:t>3.2</w:t>
            </w:r>
            <w:r w:rsidR="006172C3">
              <w:rPr>
                <w:rFonts w:asciiTheme="minorHAnsi" w:eastAsiaTheme="minorEastAsia" w:hAnsiTheme="minorHAnsi" w:cstheme="minorBidi"/>
                <w:noProof/>
                <w:sz w:val="22"/>
                <w:szCs w:val="22"/>
                <w:lang w:eastAsia="cs-CZ"/>
              </w:rPr>
              <w:tab/>
            </w:r>
            <w:r w:rsidR="006172C3" w:rsidRPr="0058600B">
              <w:rPr>
                <w:rStyle w:val="Hypertextovodkaz"/>
                <w:noProof/>
              </w:rPr>
              <w:t>Srovnání IFN s grantovým financováním</w:t>
            </w:r>
            <w:r w:rsidR="006172C3">
              <w:rPr>
                <w:noProof/>
                <w:webHidden/>
              </w:rPr>
              <w:tab/>
            </w:r>
            <w:r w:rsidR="006172C3">
              <w:rPr>
                <w:noProof/>
                <w:webHidden/>
              </w:rPr>
              <w:fldChar w:fldCharType="begin"/>
            </w:r>
            <w:r w:rsidR="006172C3">
              <w:rPr>
                <w:noProof/>
                <w:webHidden/>
              </w:rPr>
              <w:instrText xml:space="preserve"> PAGEREF _Toc418767138 \h </w:instrText>
            </w:r>
            <w:r w:rsidR="006172C3">
              <w:rPr>
                <w:noProof/>
                <w:webHidden/>
              </w:rPr>
            </w:r>
            <w:r w:rsidR="006172C3">
              <w:rPr>
                <w:noProof/>
                <w:webHidden/>
              </w:rPr>
              <w:fldChar w:fldCharType="separate"/>
            </w:r>
            <w:r w:rsidR="006172C3">
              <w:rPr>
                <w:noProof/>
                <w:webHidden/>
              </w:rPr>
              <w:t>13</w:t>
            </w:r>
            <w:r w:rsidR="006172C3">
              <w:rPr>
                <w:noProof/>
                <w:webHidden/>
              </w:rPr>
              <w:fldChar w:fldCharType="end"/>
            </w:r>
          </w:hyperlink>
        </w:p>
        <w:p w:rsidR="006172C3" w:rsidRDefault="00B853F3">
          <w:pPr>
            <w:pStyle w:val="Obsah1"/>
            <w:tabs>
              <w:tab w:val="right" w:leader="dot" w:pos="10457"/>
            </w:tabs>
            <w:rPr>
              <w:rFonts w:asciiTheme="minorHAnsi" w:eastAsiaTheme="minorEastAsia" w:hAnsiTheme="minorHAnsi" w:cstheme="minorBidi"/>
              <w:noProof/>
              <w:sz w:val="22"/>
              <w:szCs w:val="22"/>
              <w:lang w:eastAsia="cs-CZ"/>
            </w:rPr>
          </w:pPr>
          <w:hyperlink w:anchor="_Toc418767139" w:history="1">
            <w:r w:rsidR="006172C3" w:rsidRPr="0058600B">
              <w:rPr>
                <w:rStyle w:val="Hypertextovodkaz"/>
                <w:noProof/>
              </w:rPr>
              <w:t>4</w:t>
            </w:r>
            <w:r w:rsidR="006172C3">
              <w:rPr>
                <w:rFonts w:asciiTheme="minorHAnsi" w:eastAsiaTheme="minorEastAsia" w:hAnsiTheme="minorHAnsi" w:cstheme="minorBidi"/>
                <w:noProof/>
                <w:sz w:val="22"/>
                <w:szCs w:val="22"/>
                <w:lang w:eastAsia="cs-CZ"/>
              </w:rPr>
              <w:tab/>
            </w:r>
            <w:r w:rsidR="006172C3" w:rsidRPr="0058600B">
              <w:rPr>
                <w:rStyle w:val="Hypertextovodkaz"/>
                <w:noProof/>
              </w:rPr>
              <w:t>Blok A - Mapování tržních charakteristik</w:t>
            </w:r>
            <w:r w:rsidR="006172C3">
              <w:rPr>
                <w:noProof/>
                <w:webHidden/>
              </w:rPr>
              <w:tab/>
            </w:r>
            <w:r w:rsidR="006172C3">
              <w:rPr>
                <w:noProof/>
                <w:webHidden/>
              </w:rPr>
              <w:fldChar w:fldCharType="begin"/>
            </w:r>
            <w:r w:rsidR="006172C3">
              <w:rPr>
                <w:noProof/>
                <w:webHidden/>
              </w:rPr>
              <w:instrText xml:space="preserve"> PAGEREF _Toc418767139 \h </w:instrText>
            </w:r>
            <w:r w:rsidR="006172C3">
              <w:rPr>
                <w:noProof/>
                <w:webHidden/>
              </w:rPr>
            </w:r>
            <w:r w:rsidR="006172C3">
              <w:rPr>
                <w:noProof/>
                <w:webHidden/>
              </w:rPr>
              <w:fldChar w:fldCharType="separate"/>
            </w:r>
            <w:r w:rsidR="006172C3">
              <w:rPr>
                <w:noProof/>
                <w:webHidden/>
              </w:rPr>
              <w:t>15</w:t>
            </w:r>
            <w:r w:rsidR="006172C3">
              <w:rPr>
                <w:noProof/>
                <w:webHidden/>
              </w:rPr>
              <w:fldChar w:fldCharType="end"/>
            </w:r>
          </w:hyperlink>
        </w:p>
        <w:p w:rsidR="006172C3" w:rsidRDefault="00B853F3">
          <w:pPr>
            <w:pStyle w:val="Obsah2"/>
            <w:tabs>
              <w:tab w:val="right" w:leader="dot" w:pos="10457"/>
            </w:tabs>
            <w:rPr>
              <w:rFonts w:asciiTheme="minorHAnsi" w:eastAsiaTheme="minorEastAsia" w:hAnsiTheme="minorHAnsi" w:cstheme="minorBidi"/>
              <w:noProof/>
              <w:sz w:val="22"/>
              <w:szCs w:val="22"/>
              <w:lang w:eastAsia="cs-CZ"/>
            </w:rPr>
          </w:pPr>
          <w:hyperlink w:anchor="_Toc418767140" w:history="1">
            <w:r w:rsidR="006172C3" w:rsidRPr="0058600B">
              <w:rPr>
                <w:rStyle w:val="Hypertextovodkaz"/>
                <w:noProof/>
              </w:rPr>
              <w:t>4.1</w:t>
            </w:r>
            <w:r w:rsidR="006172C3">
              <w:rPr>
                <w:rFonts w:asciiTheme="minorHAnsi" w:eastAsiaTheme="minorEastAsia" w:hAnsiTheme="minorHAnsi" w:cstheme="minorBidi"/>
                <w:noProof/>
                <w:sz w:val="22"/>
                <w:szCs w:val="22"/>
                <w:lang w:eastAsia="cs-CZ"/>
              </w:rPr>
              <w:tab/>
            </w:r>
            <w:r w:rsidR="006172C3" w:rsidRPr="0058600B">
              <w:rPr>
                <w:rStyle w:val="Hypertextovodkaz"/>
                <w:noProof/>
              </w:rPr>
              <w:t>Pre-screening oblastí podpory vhodných pro zapojení IFN</w:t>
            </w:r>
            <w:r w:rsidR="006172C3">
              <w:rPr>
                <w:noProof/>
                <w:webHidden/>
              </w:rPr>
              <w:tab/>
            </w:r>
            <w:r w:rsidR="006172C3">
              <w:rPr>
                <w:noProof/>
                <w:webHidden/>
              </w:rPr>
              <w:fldChar w:fldCharType="begin"/>
            </w:r>
            <w:r w:rsidR="006172C3">
              <w:rPr>
                <w:noProof/>
                <w:webHidden/>
              </w:rPr>
              <w:instrText xml:space="preserve"> PAGEREF _Toc418767140 \h </w:instrText>
            </w:r>
            <w:r w:rsidR="006172C3">
              <w:rPr>
                <w:noProof/>
                <w:webHidden/>
              </w:rPr>
            </w:r>
            <w:r w:rsidR="006172C3">
              <w:rPr>
                <w:noProof/>
                <w:webHidden/>
              </w:rPr>
              <w:fldChar w:fldCharType="separate"/>
            </w:r>
            <w:r w:rsidR="006172C3">
              <w:rPr>
                <w:noProof/>
                <w:webHidden/>
              </w:rPr>
              <w:t>15</w:t>
            </w:r>
            <w:r w:rsidR="006172C3">
              <w:rPr>
                <w:noProof/>
                <w:webHidden/>
              </w:rPr>
              <w:fldChar w:fldCharType="end"/>
            </w:r>
          </w:hyperlink>
        </w:p>
        <w:p w:rsidR="006172C3" w:rsidRDefault="00B853F3">
          <w:pPr>
            <w:pStyle w:val="Obsah2"/>
            <w:tabs>
              <w:tab w:val="right" w:leader="dot" w:pos="10457"/>
            </w:tabs>
            <w:rPr>
              <w:rFonts w:asciiTheme="minorHAnsi" w:eastAsiaTheme="minorEastAsia" w:hAnsiTheme="minorHAnsi" w:cstheme="minorBidi"/>
              <w:noProof/>
              <w:sz w:val="22"/>
              <w:szCs w:val="22"/>
              <w:lang w:eastAsia="cs-CZ"/>
            </w:rPr>
          </w:pPr>
          <w:hyperlink w:anchor="_Toc418767141" w:history="1">
            <w:r w:rsidR="006172C3" w:rsidRPr="0058600B">
              <w:rPr>
                <w:rStyle w:val="Hypertextovodkaz"/>
                <w:noProof/>
              </w:rPr>
              <w:t>4.2</w:t>
            </w:r>
            <w:r w:rsidR="006172C3">
              <w:rPr>
                <w:rFonts w:asciiTheme="minorHAnsi" w:eastAsiaTheme="minorEastAsia" w:hAnsiTheme="minorHAnsi" w:cstheme="minorBidi"/>
                <w:noProof/>
                <w:sz w:val="22"/>
                <w:szCs w:val="22"/>
                <w:lang w:eastAsia="cs-CZ"/>
              </w:rPr>
              <w:tab/>
            </w:r>
            <w:r w:rsidR="006172C3" w:rsidRPr="0058600B">
              <w:rPr>
                <w:rStyle w:val="Hypertextovodkaz"/>
                <w:noProof/>
              </w:rPr>
              <w:t>Analýza selhání trhu a neoptimálních investičních situací</w:t>
            </w:r>
            <w:r w:rsidR="006172C3">
              <w:rPr>
                <w:noProof/>
                <w:webHidden/>
              </w:rPr>
              <w:tab/>
            </w:r>
            <w:r w:rsidR="006172C3">
              <w:rPr>
                <w:noProof/>
                <w:webHidden/>
              </w:rPr>
              <w:fldChar w:fldCharType="begin"/>
            </w:r>
            <w:r w:rsidR="006172C3">
              <w:rPr>
                <w:noProof/>
                <w:webHidden/>
              </w:rPr>
              <w:instrText xml:space="preserve"> PAGEREF _Toc418767141 \h </w:instrText>
            </w:r>
            <w:r w:rsidR="006172C3">
              <w:rPr>
                <w:noProof/>
                <w:webHidden/>
              </w:rPr>
            </w:r>
            <w:r w:rsidR="006172C3">
              <w:rPr>
                <w:noProof/>
                <w:webHidden/>
              </w:rPr>
              <w:fldChar w:fldCharType="separate"/>
            </w:r>
            <w:r w:rsidR="006172C3">
              <w:rPr>
                <w:noProof/>
                <w:webHidden/>
              </w:rPr>
              <w:t>21</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42" w:history="1">
            <w:r w:rsidR="006172C3" w:rsidRPr="0058600B">
              <w:rPr>
                <w:rStyle w:val="Hypertextovodkaz"/>
                <w:noProof/>
                <w14:scene3d>
                  <w14:camera w14:prst="orthographicFront"/>
                  <w14:lightRig w14:rig="threePt" w14:dir="t">
                    <w14:rot w14:lat="0" w14:lon="0" w14:rev="0"/>
                  </w14:lightRig>
                </w14:scene3d>
              </w:rPr>
              <w:t>4.2.1</w:t>
            </w:r>
            <w:r w:rsidR="006172C3">
              <w:rPr>
                <w:rFonts w:asciiTheme="minorHAnsi" w:eastAsiaTheme="minorEastAsia" w:hAnsiTheme="minorHAnsi" w:cstheme="minorBidi"/>
                <w:noProof/>
                <w:sz w:val="22"/>
                <w:szCs w:val="22"/>
                <w:lang w:eastAsia="cs-CZ"/>
              </w:rPr>
              <w:tab/>
            </w:r>
            <w:r w:rsidR="006172C3" w:rsidRPr="0058600B">
              <w:rPr>
                <w:rStyle w:val="Hypertextovodkaz"/>
                <w:noProof/>
              </w:rPr>
              <w:t>Specifický cíl 2.1: Zvýšení kvality a dostupnosti služeb vedoucí k sociální inkluzi</w:t>
            </w:r>
            <w:r w:rsidR="006172C3">
              <w:rPr>
                <w:noProof/>
                <w:webHidden/>
              </w:rPr>
              <w:tab/>
            </w:r>
            <w:r w:rsidR="006172C3">
              <w:rPr>
                <w:noProof/>
                <w:webHidden/>
              </w:rPr>
              <w:fldChar w:fldCharType="begin"/>
            </w:r>
            <w:r w:rsidR="006172C3">
              <w:rPr>
                <w:noProof/>
                <w:webHidden/>
              </w:rPr>
              <w:instrText xml:space="preserve"> PAGEREF _Toc418767142 \h </w:instrText>
            </w:r>
            <w:r w:rsidR="006172C3">
              <w:rPr>
                <w:noProof/>
                <w:webHidden/>
              </w:rPr>
            </w:r>
            <w:r w:rsidR="006172C3">
              <w:rPr>
                <w:noProof/>
                <w:webHidden/>
              </w:rPr>
              <w:fldChar w:fldCharType="separate"/>
            </w:r>
            <w:r w:rsidR="006172C3">
              <w:rPr>
                <w:noProof/>
                <w:webHidden/>
              </w:rPr>
              <w:t>21</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43" w:history="1">
            <w:r w:rsidR="006172C3" w:rsidRPr="0058600B">
              <w:rPr>
                <w:rStyle w:val="Hypertextovodkaz"/>
                <w:noProof/>
                <w14:scene3d>
                  <w14:camera w14:prst="orthographicFront"/>
                  <w14:lightRig w14:rig="threePt" w14:dir="t">
                    <w14:rot w14:lat="0" w14:lon="0" w14:rev="0"/>
                  </w14:lightRig>
                </w14:scene3d>
              </w:rPr>
              <w:t>4.2.2</w:t>
            </w:r>
            <w:r w:rsidR="006172C3">
              <w:rPr>
                <w:rFonts w:asciiTheme="minorHAnsi" w:eastAsiaTheme="minorEastAsia" w:hAnsiTheme="minorHAnsi" w:cstheme="minorBidi"/>
                <w:noProof/>
                <w:sz w:val="22"/>
                <w:szCs w:val="22"/>
                <w:lang w:eastAsia="cs-CZ"/>
              </w:rPr>
              <w:tab/>
            </w:r>
            <w:r w:rsidR="006172C3" w:rsidRPr="0058600B">
              <w:rPr>
                <w:rStyle w:val="Hypertextovodkaz"/>
                <w:noProof/>
              </w:rPr>
              <w:t>Specifický cíl 2.5 – Snížení energetické náročnosti v sektoru bydlení</w:t>
            </w:r>
            <w:r w:rsidR="006172C3">
              <w:rPr>
                <w:noProof/>
                <w:webHidden/>
              </w:rPr>
              <w:tab/>
            </w:r>
            <w:r w:rsidR="006172C3">
              <w:rPr>
                <w:noProof/>
                <w:webHidden/>
              </w:rPr>
              <w:fldChar w:fldCharType="begin"/>
            </w:r>
            <w:r w:rsidR="006172C3">
              <w:rPr>
                <w:noProof/>
                <w:webHidden/>
              </w:rPr>
              <w:instrText xml:space="preserve"> PAGEREF _Toc418767143 \h </w:instrText>
            </w:r>
            <w:r w:rsidR="006172C3">
              <w:rPr>
                <w:noProof/>
                <w:webHidden/>
              </w:rPr>
            </w:r>
            <w:r w:rsidR="006172C3">
              <w:rPr>
                <w:noProof/>
                <w:webHidden/>
              </w:rPr>
              <w:fldChar w:fldCharType="separate"/>
            </w:r>
            <w:r w:rsidR="006172C3">
              <w:rPr>
                <w:noProof/>
                <w:webHidden/>
              </w:rPr>
              <w:t>25</w:t>
            </w:r>
            <w:r w:rsidR="006172C3">
              <w:rPr>
                <w:noProof/>
                <w:webHidden/>
              </w:rPr>
              <w:fldChar w:fldCharType="end"/>
            </w:r>
          </w:hyperlink>
        </w:p>
        <w:p w:rsidR="006172C3" w:rsidRDefault="00B853F3">
          <w:pPr>
            <w:pStyle w:val="Obsah2"/>
            <w:tabs>
              <w:tab w:val="right" w:leader="dot" w:pos="10457"/>
            </w:tabs>
            <w:rPr>
              <w:rFonts w:asciiTheme="minorHAnsi" w:eastAsiaTheme="minorEastAsia" w:hAnsiTheme="minorHAnsi" w:cstheme="minorBidi"/>
              <w:noProof/>
              <w:sz w:val="22"/>
              <w:szCs w:val="22"/>
              <w:lang w:eastAsia="cs-CZ"/>
            </w:rPr>
          </w:pPr>
          <w:hyperlink w:anchor="_Toc418767144" w:history="1">
            <w:r w:rsidR="006172C3" w:rsidRPr="0058600B">
              <w:rPr>
                <w:rStyle w:val="Hypertextovodkaz"/>
                <w:noProof/>
              </w:rPr>
              <w:t>4.3</w:t>
            </w:r>
            <w:r w:rsidR="006172C3">
              <w:rPr>
                <w:rFonts w:asciiTheme="minorHAnsi" w:eastAsiaTheme="minorEastAsia" w:hAnsiTheme="minorHAnsi" w:cstheme="minorBidi"/>
                <w:noProof/>
                <w:sz w:val="22"/>
                <w:szCs w:val="22"/>
                <w:lang w:eastAsia="cs-CZ"/>
              </w:rPr>
              <w:tab/>
            </w:r>
            <w:r w:rsidR="006172C3" w:rsidRPr="0058600B">
              <w:rPr>
                <w:rStyle w:val="Hypertextovodkaz"/>
                <w:noProof/>
                <w:spacing w:val="-2"/>
              </w:rPr>
              <w:t>Posouzení</w:t>
            </w:r>
            <w:r w:rsidR="006172C3" w:rsidRPr="0058600B">
              <w:rPr>
                <w:rStyle w:val="Hypertextovodkaz"/>
                <w:noProof/>
                <w:spacing w:val="52"/>
              </w:rPr>
              <w:t xml:space="preserve"> </w:t>
            </w:r>
            <w:r w:rsidR="006172C3" w:rsidRPr="0058600B">
              <w:rPr>
                <w:rStyle w:val="Hypertextovodkaz"/>
                <w:noProof/>
              </w:rPr>
              <w:t>přidané</w:t>
            </w:r>
            <w:r w:rsidR="006172C3" w:rsidRPr="0058600B">
              <w:rPr>
                <w:rStyle w:val="Hypertextovodkaz"/>
                <w:noProof/>
                <w:spacing w:val="5"/>
              </w:rPr>
              <w:t xml:space="preserve"> </w:t>
            </w:r>
            <w:r w:rsidR="006172C3" w:rsidRPr="0058600B">
              <w:rPr>
                <w:rStyle w:val="Hypertextovodkaz"/>
                <w:noProof/>
              </w:rPr>
              <w:t>hodnoty</w:t>
            </w:r>
            <w:r w:rsidR="006172C3" w:rsidRPr="0058600B">
              <w:rPr>
                <w:rStyle w:val="Hypertextovodkaz"/>
                <w:noProof/>
                <w:spacing w:val="17"/>
              </w:rPr>
              <w:t xml:space="preserve"> </w:t>
            </w:r>
            <w:r w:rsidR="006172C3" w:rsidRPr="0058600B">
              <w:rPr>
                <w:rStyle w:val="Hypertextovodkaz"/>
                <w:noProof/>
              </w:rPr>
              <w:t>finančních</w:t>
            </w:r>
            <w:r w:rsidR="006172C3" w:rsidRPr="0058600B">
              <w:rPr>
                <w:rStyle w:val="Hypertextovodkaz"/>
                <w:noProof/>
                <w:spacing w:val="5"/>
              </w:rPr>
              <w:t xml:space="preserve"> </w:t>
            </w:r>
            <w:r w:rsidR="006172C3" w:rsidRPr="0058600B">
              <w:rPr>
                <w:rStyle w:val="Hypertextovodkaz"/>
                <w:noProof/>
                <w:spacing w:val="-1"/>
              </w:rPr>
              <w:t xml:space="preserve">nástrojů a </w:t>
            </w:r>
            <w:r w:rsidR="006172C3" w:rsidRPr="0058600B">
              <w:rPr>
                <w:rStyle w:val="Hypertextovodkaz"/>
                <w:noProof/>
              </w:rPr>
              <w:t>odhad dodatečných veřejných a soukromých zdrojů</w:t>
            </w:r>
            <w:r w:rsidR="006172C3">
              <w:rPr>
                <w:noProof/>
                <w:webHidden/>
              </w:rPr>
              <w:tab/>
            </w:r>
            <w:r w:rsidR="006172C3">
              <w:rPr>
                <w:noProof/>
                <w:webHidden/>
              </w:rPr>
              <w:fldChar w:fldCharType="begin"/>
            </w:r>
            <w:r w:rsidR="006172C3">
              <w:rPr>
                <w:noProof/>
                <w:webHidden/>
              </w:rPr>
              <w:instrText xml:space="preserve"> PAGEREF _Toc418767144 \h </w:instrText>
            </w:r>
            <w:r w:rsidR="006172C3">
              <w:rPr>
                <w:noProof/>
                <w:webHidden/>
              </w:rPr>
            </w:r>
            <w:r w:rsidR="006172C3">
              <w:rPr>
                <w:noProof/>
                <w:webHidden/>
              </w:rPr>
              <w:fldChar w:fldCharType="separate"/>
            </w:r>
            <w:r w:rsidR="006172C3">
              <w:rPr>
                <w:noProof/>
                <w:webHidden/>
              </w:rPr>
              <w:t>38</w:t>
            </w:r>
            <w:r w:rsidR="006172C3">
              <w:rPr>
                <w:noProof/>
                <w:webHidden/>
              </w:rPr>
              <w:fldChar w:fldCharType="end"/>
            </w:r>
          </w:hyperlink>
        </w:p>
        <w:p w:rsidR="006172C3" w:rsidRDefault="00B853F3">
          <w:pPr>
            <w:pStyle w:val="Obsah2"/>
            <w:tabs>
              <w:tab w:val="right" w:leader="dot" w:pos="10457"/>
            </w:tabs>
            <w:rPr>
              <w:rFonts w:asciiTheme="minorHAnsi" w:eastAsiaTheme="minorEastAsia" w:hAnsiTheme="minorHAnsi" w:cstheme="minorBidi"/>
              <w:noProof/>
              <w:sz w:val="22"/>
              <w:szCs w:val="22"/>
              <w:lang w:eastAsia="cs-CZ"/>
            </w:rPr>
          </w:pPr>
          <w:hyperlink w:anchor="_Toc418767145" w:history="1">
            <w:r w:rsidR="006172C3" w:rsidRPr="0058600B">
              <w:rPr>
                <w:rStyle w:val="Hypertextovodkaz"/>
                <w:noProof/>
              </w:rPr>
              <w:t>4.4</w:t>
            </w:r>
            <w:r w:rsidR="006172C3">
              <w:rPr>
                <w:rFonts w:asciiTheme="minorHAnsi" w:eastAsiaTheme="minorEastAsia" w:hAnsiTheme="minorHAnsi" w:cstheme="minorBidi"/>
                <w:noProof/>
                <w:sz w:val="22"/>
                <w:szCs w:val="22"/>
                <w:lang w:eastAsia="cs-CZ"/>
              </w:rPr>
              <w:tab/>
            </w:r>
            <w:r w:rsidR="006172C3" w:rsidRPr="0058600B">
              <w:rPr>
                <w:rStyle w:val="Hypertextovodkaz"/>
                <w:noProof/>
              </w:rPr>
              <w:t>Zkušenosti s finančními nástroji v ČR a vybraných členských státech EU</w:t>
            </w:r>
            <w:r w:rsidR="006172C3">
              <w:rPr>
                <w:noProof/>
                <w:webHidden/>
              </w:rPr>
              <w:tab/>
            </w:r>
            <w:r w:rsidR="006172C3">
              <w:rPr>
                <w:noProof/>
                <w:webHidden/>
              </w:rPr>
              <w:fldChar w:fldCharType="begin"/>
            </w:r>
            <w:r w:rsidR="006172C3">
              <w:rPr>
                <w:noProof/>
                <w:webHidden/>
              </w:rPr>
              <w:instrText xml:space="preserve"> PAGEREF _Toc418767145 \h </w:instrText>
            </w:r>
            <w:r w:rsidR="006172C3">
              <w:rPr>
                <w:noProof/>
                <w:webHidden/>
              </w:rPr>
            </w:r>
            <w:r w:rsidR="006172C3">
              <w:rPr>
                <w:noProof/>
                <w:webHidden/>
              </w:rPr>
              <w:fldChar w:fldCharType="separate"/>
            </w:r>
            <w:r w:rsidR="006172C3">
              <w:rPr>
                <w:noProof/>
                <w:webHidden/>
              </w:rPr>
              <w:t>40</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46" w:history="1">
            <w:r w:rsidR="006172C3" w:rsidRPr="0058600B">
              <w:rPr>
                <w:rStyle w:val="Hypertextovodkaz"/>
                <w:noProof/>
                <w14:scene3d>
                  <w14:camera w14:prst="orthographicFront"/>
                  <w14:lightRig w14:rig="threePt" w14:dir="t">
                    <w14:rot w14:lat="0" w14:lon="0" w14:rev="0"/>
                  </w14:lightRig>
                </w14:scene3d>
              </w:rPr>
              <w:t>4.4.1</w:t>
            </w:r>
            <w:r w:rsidR="006172C3">
              <w:rPr>
                <w:rFonts w:asciiTheme="minorHAnsi" w:eastAsiaTheme="minorEastAsia" w:hAnsiTheme="minorHAnsi" w:cstheme="minorBidi"/>
                <w:noProof/>
                <w:sz w:val="22"/>
                <w:szCs w:val="22"/>
                <w:lang w:eastAsia="cs-CZ"/>
              </w:rPr>
              <w:tab/>
            </w:r>
            <w:r w:rsidR="006172C3" w:rsidRPr="0058600B">
              <w:rPr>
                <w:rStyle w:val="Hypertextovodkaz"/>
                <w:noProof/>
              </w:rPr>
              <w:t>Přenesení zkušeností při využívání podobných již realizovaných nástrojů do návrhu inovativních finančních nástrojů v IROP</w:t>
            </w:r>
            <w:r w:rsidR="006172C3">
              <w:rPr>
                <w:noProof/>
                <w:webHidden/>
              </w:rPr>
              <w:tab/>
            </w:r>
            <w:r w:rsidR="006172C3">
              <w:rPr>
                <w:noProof/>
                <w:webHidden/>
              </w:rPr>
              <w:fldChar w:fldCharType="begin"/>
            </w:r>
            <w:r w:rsidR="006172C3">
              <w:rPr>
                <w:noProof/>
                <w:webHidden/>
              </w:rPr>
              <w:instrText xml:space="preserve"> PAGEREF _Toc418767146 \h </w:instrText>
            </w:r>
            <w:r w:rsidR="006172C3">
              <w:rPr>
                <w:noProof/>
                <w:webHidden/>
              </w:rPr>
            </w:r>
            <w:r w:rsidR="006172C3">
              <w:rPr>
                <w:noProof/>
                <w:webHidden/>
              </w:rPr>
              <w:fldChar w:fldCharType="separate"/>
            </w:r>
            <w:r w:rsidR="006172C3">
              <w:rPr>
                <w:noProof/>
                <w:webHidden/>
              </w:rPr>
              <w:t>40</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47" w:history="1">
            <w:r w:rsidR="006172C3" w:rsidRPr="0058600B">
              <w:rPr>
                <w:rStyle w:val="Hypertextovodkaz"/>
                <w:noProof/>
                <w14:scene3d>
                  <w14:camera w14:prst="orthographicFront"/>
                  <w14:lightRig w14:rig="threePt" w14:dir="t">
                    <w14:rot w14:lat="0" w14:lon="0" w14:rev="0"/>
                  </w14:lightRig>
                </w14:scene3d>
              </w:rPr>
              <w:t>4.4.2</w:t>
            </w:r>
            <w:r w:rsidR="006172C3">
              <w:rPr>
                <w:rFonts w:asciiTheme="minorHAnsi" w:eastAsiaTheme="minorEastAsia" w:hAnsiTheme="minorHAnsi" w:cstheme="minorBidi"/>
                <w:noProof/>
                <w:sz w:val="22"/>
                <w:szCs w:val="22"/>
                <w:lang w:eastAsia="cs-CZ"/>
              </w:rPr>
              <w:tab/>
            </w:r>
            <w:r w:rsidR="006172C3" w:rsidRPr="0058600B">
              <w:rPr>
                <w:rStyle w:val="Hypertextovodkaz"/>
                <w:noProof/>
              </w:rPr>
              <w:t>Zkušenosti v oblasti sociálního bydlení</w:t>
            </w:r>
            <w:r w:rsidR="006172C3">
              <w:rPr>
                <w:noProof/>
                <w:webHidden/>
              </w:rPr>
              <w:tab/>
            </w:r>
            <w:r w:rsidR="006172C3">
              <w:rPr>
                <w:noProof/>
                <w:webHidden/>
              </w:rPr>
              <w:fldChar w:fldCharType="begin"/>
            </w:r>
            <w:r w:rsidR="006172C3">
              <w:rPr>
                <w:noProof/>
                <w:webHidden/>
              </w:rPr>
              <w:instrText xml:space="preserve"> PAGEREF _Toc418767147 \h </w:instrText>
            </w:r>
            <w:r w:rsidR="006172C3">
              <w:rPr>
                <w:noProof/>
                <w:webHidden/>
              </w:rPr>
            </w:r>
            <w:r w:rsidR="006172C3">
              <w:rPr>
                <w:noProof/>
                <w:webHidden/>
              </w:rPr>
              <w:fldChar w:fldCharType="separate"/>
            </w:r>
            <w:r w:rsidR="006172C3">
              <w:rPr>
                <w:noProof/>
                <w:webHidden/>
              </w:rPr>
              <w:t>40</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48" w:history="1">
            <w:r w:rsidR="006172C3" w:rsidRPr="0058600B">
              <w:rPr>
                <w:rStyle w:val="Hypertextovodkaz"/>
                <w:noProof/>
                <w14:scene3d>
                  <w14:camera w14:prst="orthographicFront"/>
                  <w14:lightRig w14:rig="threePt" w14:dir="t">
                    <w14:rot w14:lat="0" w14:lon="0" w14:rev="0"/>
                  </w14:lightRig>
                </w14:scene3d>
              </w:rPr>
              <w:t>4.4.3</w:t>
            </w:r>
            <w:r w:rsidR="006172C3">
              <w:rPr>
                <w:rFonts w:asciiTheme="minorHAnsi" w:eastAsiaTheme="minorEastAsia" w:hAnsiTheme="minorHAnsi" w:cstheme="minorBidi"/>
                <w:noProof/>
                <w:sz w:val="22"/>
                <w:szCs w:val="22"/>
                <w:lang w:eastAsia="cs-CZ"/>
              </w:rPr>
              <w:tab/>
            </w:r>
            <w:r w:rsidR="006172C3" w:rsidRPr="0058600B">
              <w:rPr>
                <w:rStyle w:val="Hypertextovodkaz"/>
                <w:noProof/>
              </w:rPr>
              <w:t>Zkušenosti v oblasti snížení energetické náročnosti v sektoru bydlení</w:t>
            </w:r>
            <w:r w:rsidR="006172C3">
              <w:rPr>
                <w:noProof/>
                <w:webHidden/>
              </w:rPr>
              <w:tab/>
            </w:r>
            <w:r w:rsidR="006172C3">
              <w:rPr>
                <w:noProof/>
                <w:webHidden/>
              </w:rPr>
              <w:fldChar w:fldCharType="begin"/>
            </w:r>
            <w:r w:rsidR="006172C3">
              <w:rPr>
                <w:noProof/>
                <w:webHidden/>
              </w:rPr>
              <w:instrText xml:space="preserve"> PAGEREF _Toc418767148 \h </w:instrText>
            </w:r>
            <w:r w:rsidR="006172C3">
              <w:rPr>
                <w:noProof/>
                <w:webHidden/>
              </w:rPr>
            </w:r>
            <w:r w:rsidR="006172C3">
              <w:rPr>
                <w:noProof/>
                <w:webHidden/>
              </w:rPr>
              <w:fldChar w:fldCharType="separate"/>
            </w:r>
            <w:r w:rsidR="006172C3">
              <w:rPr>
                <w:noProof/>
                <w:webHidden/>
              </w:rPr>
              <w:t>43</w:t>
            </w:r>
            <w:r w:rsidR="006172C3">
              <w:rPr>
                <w:noProof/>
                <w:webHidden/>
              </w:rPr>
              <w:fldChar w:fldCharType="end"/>
            </w:r>
          </w:hyperlink>
        </w:p>
        <w:p w:rsidR="006172C3" w:rsidRDefault="00B853F3">
          <w:pPr>
            <w:pStyle w:val="Obsah1"/>
            <w:tabs>
              <w:tab w:val="right" w:leader="dot" w:pos="10457"/>
            </w:tabs>
            <w:rPr>
              <w:rFonts w:asciiTheme="minorHAnsi" w:eastAsiaTheme="minorEastAsia" w:hAnsiTheme="minorHAnsi" w:cstheme="minorBidi"/>
              <w:noProof/>
              <w:sz w:val="22"/>
              <w:szCs w:val="22"/>
              <w:lang w:eastAsia="cs-CZ"/>
            </w:rPr>
          </w:pPr>
          <w:hyperlink w:anchor="_Toc418767149" w:history="1">
            <w:r w:rsidR="006172C3" w:rsidRPr="0058600B">
              <w:rPr>
                <w:rStyle w:val="Hypertextovodkaz"/>
                <w:noProof/>
              </w:rPr>
              <w:t>5</w:t>
            </w:r>
            <w:r w:rsidR="006172C3">
              <w:rPr>
                <w:rFonts w:asciiTheme="minorHAnsi" w:eastAsiaTheme="minorEastAsia" w:hAnsiTheme="minorHAnsi" w:cstheme="minorBidi"/>
                <w:noProof/>
                <w:sz w:val="22"/>
                <w:szCs w:val="22"/>
                <w:lang w:eastAsia="cs-CZ"/>
              </w:rPr>
              <w:tab/>
            </w:r>
            <w:r w:rsidR="006172C3" w:rsidRPr="0058600B">
              <w:rPr>
                <w:rStyle w:val="Hypertextovodkaz"/>
                <w:noProof/>
              </w:rPr>
              <w:t>Blok B - Strategie řízení a implementace</w:t>
            </w:r>
            <w:r w:rsidR="006172C3">
              <w:rPr>
                <w:noProof/>
                <w:webHidden/>
              </w:rPr>
              <w:tab/>
            </w:r>
            <w:r w:rsidR="006172C3">
              <w:rPr>
                <w:noProof/>
                <w:webHidden/>
              </w:rPr>
              <w:fldChar w:fldCharType="begin"/>
            </w:r>
            <w:r w:rsidR="006172C3">
              <w:rPr>
                <w:noProof/>
                <w:webHidden/>
              </w:rPr>
              <w:instrText xml:space="preserve"> PAGEREF _Toc418767149 \h </w:instrText>
            </w:r>
            <w:r w:rsidR="006172C3">
              <w:rPr>
                <w:noProof/>
                <w:webHidden/>
              </w:rPr>
            </w:r>
            <w:r w:rsidR="006172C3">
              <w:rPr>
                <w:noProof/>
                <w:webHidden/>
              </w:rPr>
              <w:fldChar w:fldCharType="separate"/>
            </w:r>
            <w:r w:rsidR="006172C3">
              <w:rPr>
                <w:noProof/>
                <w:webHidden/>
              </w:rPr>
              <w:t>49</w:t>
            </w:r>
            <w:r w:rsidR="006172C3">
              <w:rPr>
                <w:noProof/>
                <w:webHidden/>
              </w:rPr>
              <w:fldChar w:fldCharType="end"/>
            </w:r>
          </w:hyperlink>
        </w:p>
        <w:p w:rsidR="006172C3" w:rsidRDefault="00B853F3">
          <w:pPr>
            <w:pStyle w:val="Obsah2"/>
            <w:tabs>
              <w:tab w:val="right" w:leader="dot" w:pos="10457"/>
            </w:tabs>
            <w:rPr>
              <w:rFonts w:asciiTheme="minorHAnsi" w:eastAsiaTheme="minorEastAsia" w:hAnsiTheme="minorHAnsi" w:cstheme="minorBidi"/>
              <w:noProof/>
              <w:sz w:val="22"/>
              <w:szCs w:val="22"/>
              <w:lang w:eastAsia="cs-CZ"/>
            </w:rPr>
          </w:pPr>
          <w:hyperlink w:anchor="_Toc418767150" w:history="1">
            <w:r w:rsidR="006172C3" w:rsidRPr="0058600B">
              <w:rPr>
                <w:rStyle w:val="Hypertextovodkaz"/>
                <w:rFonts w:asciiTheme="majorHAnsi" w:hAnsiTheme="majorHAnsi" w:cstheme="majorHAnsi"/>
                <w:noProof/>
              </w:rPr>
              <w:t>5.1</w:t>
            </w:r>
            <w:r w:rsidR="006172C3">
              <w:rPr>
                <w:rFonts w:asciiTheme="minorHAnsi" w:eastAsiaTheme="minorEastAsia" w:hAnsiTheme="minorHAnsi" w:cstheme="minorBidi"/>
                <w:noProof/>
                <w:sz w:val="22"/>
                <w:szCs w:val="22"/>
                <w:lang w:eastAsia="cs-CZ"/>
              </w:rPr>
              <w:tab/>
            </w:r>
            <w:r w:rsidR="006172C3" w:rsidRPr="0058600B">
              <w:rPr>
                <w:rStyle w:val="Hypertextovodkaz"/>
                <w:rFonts w:asciiTheme="majorHAnsi" w:hAnsiTheme="majorHAnsi" w:cstheme="majorHAnsi"/>
                <w:noProof/>
              </w:rPr>
              <w:t>Charakteristika implementační struktury</w:t>
            </w:r>
            <w:r w:rsidR="006172C3">
              <w:rPr>
                <w:noProof/>
                <w:webHidden/>
              </w:rPr>
              <w:tab/>
            </w:r>
            <w:r w:rsidR="006172C3">
              <w:rPr>
                <w:noProof/>
                <w:webHidden/>
              </w:rPr>
              <w:fldChar w:fldCharType="begin"/>
            </w:r>
            <w:r w:rsidR="006172C3">
              <w:rPr>
                <w:noProof/>
                <w:webHidden/>
              </w:rPr>
              <w:instrText xml:space="preserve"> PAGEREF _Toc418767150 \h </w:instrText>
            </w:r>
            <w:r w:rsidR="006172C3">
              <w:rPr>
                <w:noProof/>
                <w:webHidden/>
              </w:rPr>
            </w:r>
            <w:r w:rsidR="006172C3">
              <w:rPr>
                <w:noProof/>
                <w:webHidden/>
              </w:rPr>
              <w:fldChar w:fldCharType="separate"/>
            </w:r>
            <w:r w:rsidR="006172C3">
              <w:rPr>
                <w:noProof/>
                <w:webHidden/>
              </w:rPr>
              <w:t>49</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51" w:history="1">
            <w:r w:rsidR="006172C3" w:rsidRPr="0058600B">
              <w:rPr>
                <w:rStyle w:val="Hypertextovodkaz"/>
                <w:noProof/>
                <w14:scene3d>
                  <w14:camera w14:prst="orthographicFront"/>
                  <w14:lightRig w14:rig="threePt" w14:dir="t">
                    <w14:rot w14:lat="0" w14:lon="0" w14:rev="0"/>
                  </w14:lightRig>
                </w14:scene3d>
              </w:rPr>
              <w:t>5.1.1</w:t>
            </w:r>
            <w:r w:rsidR="006172C3">
              <w:rPr>
                <w:rFonts w:asciiTheme="minorHAnsi" w:eastAsiaTheme="minorEastAsia" w:hAnsiTheme="minorHAnsi" w:cstheme="minorBidi"/>
                <w:noProof/>
                <w:sz w:val="22"/>
                <w:szCs w:val="22"/>
                <w:lang w:eastAsia="cs-CZ"/>
              </w:rPr>
              <w:tab/>
            </w:r>
            <w:r w:rsidR="006172C3" w:rsidRPr="0058600B">
              <w:rPr>
                <w:rStyle w:val="Hypertextovodkaz"/>
                <w:noProof/>
              </w:rPr>
              <w:t>Základní posouzení možností implementace IFN</w:t>
            </w:r>
            <w:r w:rsidR="006172C3">
              <w:rPr>
                <w:noProof/>
                <w:webHidden/>
              </w:rPr>
              <w:tab/>
            </w:r>
            <w:r w:rsidR="006172C3">
              <w:rPr>
                <w:noProof/>
                <w:webHidden/>
              </w:rPr>
              <w:fldChar w:fldCharType="begin"/>
            </w:r>
            <w:r w:rsidR="006172C3">
              <w:rPr>
                <w:noProof/>
                <w:webHidden/>
              </w:rPr>
              <w:instrText xml:space="preserve"> PAGEREF _Toc418767151 \h </w:instrText>
            </w:r>
            <w:r w:rsidR="006172C3">
              <w:rPr>
                <w:noProof/>
                <w:webHidden/>
              </w:rPr>
            </w:r>
            <w:r w:rsidR="006172C3">
              <w:rPr>
                <w:noProof/>
                <w:webHidden/>
              </w:rPr>
              <w:fldChar w:fldCharType="separate"/>
            </w:r>
            <w:r w:rsidR="006172C3">
              <w:rPr>
                <w:noProof/>
                <w:webHidden/>
              </w:rPr>
              <w:t>49</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52" w:history="1">
            <w:r w:rsidR="006172C3" w:rsidRPr="0058600B">
              <w:rPr>
                <w:rStyle w:val="Hypertextovodkaz"/>
                <w:noProof/>
                <w14:scene3d>
                  <w14:camera w14:prst="orthographicFront"/>
                  <w14:lightRig w14:rig="threePt" w14:dir="t">
                    <w14:rot w14:lat="0" w14:lon="0" w14:rev="0"/>
                  </w14:lightRig>
                </w14:scene3d>
              </w:rPr>
              <w:t>5.1.2</w:t>
            </w:r>
            <w:r w:rsidR="006172C3">
              <w:rPr>
                <w:rFonts w:asciiTheme="minorHAnsi" w:eastAsiaTheme="minorEastAsia" w:hAnsiTheme="minorHAnsi" w:cstheme="minorBidi"/>
                <w:noProof/>
                <w:sz w:val="22"/>
                <w:szCs w:val="22"/>
                <w:lang w:eastAsia="cs-CZ"/>
              </w:rPr>
              <w:tab/>
            </w:r>
            <w:r w:rsidR="006172C3" w:rsidRPr="0058600B">
              <w:rPr>
                <w:rStyle w:val="Hypertextovodkaz"/>
                <w:noProof/>
              </w:rPr>
              <w:t>Posouzení možnosti využití nástrojů zřízených na úrovni Unie, spravované přímo nebo nepřímo Komisí</w:t>
            </w:r>
            <w:r w:rsidR="006172C3">
              <w:rPr>
                <w:noProof/>
                <w:webHidden/>
              </w:rPr>
              <w:tab/>
            </w:r>
            <w:r w:rsidR="006172C3">
              <w:rPr>
                <w:noProof/>
                <w:webHidden/>
              </w:rPr>
              <w:fldChar w:fldCharType="begin"/>
            </w:r>
            <w:r w:rsidR="006172C3">
              <w:rPr>
                <w:noProof/>
                <w:webHidden/>
              </w:rPr>
              <w:instrText xml:space="preserve"> PAGEREF _Toc418767152 \h </w:instrText>
            </w:r>
            <w:r w:rsidR="006172C3">
              <w:rPr>
                <w:noProof/>
                <w:webHidden/>
              </w:rPr>
            </w:r>
            <w:r w:rsidR="006172C3">
              <w:rPr>
                <w:noProof/>
                <w:webHidden/>
              </w:rPr>
              <w:fldChar w:fldCharType="separate"/>
            </w:r>
            <w:r w:rsidR="006172C3">
              <w:rPr>
                <w:noProof/>
                <w:webHidden/>
              </w:rPr>
              <w:t>49</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53" w:history="1">
            <w:r w:rsidR="006172C3" w:rsidRPr="0058600B">
              <w:rPr>
                <w:rStyle w:val="Hypertextovodkaz"/>
                <w:noProof/>
                <w14:scene3d>
                  <w14:camera w14:prst="orthographicFront"/>
                  <w14:lightRig w14:rig="threePt" w14:dir="t">
                    <w14:rot w14:lat="0" w14:lon="0" w14:rev="0"/>
                  </w14:lightRig>
                </w14:scene3d>
              </w:rPr>
              <w:t>5.1.3</w:t>
            </w:r>
            <w:r w:rsidR="006172C3">
              <w:rPr>
                <w:rFonts w:asciiTheme="minorHAnsi" w:eastAsiaTheme="minorEastAsia" w:hAnsiTheme="minorHAnsi" w:cstheme="minorBidi"/>
                <w:noProof/>
                <w:sz w:val="22"/>
                <w:szCs w:val="22"/>
                <w:lang w:eastAsia="cs-CZ"/>
              </w:rPr>
              <w:tab/>
            </w:r>
            <w:r w:rsidR="006172C3" w:rsidRPr="0058600B">
              <w:rPr>
                <w:rStyle w:val="Hypertextovodkaz"/>
                <w:noProof/>
              </w:rPr>
              <w:t>Posouzení IFN zřízeného na celostátní, regionální, nadnárodní nebo přeshraniční úrovni</w:t>
            </w:r>
            <w:r w:rsidR="006172C3">
              <w:rPr>
                <w:noProof/>
                <w:webHidden/>
              </w:rPr>
              <w:tab/>
            </w:r>
            <w:r w:rsidR="006172C3">
              <w:rPr>
                <w:noProof/>
                <w:webHidden/>
              </w:rPr>
              <w:fldChar w:fldCharType="begin"/>
            </w:r>
            <w:r w:rsidR="006172C3">
              <w:rPr>
                <w:noProof/>
                <w:webHidden/>
              </w:rPr>
              <w:instrText xml:space="preserve"> PAGEREF _Toc418767153 \h </w:instrText>
            </w:r>
            <w:r w:rsidR="006172C3">
              <w:rPr>
                <w:noProof/>
                <w:webHidden/>
              </w:rPr>
            </w:r>
            <w:r w:rsidR="006172C3">
              <w:rPr>
                <w:noProof/>
                <w:webHidden/>
              </w:rPr>
              <w:fldChar w:fldCharType="separate"/>
            </w:r>
            <w:r w:rsidR="006172C3">
              <w:rPr>
                <w:noProof/>
                <w:webHidden/>
              </w:rPr>
              <w:t>50</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54" w:history="1">
            <w:r w:rsidR="006172C3" w:rsidRPr="0058600B">
              <w:rPr>
                <w:rStyle w:val="Hypertextovodkaz"/>
                <w:noProof/>
                <w14:scene3d>
                  <w14:camera w14:prst="orthographicFront"/>
                  <w14:lightRig w14:rig="threePt" w14:dir="t">
                    <w14:rot w14:lat="0" w14:lon="0" w14:rev="0"/>
                  </w14:lightRig>
                </w14:scene3d>
              </w:rPr>
              <w:t>5.1.4</w:t>
            </w:r>
            <w:r w:rsidR="006172C3">
              <w:rPr>
                <w:rFonts w:asciiTheme="minorHAnsi" w:eastAsiaTheme="minorEastAsia" w:hAnsiTheme="minorHAnsi" w:cstheme="minorBidi"/>
                <w:noProof/>
                <w:sz w:val="22"/>
                <w:szCs w:val="22"/>
                <w:lang w:eastAsia="cs-CZ"/>
              </w:rPr>
              <w:tab/>
            </w:r>
            <w:r w:rsidR="006172C3" w:rsidRPr="0058600B">
              <w:rPr>
                <w:rStyle w:val="Hypertextovodkaz"/>
                <w:noProof/>
              </w:rPr>
              <w:t>Posouzení vhodnosti zapojení subjektů dle čl. 38 (4) (b) Obecného nařízení</w:t>
            </w:r>
            <w:r w:rsidR="006172C3">
              <w:rPr>
                <w:noProof/>
                <w:webHidden/>
              </w:rPr>
              <w:tab/>
            </w:r>
            <w:r w:rsidR="006172C3">
              <w:rPr>
                <w:noProof/>
                <w:webHidden/>
              </w:rPr>
              <w:fldChar w:fldCharType="begin"/>
            </w:r>
            <w:r w:rsidR="006172C3">
              <w:rPr>
                <w:noProof/>
                <w:webHidden/>
              </w:rPr>
              <w:instrText xml:space="preserve"> PAGEREF _Toc418767154 \h </w:instrText>
            </w:r>
            <w:r w:rsidR="006172C3">
              <w:rPr>
                <w:noProof/>
                <w:webHidden/>
              </w:rPr>
            </w:r>
            <w:r w:rsidR="006172C3">
              <w:rPr>
                <w:noProof/>
                <w:webHidden/>
              </w:rPr>
              <w:fldChar w:fldCharType="separate"/>
            </w:r>
            <w:r w:rsidR="006172C3">
              <w:rPr>
                <w:noProof/>
                <w:webHidden/>
              </w:rPr>
              <w:t>53</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55" w:history="1">
            <w:r w:rsidR="006172C3" w:rsidRPr="0058600B">
              <w:rPr>
                <w:rStyle w:val="Hypertextovodkaz"/>
                <w:rFonts w:eastAsia="Arial"/>
                <w:noProof/>
                <w14:scene3d>
                  <w14:camera w14:prst="orthographicFront"/>
                  <w14:lightRig w14:rig="threePt" w14:dir="t">
                    <w14:rot w14:lat="0" w14:lon="0" w14:rev="0"/>
                  </w14:lightRig>
                </w14:scene3d>
              </w:rPr>
              <w:t>5.1.5</w:t>
            </w:r>
            <w:r w:rsidR="006172C3">
              <w:rPr>
                <w:rFonts w:asciiTheme="minorHAnsi" w:eastAsiaTheme="minorEastAsia" w:hAnsiTheme="minorHAnsi" w:cstheme="minorBidi"/>
                <w:noProof/>
                <w:sz w:val="22"/>
                <w:szCs w:val="22"/>
                <w:lang w:eastAsia="cs-CZ"/>
              </w:rPr>
              <w:tab/>
            </w:r>
            <w:r w:rsidR="006172C3" w:rsidRPr="0058600B">
              <w:rPr>
                <w:rStyle w:val="Hypertextovodkaz"/>
                <w:rFonts w:eastAsia="Arial"/>
                <w:noProof/>
              </w:rPr>
              <w:t>Rámcové schéma navrhovaného FN a posouzení jeho začlenění do národního holdingového fondu</w:t>
            </w:r>
            <w:r w:rsidR="006172C3">
              <w:rPr>
                <w:noProof/>
                <w:webHidden/>
              </w:rPr>
              <w:tab/>
            </w:r>
            <w:r w:rsidR="006172C3">
              <w:rPr>
                <w:noProof/>
                <w:webHidden/>
              </w:rPr>
              <w:fldChar w:fldCharType="begin"/>
            </w:r>
            <w:r w:rsidR="006172C3">
              <w:rPr>
                <w:noProof/>
                <w:webHidden/>
              </w:rPr>
              <w:instrText xml:space="preserve"> PAGEREF _Toc418767155 \h </w:instrText>
            </w:r>
            <w:r w:rsidR="006172C3">
              <w:rPr>
                <w:noProof/>
                <w:webHidden/>
              </w:rPr>
            </w:r>
            <w:r w:rsidR="006172C3">
              <w:rPr>
                <w:noProof/>
                <w:webHidden/>
              </w:rPr>
              <w:fldChar w:fldCharType="separate"/>
            </w:r>
            <w:r w:rsidR="006172C3">
              <w:rPr>
                <w:noProof/>
                <w:webHidden/>
              </w:rPr>
              <w:t>57</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56" w:history="1">
            <w:r w:rsidR="006172C3" w:rsidRPr="0058600B">
              <w:rPr>
                <w:rStyle w:val="Hypertextovodkaz"/>
                <w:noProof/>
                <w14:scene3d>
                  <w14:camera w14:prst="orthographicFront"/>
                  <w14:lightRig w14:rig="threePt" w14:dir="t">
                    <w14:rot w14:lat="0" w14:lon="0" w14:rev="0"/>
                  </w14:lightRig>
                </w14:scene3d>
              </w:rPr>
              <w:t>5.1.6</w:t>
            </w:r>
            <w:r w:rsidR="006172C3">
              <w:rPr>
                <w:rFonts w:asciiTheme="minorHAnsi" w:eastAsiaTheme="minorEastAsia" w:hAnsiTheme="minorHAnsi" w:cstheme="minorBidi"/>
                <w:noProof/>
                <w:sz w:val="22"/>
                <w:szCs w:val="22"/>
                <w:lang w:eastAsia="cs-CZ"/>
              </w:rPr>
              <w:tab/>
            </w:r>
            <w:r w:rsidR="006172C3" w:rsidRPr="0058600B">
              <w:rPr>
                <w:rStyle w:val="Hypertextovodkaz"/>
                <w:noProof/>
              </w:rPr>
              <w:t>Kroky nezbytné k zavedení finančního nástroje</w:t>
            </w:r>
            <w:r w:rsidR="006172C3">
              <w:rPr>
                <w:noProof/>
                <w:webHidden/>
              </w:rPr>
              <w:tab/>
            </w:r>
            <w:r w:rsidR="006172C3">
              <w:rPr>
                <w:noProof/>
                <w:webHidden/>
              </w:rPr>
              <w:fldChar w:fldCharType="begin"/>
            </w:r>
            <w:r w:rsidR="006172C3">
              <w:rPr>
                <w:noProof/>
                <w:webHidden/>
              </w:rPr>
              <w:instrText xml:space="preserve"> PAGEREF _Toc418767156 \h </w:instrText>
            </w:r>
            <w:r w:rsidR="006172C3">
              <w:rPr>
                <w:noProof/>
                <w:webHidden/>
              </w:rPr>
            </w:r>
            <w:r w:rsidR="006172C3">
              <w:rPr>
                <w:noProof/>
                <w:webHidden/>
              </w:rPr>
              <w:fldChar w:fldCharType="separate"/>
            </w:r>
            <w:r w:rsidR="006172C3">
              <w:rPr>
                <w:noProof/>
                <w:webHidden/>
              </w:rPr>
              <w:t>59</w:t>
            </w:r>
            <w:r w:rsidR="006172C3">
              <w:rPr>
                <w:noProof/>
                <w:webHidden/>
              </w:rPr>
              <w:fldChar w:fldCharType="end"/>
            </w:r>
          </w:hyperlink>
        </w:p>
        <w:p w:rsidR="006172C3" w:rsidRDefault="00B853F3">
          <w:pPr>
            <w:pStyle w:val="Obsah2"/>
            <w:tabs>
              <w:tab w:val="right" w:leader="dot" w:pos="10457"/>
            </w:tabs>
            <w:rPr>
              <w:rFonts w:asciiTheme="minorHAnsi" w:eastAsiaTheme="minorEastAsia" w:hAnsiTheme="minorHAnsi" w:cstheme="minorBidi"/>
              <w:noProof/>
              <w:sz w:val="22"/>
              <w:szCs w:val="22"/>
              <w:lang w:eastAsia="cs-CZ"/>
            </w:rPr>
          </w:pPr>
          <w:hyperlink w:anchor="_Toc418767157" w:history="1">
            <w:r w:rsidR="006172C3" w:rsidRPr="0058600B">
              <w:rPr>
                <w:rStyle w:val="Hypertextovodkaz"/>
                <w:noProof/>
              </w:rPr>
              <w:t>5.2</w:t>
            </w:r>
            <w:r w:rsidR="006172C3">
              <w:rPr>
                <w:rFonts w:asciiTheme="minorHAnsi" w:eastAsiaTheme="minorEastAsia" w:hAnsiTheme="minorHAnsi" w:cstheme="minorBidi"/>
                <w:noProof/>
                <w:sz w:val="22"/>
                <w:szCs w:val="22"/>
                <w:lang w:eastAsia="cs-CZ"/>
              </w:rPr>
              <w:tab/>
            </w:r>
            <w:r w:rsidR="006172C3" w:rsidRPr="0058600B">
              <w:rPr>
                <w:rStyle w:val="Hypertextovodkaz"/>
                <w:noProof/>
              </w:rPr>
              <w:t>Návrh investiční strategie</w:t>
            </w:r>
            <w:r w:rsidR="006172C3">
              <w:rPr>
                <w:noProof/>
                <w:webHidden/>
              </w:rPr>
              <w:tab/>
            </w:r>
            <w:r w:rsidR="006172C3">
              <w:rPr>
                <w:noProof/>
                <w:webHidden/>
              </w:rPr>
              <w:fldChar w:fldCharType="begin"/>
            </w:r>
            <w:r w:rsidR="006172C3">
              <w:rPr>
                <w:noProof/>
                <w:webHidden/>
              </w:rPr>
              <w:instrText xml:space="preserve"> PAGEREF _Toc418767157 \h </w:instrText>
            </w:r>
            <w:r w:rsidR="006172C3">
              <w:rPr>
                <w:noProof/>
                <w:webHidden/>
              </w:rPr>
            </w:r>
            <w:r w:rsidR="006172C3">
              <w:rPr>
                <w:noProof/>
                <w:webHidden/>
              </w:rPr>
              <w:fldChar w:fldCharType="separate"/>
            </w:r>
            <w:r w:rsidR="006172C3">
              <w:rPr>
                <w:noProof/>
                <w:webHidden/>
              </w:rPr>
              <w:t>73</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58" w:history="1">
            <w:r w:rsidR="006172C3" w:rsidRPr="0058600B">
              <w:rPr>
                <w:rStyle w:val="Hypertextovodkaz"/>
                <w:rFonts w:eastAsia="Arial"/>
                <w:noProof/>
                <w14:scene3d>
                  <w14:camera w14:prst="orthographicFront"/>
                  <w14:lightRig w14:rig="threePt" w14:dir="t">
                    <w14:rot w14:lat="0" w14:lon="0" w14:rev="0"/>
                  </w14:lightRig>
                </w14:scene3d>
              </w:rPr>
              <w:t>5.2.1</w:t>
            </w:r>
            <w:r w:rsidR="006172C3">
              <w:rPr>
                <w:rFonts w:asciiTheme="minorHAnsi" w:eastAsiaTheme="minorEastAsia" w:hAnsiTheme="minorHAnsi" w:cstheme="minorBidi"/>
                <w:noProof/>
                <w:sz w:val="22"/>
                <w:szCs w:val="22"/>
                <w:lang w:eastAsia="cs-CZ"/>
              </w:rPr>
              <w:tab/>
            </w:r>
            <w:r w:rsidR="006172C3" w:rsidRPr="0058600B">
              <w:rPr>
                <w:rStyle w:val="Hypertextovodkaz"/>
                <w:rFonts w:eastAsia="Arial"/>
                <w:noProof/>
              </w:rPr>
              <w:t>Popis výchozí situace</w:t>
            </w:r>
            <w:r w:rsidR="006172C3">
              <w:rPr>
                <w:noProof/>
                <w:webHidden/>
              </w:rPr>
              <w:tab/>
            </w:r>
            <w:r w:rsidR="006172C3">
              <w:rPr>
                <w:noProof/>
                <w:webHidden/>
              </w:rPr>
              <w:fldChar w:fldCharType="begin"/>
            </w:r>
            <w:r w:rsidR="006172C3">
              <w:rPr>
                <w:noProof/>
                <w:webHidden/>
              </w:rPr>
              <w:instrText xml:space="preserve"> PAGEREF _Toc418767158 \h </w:instrText>
            </w:r>
            <w:r w:rsidR="006172C3">
              <w:rPr>
                <w:noProof/>
                <w:webHidden/>
              </w:rPr>
            </w:r>
            <w:r w:rsidR="006172C3">
              <w:rPr>
                <w:noProof/>
                <w:webHidden/>
              </w:rPr>
              <w:fldChar w:fldCharType="separate"/>
            </w:r>
            <w:r w:rsidR="006172C3">
              <w:rPr>
                <w:noProof/>
                <w:webHidden/>
              </w:rPr>
              <w:t>73</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59" w:history="1">
            <w:r w:rsidR="006172C3" w:rsidRPr="0058600B">
              <w:rPr>
                <w:rStyle w:val="Hypertextovodkaz"/>
                <w:rFonts w:eastAsia="Arial"/>
                <w:noProof/>
                <w14:scene3d>
                  <w14:camera w14:prst="orthographicFront"/>
                  <w14:lightRig w14:rig="threePt" w14:dir="t">
                    <w14:rot w14:lat="0" w14:lon="0" w14:rev="0"/>
                  </w14:lightRig>
                </w14:scene3d>
              </w:rPr>
              <w:t>5.2.2</w:t>
            </w:r>
            <w:r w:rsidR="006172C3">
              <w:rPr>
                <w:rFonts w:asciiTheme="minorHAnsi" w:eastAsiaTheme="minorEastAsia" w:hAnsiTheme="minorHAnsi" w:cstheme="minorBidi"/>
                <w:noProof/>
                <w:sz w:val="22"/>
                <w:szCs w:val="22"/>
                <w:lang w:eastAsia="cs-CZ"/>
              </w:rPr>
              <w:tab/>
            </w:r>
            <w:r w:rsidR="006172C3" w:rsidRPr="0058600B">
              <w:rPr>
                <w:rStyle w:val="Hypertextovodkaz"/>
                <w:rFonts w:eastAsia="Arial"/>
                <w:noProof/>
              </w:rPr>
              <w:t>Popis cílů finančního nástroje</w:t>
            </w:r>
            <w:r w:rsidR="006172C3">
              <w:rPr>
                <w:noProof/>
                <w:webHidden/>
              </w:rPr>
              <w:tab/>
            </w:r>
            <w:r w:rsidR="006172C3">
              <w:rPr>
                <w:noProof/>
                <w:webHidden/>
              </w:rPr>
              <w:fldChar w:fldCharType="begin"/>
            </w:r>
            <w:r w:rsidR="006172C3">
              <w:rPr>
                <w:noProof/>
                <w:webHidden/>
              </w:rPr>
              <w:instrText xml:space="preserve"> PAGEREF _Toc418767159 \h </w:instrText>
            </w:r>
            <w:r w:rsidR="006172C3">
              <w:rPr>
                <w:noProof/>
                <w:webHidden/>
              </w:rPr>
            </w:r>
            <w:r w:rsidR="006172C3">
              <w:rPr>
                <w:noProof/>
                <w:webHidden/>
              </w:rPr>
              <w:fldChar w:fldCharType="separate"/>
            </w:r>
            <w:r w:rsidR="006172C3">
              <w:rPr>
                <w:noProof/>
                <w:webHidden/>
              </w:rPr>
              <w:t>75</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60" w:history="1">
            <w:r w:rsidR="006172C3" w:rsidRPr="0058600B">
              <w:rPr>
                <w:rStyle w:val="Hypertextovodkaz"/>
                <w:rFonts w:eastAsia="Arial"/>
                <w:noProof/>
                <w14:scene3d>
                  <w14:camera w14:prst="orthographicFront"/>
                  <w14:lightRig w14:rig="threePt" w14:dir="t">
                    <w14:rot w14:lat="0" w14:lon="0" w14:rev="0"/>
                  </w14:lightRig>
                </w14:scene3d>
              </w:rPr>
              <w:t>5.2.3</w:t>
            </w:r>
            <w:r w:rsidR="006172C3">
              <w:rPr>
                <w:rFonts w:asciiTheme="minorHAnsi" w:eastAsiaTheme="minorEastAsia" w:hAnsiTheme="minorHAnsi" w:cstheme="minorBidi"/>
                <w:noProof/>
                <w:sz w:val="22"/>
                <w:szCs w:val="22"/>
                <w:lang w:eastAsia="cs-CZ"/>
              </w:rPr>
              <w:tab/>
            </w:r>
            <w:r w:rsidR="006172C3" w:rsidRPr="0058600B">
              <w:rPr>
                <w:rStyle w:val="Hypertextovodkaz"/>
                <w:rFonts w:eastAsia="Arial"/>
                <w:noProof/>
              </w:rPr>
              <w:t>Charakteristika implementační struktury</w:t>
            </w:r>
            <w:r w:rsidR="006172C3">
              <w:rPr>
                <w:noProof/>
                <w:webHidden/>
              </w:rPr>
              <w:tab/>
            </w:r>
            <w:r w:rsidR="006172C3">
              <w:rPr>
                <w:noProof/>
                <w:webHidden/>
              </w:rPr>
              <w:fldChar w:fldCharType="begin"/>
            </w:r>
            <w:r w:rsidR="006172C3">
              <w:rPr>
                <w:noProof/>
                <w:webHidden/>
              </w:rPr>
              <w:instrText xml:space="preserve"> PAGEREF _Toc418767160 \h </w:instrText>
            </w:r>
            <w:r w:rsidR="006172C3">
              <w:rPr>
                <w:noProof/>
                <w:webHidden/>
              </w:rPr>
            </w:r>
            <w:r w:rsidR="006172C3">
              <w:rPr>
                <w:noProof/>
                <w:webHidden/>
              </w:rPr>
              <w:fldChar w:fldCharType="separate"/>
            </w:r>
            <w:r w:rsidR="006172C3">
              <w:rPr>
                <w:noProof/>
                <w:webHidden/>
              </w:rPr>
              <w:t>76</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61" w:history="1">
            <w:r w:rsidR="006172C3" w:rsidRPr="0058600B">
              <w:rPr>
                <w:rStyle w:val="Hypertextovodkaz"/>
                <w:rFonts w:eastAsia="Arial"/>
                <w:noProof/>
                <w14:scene3d>
                  <w14:camera w14:prst="orthographicFront"/>
                  <w14:lightRig w14:rig="threePt" w14:dir="t">
                    <w14:rot w14:lat="0" w14:lon="0" w14:rev="0"/>
                  </w14:lightRig>
                </w14:scene3d>
              </w:rPr>
              <w:t>5.2.4</w:t>
            </w:r>
            <w:r w:rsidR="006172C3">
              <w:rPr>
                <w:rFonts w:asciiTheme="minorHAnsi" w:eastAsiaTheme="minorEastAsia" w:hAnsiTheme="minorHAnsi" w:cstheme="minorBidi"/>
                <w:noProof/>
                <w:sz w:val="22"/>
                <w:szCs w:val="22"/>
                <w:lang w:eastAsia="cs-CZ"/>
              </w:rPr>
              <w:tab/>
            </w:r>
            <w:r w:rsidR="006172C3" w:rsidRPr="0058600B">
              <w:rPr>
                <w:rStyle w:val="Hypertextovodkaz"/>
                <w:rFonts w:eastAsia="Arial"/>
                <w:noProof/>
              </w:rPr>
              <w:t>Základní parametry finančního nástroje a schéma fungování - návrh konkrétního finančního nástroje</w:t>
            </w:r>
            <w:r w:rsidR="006172C3">
              <w:rPr>
                <w:noProof/>
                <w:webHidden/>
              </w:rPr>
              <w:tab/>
            </w:r>
            <w:r w:rsidR="006172C3">
              <w:rPr>
                <w:noProof/>
                <w:webHidden/>
              </w:rPr>
              <w:fldChar w:fldCharType="begin"/>
            </w:r>
            <w:r w:rsidR="006172C3">
              <w:rPr>
                <w:noProof/>
                <w:webHidden/>
              </w:rPr>
              <w:instrText xml:space="preserve"> PAGEREF _Toc418767161 \h </w:instrText>
            </w:r>
            <w:r w:rsidR="006172C3">
              <w:rPr>
                <w:noProof/>
                <w:webHidden/>
              </w:rPr>
            </w:r>
            <w:r w:rsidR="006172C3">
              <w:rPr>
                <w:noProof/>
                <w:webHidden/>
              </w:rPr>
              <w:fldChar w:fldCharType="separate"/>
            </w:r>
            <w:r w:rsidR="006172C3">
              <w:rPr>
                <w:noProof/>
                <w:webHidden/>
              </w:rPr>
              <w:t>76</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62" w:history="1">
            <w:r w:rsidR="006172C3" w:rsidRPr="0058600B">
              <w:rPr>
                <w:rStyle w:val="Hypertextovodkaz"/>
                <w:rFonts w:eastAsia="Arial"/>
                <w:noProof/>
                <w14:scene3d>
                  <w14:camera w14:prst="orthographicFront"/>
                  <w14:lightRig w14:rig="threePt" w14:dir="t">
                    <w14:rot w14:lat="0" w14:lon="0" w14:rev="0"/>
                  </w14:lightRig>
                </w14:scene3d>
              </w:rPr>
              <w:t>5.2.5</w:t>
            </w:r>
            <w:r w:rsidR="006172C3">
              <w:rPr>
                <w:rFonts w:asciiTheme="minorHAnsi" w:eastAsiaTheme="minorEastAsia" w:hAnsiTheme="minorHAnsi" w:cstheme="minorBidi"/>
                <w:noProof/>
                <w:sz w:val="22"/>
                <w:szCs w:val="22"/>
                <w:lang w:eastAsia="cs-CZ"/>
              </w:rPr>
              <w:tab/>
            </w:r>
            <w:r w:rsidR="006172C3" w:rsidRPr="0058600B">
              <w:rPr>
                <w:rStyle w:val="Hypertextovodkaz"/>
                <w:rFonts w:eastAsia="Arial"/>
                <w:noProof/>
              </w:rPr>
              <w:t>Zhodnocení variant fungování finančního nástroje</w:t>
            </w:r>
            <w:r w:rsidR="006172C3">
              <w:rPr>
                <w:noProof/>
                <w:webHidden/>
              </w:rPr>
              <w:tab/>
            </w:r>
            <w:r w:rsidR="006172C3">
              <w:rPr>
                <w:noProof/>
                <w:webHidden/>
              </w:rPr>
              <w:fldChar w:fldCharType="begin"/>
            </w:r>
            <w:r w:rsidR="006172C3">
              <w:rPr>
                <w:noProof/>
                <w:webHidden/>
              </w:rPr>
              <w:instrText xml:space="preserve"> PAGEREF _Toc418767162 \h </w:instrText>
            </w:r>
            <w:r w:rsidR="006172C3">
              <w:rPr>
                <w:noProof/>
                <w:webHidden/>
              </w:rPr>
            </w:r>
            <w:r w:rsidR="006172C3">
              <w:rPr>
                <w:noProof/>
                <w:webHidden/>
              </w:rPr>
              <w:fldChar w:fldCharType="separate"/>
            </w:r>
            <w:r w:rsidR="006172C3">
              <w:rPr>
                <w:noProof/>
                <w:webHidden/>
              </w:rPr>
              <w:t>85</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63" w:history="1">
            <w:r w:rsidR="006172C3" w:rsidRPr="0058600B">
              <w:rPr>
                <w:rStyle w:val="Hypertextovodkaz"/>
                <w:rFonts w:eastAsia="Arial"/>
                <w:noProof/>
                <w14:scene3d>
                  <w14:camera w14:prst="orthographicFront"/>
                  <w14:lightRig w14:rig="threePt" w14:dir="t">
                    <w14:rot w14:lat="0" w14:lon="0" w14:rev="0"/>
                  </w14:lightRig>
                </w14:scene3d>
              </w:rPr>
              <w:t>5.2.6</w:t>
            </w:r>
            <w:r w:rsidR="006172C3">
              <w:rPr>
                <w:rFonts w:asciiTheme="minorHAnsi" w:eastAsiaTheme="minorEastAsia" w:hAnsiTheme="minorHAnsi" w:cstheme="minorBidi"/>
                <w:noProof/>
                <w:sz w:val="22"/>
                <w:szCs w:val="22"/>
                <w:lang w:eastAsia="cs-CZ"/>
              </w:rPr>
              <w:tab/>
            </w:r>
            <w:r w:rsidR="006172C3" w:rsidRPr="0058600B">
              <w:rPr>
                <w:rStyle w:val="Hypertextovodkaz"/>
                <w:rFonts w:eastAsia="Arial"/>
                <w:noProof/>
              </w:rPr>
              <w:t>Typický příklad – srovnání dotační podpory a zvýhodněného úvěru</w:t>
            </w:r>
            <w:r w:rsidR="006172C3">
              <w:rPr>
                <w:noProof/>
                <w:webHidden/>
              </w:rPr>
              <w:tab/>
            </w:r>
            <w:r w:rsidR="006172C3">
              <w:rPr>
                <w:noProof/>
                <w:webHidden/>
              </w:rPr>
              <w:fldChar w:fldCharType="begin"/>
            </w:r>
            <w:r w:rsidR="006172C3">
              <w:rPr>
                <w:noProof/>
                <w:webHidden/>
              </w:rPr>
              <w:instrText xml:space="preserve"> PAGEREF _Toc418767163 \h </w:instrText>
            </w:r>
            <w:r w:rsidR="006172C3">
              <w:rPr>
                <w:noProof/>
                <w:webHidden/>
              </w:rPr>
            </w:r>
            <w:r w:rsidR="006172C3">
              <w:rPr>
                <w:noProof/>
                <w:webHidden/>
              </w:rPr>
              <w:fldChar w:fldCharType="separate"/>
            </w:r>
            <w:r w:rsidR="006172C3">
              <w:rPr>
                <w:noProof/>
                <w:webHidden/>
              </w:rPr>
              <w:t>86</w:t>
            </w:r>
            <w:r w:rsidR="006172C3">
              <w:rPr>
                <w:noProof/>
                <w:webHidden/>
              </w:rPr>
              <w:fldChar w:fldCharType="end"/>
            </w:r>
          </w:hyperlink>
        </w:p>
        <w:p w:rsidR="006172C3" w:rsidRDefault="00B853F3">
          <w:pPr>
            <w:pStyle w:val="Obsah2"/>
            <w:tabs>
              <w:tab w:val="right" w:leader="dot" w:pos="10457"/>
            </w:tabs>
            <w:rPr>
              <w:rFonts w:asciiTheme="minorHAnsi" w:eastAsiaTheme="minorEastAsia" w:hAnsiTheme="minorHAnsi" w:cstheme="minorBidi"/>
              <w:noProof/>
              <w:sz w:val="22"/>
              <w:szCs w:val="22"/>
              <w:lang w:eastAsia="cs-CZ"/>
            </w:rPr>
          </w:pPr>
          <w:hyperlink w:anchor="_Toc418767164" w:history="1">
            <w:r w:rsidR="006172C3" w:rsidRPr="0058600B">
              <w:rPr>
                <w:rStyle w:val="Hypertextovodkaz"/>
                <w:noProof/>
              </w:rPr>
              <w:t>5.3</w:t>
            </w:r>
            <w:r w:rsidR="006172C3">
              <w:rPr>
                <w:rFonts w:asciiTheme="minorHAnsi" w:eastAsiaTheme="minorEastAsia" w:hAnsiTheme="minorHAnsi" w:cstheme="minorBidi"/>
                <w:noProof/>
                <w:sz w:val="22"/>
                <w:szCs w:val="22"/>
                <w:lang w:eastAsia="cs-CZ"/>
              </w:rPr>
              <w:tab/>
            </w:r>
            <w:r w:rsidR="006172C3" w:rsidRPr="0058600B">
              <w:rPr>
                <w:rStyle w:val="Hypertextovodkaz"/>
                <w:noProof/>
              </w:rPr>
              <w:t>Možnosti propojení se stávajícími finančními nástroji a podporami</w:t>
            </w:r>
            <w:r w:rsidR="006172C3">
              <w:rPr>
                <w:noProof/>
                <w:webHidden/>
              </w:rPr>
              <w:tab/>
            </w:r>
            <w:r w:rsidR="006172C3">
              <w:rPr>
                <w:noProof/>
                <w:webHidden/>
              </w:rPr>
              <w:fldChar w:fldCharType="begin"/>
            </w:r>
            <w:r w:rsidR="006172C3">
              <w:rPr>
                <w:noProof/>
                <w:webHidden/>
              </w:rPr>
              <w:instrText xml:space="preserve"> PAGEREF _Toc418767164 \h </w:instrText>
            </w:r>
            <w:r w:rsidR="006172C3">
              <w:rPr>
                <w:noProof/>
                <w:webHidden/>
              </w:rPr>
            </w:r>
            <w:r w:rsidR="006172C3">
              <w:rPr>
                <w:noProof/>
                <w:webHidden/>
              </w:rPr>
              <w:fldChar w:fldCharType="separate"/>
            </w:r>
            <w:r w:rsidR="006172C3">
              <w:rPr>
                <w:noProof/>
                <w:webHidden/>
              </w:rPr>
              <w:t>88</w:t>
            </w:r>
            <w:r w:rsidR="006172C3">
              <w:rPr>
                <w:noProof/>
                <w:webHidden/>
              </w:rPr>
              <w:fldChar w:fldCharType="end"/>
            </w:r>
          </w:hyperlink>
        </w:p>
        <w:p w:rsidR="006172C3" w:rsidRDefault="00B853F3">
          <w:pPr>
            <w:pStyle w:val="Obsah2"/>
            <w:tabs>
              <w:tab w:val="right" w:leader="dot" w:pos="10457"/>
            </w:tabs>
            <w:rPr>
              <w:rFonts w:asciiTheme="minorHAnsi" w:eastAsiaTheme="minorEastAsia" w:hAnsiTheme="minorHAnsi" w:cstheme="minorBidi"/>
              <w:noProof/>
              <w:sz w:val="22"/>
              <w:szCs w:val="22"/>
              <w:lang w:eastAsia="cs-CZ"/>
            </w:rPr>
          </w:pPr>
          <w:hyperlink w:anchor="_Toc418767165" w:history="1">
            <w:r w:rsidR="006172C3" w:rsidRPr="0058600B">
              <w:rPr>
                <w:rStyle w:val="Hypertextovodkaz"/>
                <w:rFonts w:asciiTheme="majorHAnsi" w:hAnsiTheme="majorHAnsi" w:cstheme="majorHAnsi"/>
                <w:noProof/>
                <w:spacing w:val="-2"/>
              </w:rPr>
              <w:t>5.4</w:t>
            </w:r>
            <w:r w:rsidR="006172C3">
              <w:rPr>
                <w:rFonts w:asciiTheme="minorHAnsi" w:eastAsiaTheme="minorEastAsia" w:hAnsiTheme="minorHAnsi" w:cstheme="minorBidi"/>
                <w:noProof/>
                <w:sz w:val="22"/>
                <w:szCs w:val="22"/>
                <w:lang w:eastAsia="cs-CZ"/>
              </w:rPr>
              <w:tab/>
            </w:r>
            <w:r w:rsidR="006172C3" w:rsidRPr="0058600B">
              <w:rPr>
                <w:rStyle w:val="Hypertextovodkaz"/>
                <w:rFonts w:asciiTheme="majorHAnsi" w:hAnsiTheme="majorHAnsi" w:cstheme="majorHAnsi"/>
                <w:noProof/>
                <w:spacing w:val="-2"/>
              </w:rPr>
              <w:t>Posouzení</w:t>
            </w:r>
            <w:r w:rsidR="006172C3" w:rsidRPr="0058600B">
              <w:rPr>
                <w:rStyle w:val="Hypertextovodkaz"/>
                <w:rFonts w:asciiTheme="majorHAnsi" w:hAnsiTheme="majorHAnsi" w:cstheme="majorHAnsi"/>
                <w:noProof/>
              </w:rPr>
              <w:t xml:space="preserve"> </w:t>
            </w:r>
            <w:r w:rsidR="006172C3" w:rsidRPr="0058600B">
              <w:rPr>
                <w:rStyle w:val="Hypertextovodkaz"/>
                <w:rFonts w:asciiTheme="majorHAnsi" w:hAnsiTheme="majorHAnsi" w:cstheme="majorHAnsi"/>
                <w:noProof/>
                <w:spacing w:val="-4"/>
              </w:rPr>
              <w:t xml:space="preserve">slučitelnosti s </w:t>
            </w:r>
            <w:r w:rsidR="006172C3" w:rsidRPr="0058600B">
              <w:rPr>
                <w:rStyle w:val="Hypertextovodkaz"/>
                <w:rFonts w:asciiTheme="majorHAnsi" w:hAnsiTheme="majorHAnsi" w:cstheme="majorHAnsi"/>
                <w:noProof/>
                <w:spacing w:val="-2"/>
              </w:rPr>
              <w:t>pravidly o veřejné podpoře</w:t>
            </w:r>
            <w:r w:rsidR="006172C3">
              <w:rPr>
                <w:noProof/>
                <w:webHidden/>
              </w:rPr>
              <w:tab/>
            </w:r>
            <w:r w:rsidR="006172C3">
              <w:rPr>
                <w:noProof/>
                <w:webHidden/>
              </w:rPr>
              <w:fldChar w:fldCharType="begin"/>
            </w:r>
            <w:r w:rsidR="006172C3">
              <w:rPr>
                <w:noProof/>
                <w:webHidden/>
              </w:rPr>
              <w:instrText xml:space="preserve"> PAGEREF _Toc418767165 \h </w:instrText>
            </w:r>
            <w:r w:rsidR="006172C3">
              <w:rPr>
                <w:noProof/>
                <w:webHidden/>
              </w:rPr>
            </w:r>
            <w:r w:rsidR="006172C3">
              <w:rPr>
                <w:noProof/>
                <w:webHidden/>
              </w:rPr>
              <w:fldChar w:fldCharType="separate"/>
            </w:r>
            <w:r w:rsidR="006172C3">
              <w:rPr>
                <w:noProof/>
                <w:webHidden/>
              </w:rPr>
              <w:t>90</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66" w:history="1">
            <w:r w:rsidR="006172C3" w:rsidRPr="0058600B">
              <w:rPr>
                <w:rStyle w:val="Hypertextovodkaz"/>
                <w:noProof/>
                <w14:scene3d>
                  <w14:camera w14:prst="orthographicFront"/>
                  <w14:lightRig w14:rig="threePt" w14:dir="t">
                    <w14:rot w14:lat="0" w14:lon="0" w14:rev="0"/>
                  </w14:lightRig>
                </w14:scene3d>
              </w:rPr>
              <w:t>5.4.1</w:t>
            </w:r>
            <w:r w:rsidR="006172C3">
              <w:rPr>
                <w:rFonts w:asciiTheme="minorHAnsi" w:eastAsiaTheme="minorEastAsia" w:hAnsiTheme="minorHAnsi" w:cstheme="minorBidi"/>
                <w:noProof/>
                <w:sz w:val="22"/>
                <w:szCs w:val="22"/>
                <w:lang w:eastAsia="cs-CZ"/>
              </w:rPr>
              <w:tab/>
            </w:r>
            <w:r w:rsidR="006172C3" w:rsidRPr="0058600B">
              <w:rPr>
                <w:rStyle w:val="Hypertextovodkaz"/>
                <w:noProof/>
              </w:rPr>
              <w:t>Třífázové posouzení slučitelnosti navrhovaných nástrojů</w:t>
            </w:r>
            <w:r w:rsidR="006172C3">
              <w:rPr>
                <w:noProof/>
                <w:webHidden/>
              </w:rPr>
              <w:tab/>
            </w:r>
            <w:r w:rsidR="006172C3">
              <w:rPr>
                <w:noProof/>
                <w:webHidden/>
              </w:rPr>
              <w:fldChar w:fldCharType="begin"/>
            </w:r>
            <w:r w:rsidR="006172C3">
              <w:rPr>
                <w:noProof/>
                <w:webHidden/>
              </w:rPr>
              <w:instrText xml:space="preserve"> PAGEREF _Toc418767166 \h </w:instrText>
            </w:r>
            <w:r w:rsidR="006172C3">
              <w:rPr>
                <w:noProof/>
                <w:webHidden/>
              </w:rPr>
            </w:r>
            <w:r w:rsidR="006172C3">
              <w:rPr>
                <w:noProof/>
                <w:webHidden/>
              </w:rPr>
              <w:fldChar w:fldCharType="separate"/>
            </w:r>
            <w:r w:rsidR="006172C3">
              <w:rPr>
                <w:noProof/>
                <w:webHidden/>
              </w:rPr>
              <w:t>90</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67" w:history="1">
            <w:r w:rsidR="006172C3" w:rsidRPr="0058600B">
              <w:rPr>
                <w:rStyle w:val="Hypertextovodkaz"/>
                <w:noProof/>
                <w14:scene3d>
                  <w14:camera w14:prst="orthographicFront"/>
                  <w14:lightRig w14:rig="threePt" w14:dir="t">
                    <w14:rot w14:lat="0" w14:lon="0" w14:rev="0"/>
                  </w14:lightRig>
                </w14:scene3d>
              </w:rPr>
              <w:t>5.4.2</w:t>
            </w:r>
            <w:r w:rsidR="006172C3">
              <w:rPr>
                <w:rFonts w:asciiTheme="minorHAnsi" w:eastAsiaTheme="minorEastAsia" w:hAnsiTheme="minorHAnsi" w:cstheme="minorBidi"/>
                <w:noProof/>
                <w:sz w:val="22"/>
                <w:szCs w:val="22"/>
                <w:lang w:eastAsia="cs-CZ"/>
              </w:rPr>
              <w:tab/>
            </w:r>
            <w:r w:rsidR="006172C3" w:rsidRPr="0058600B">
              <w:rPr>
                <w:rStyle w:val="Hypertextovodkaz"/>
                <w:noProof/>
              </w:rPr>
              <w:t>Zhodnocení možnosti využití prvků preferenčního odměňování</w:t>
            </w:r>
            <w:r w:rsidR="006172C3">
              <w:rPr>
                <w:noProof/>
                <w:webHidden/>
              </w:rPr>
              <w:tab/>
            </w:r>
            <w:r w:rsidR="006172C3">
              <w:rPr>
                <w:noProof/>
                <w:webHidden/>
              </w:rPr>
              <w:fldChar w:fldCharType="begin"/>
            </w:r>
            <w:r w:rsidR="006172C3">
              <w:rPr>
                <w:noProof/>
                <w:webHidden/>
              </w:rPr>
              <w:instrText xml:space="preserve"> PAGEREF _Toc418767167 \h </w:instrText>
            </w:r>
            <w:r w:rsidR="006172C3">
              <w:rPr>
                <w:noProof/>
                <w:webHidden/>
              </w:rPr>
            </w:r>
            <w:r w:rsidR="006172C3">
              <w:rPr>
                <w:noProof/>
                <w:webHidden/>
              </w:rPr>
              <w:fldChar w:fldCharType="separate"/>
            </w:r>
            <w:r w:rsidR="006172C3">
              <w:rPr>
                <w:noProof/>
                <w:webHidden/>
              </w:rPr>
              <w:t>91</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68" w:history="1">
            <w:r w:rsidR="006172C3" w:rsidRPr="0058600B">
              <w:rPr>
                <w:rStyle w:val="Hypertextovodkaz"/>
                <w:noProof/>
                <w14:scene3d>
                  <w14:camera w14:prst="orthographicFront"/>
                  <w14:lightRig w14:rig="threePt" w14:dir="t">
                    <w14:rot w14:lat="0" w14:lon="0" w14:rev="0"/>
                  </w14:lightRig>
                </w14:scene3d>
              </w:rPr>
              <w:t>5.4.3</w:t>
            </w:r>
            <w:r w:rsidR="006172C3">
              <w:rPr>
                <w:rFonts w:asciiTheme="minorHAnsi" w:eastAsiaTheme="minorEastAsia" w:hAnsiTheme="minorHAnsi" w:cstheme="minorBidi"/>
                <w:noProof/>
                <w:sz w:val="22"/>
                <w:szCs w:val="22"/>
                <w:lang w:eastAsia="cs-CZ"/>
              </w:rPr>
              <w:tab/>
            </w:r>
            <w:r w:rsidR="006172C3" w:rsidRPr="0058600B">
              <w:rPr>
                <w:rStyle w:val="Hypertextovodkaz"/>
                <w:noProof/>
              </w:rPr>
              <w:t>Pravidla vyplácení odměny správci fondu</w:t>
            </w:r>
            <w:r w:rsidR="006172C3">
              <w:rPr>
                <w:noProof/>
                <w:webHidden/>
              </w:rPr>
              <w:tab/>
            </w:r>
            <w:r w:rsidR="006172C3">
              <w:rPr>
                <w:noProof/>
                <w:webHidden/>
              </w:rPr>
              <w:fldChar w:fldCharType="begin"/>
            </w:r>
            <w:r w:rsidR="006172C3">
              <w:rPr>
                <w:noProof/>
                <w:webHidden/>
              </w:rPr>
              <w:instrText xml:space="preserve"> PAGEREF _Toc418767168 \h </w:instrText>
            </w:r>
            <w:r w:rsidR="006172C3">
              <w:rPr>
                <w:noProof/>
                <w:webHidden/>
              </w:rPr>
            </w:r>
            <w:r w:rsidR="006172C3">
              <w:rPr>
                <w:noProof/>
                <w:webHidden/>
              </w:rPr>
              <w:fldChar w:fldCharType="separate"/>
            </w:r>
            <w:r w:rsidR="006172C3">
              <w:rPr>
                <w:noProof/>
                <w:webHidden/>
              </w:rPr>
              <w:t>92</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69" w:history="1">
            <w:r w:rsidR="006172C3" w:rsidRPr="0058600B">
              <w:rPr>
                <w:rStyle w:val="Hypertextovodkaz"/>
                <w:noProof/>
                <w14:scene3d>
                  <w14:camera w14:prst="orthographicFront"/>
                  <w14:lightRig w14:rig="threePt" w14:dir="t">
                    <w14:rot w14:lat="0" w14:lon="0" w14:rev="0"/>
                  </w14:lightRig>
                </w14:scene3d>
              </w:rPr>
              <w:t>5.4.4</w:t>
            </w:r>
            <w:r w:rsidR="006172C3">
              <w:rPr>
                <w:rFonts w:asciiTheme="minorHAnsi" w:eastAsiaTheme="minorEastAsia" w:hAnsiTheme="minorHAnsi" w:cstheme="minorBidi"/>
                <w:noProof/>
                <w:sz w:val="22"/>
                <w:szCs w:val="22"/>
                <w:lang w:eastAsia="cs-CZ"/>
              </w:rPr>
              <w:tab/>
            </w:r>
            <w:r w:rsidR="006172C3" w:rsidRPr="0058600B">
              <w:rPr>
                <w:rStyle w:val="Hypertextovodkaz"/>
                <w:noProof/>
              </w:rPr>
              <w:t>Pravidla pro kombinaci finančních nástrojů s jinými formami podpory</w:t>
            </w:r>
            <w:r w:rsidR="006172C3">
              <w:rPr>
                <w:noProof/>
                <w:webHidden/>
              </w:rPr>
              <w:tab/>
            </w:r>
            <w:r w:rsidR="006172C3">
              <w:rPr>
                <w:noProof/>
                <w:webHidden/>
              </w:rPr>
              <w:fldChar w:fldCharType="begin"/>
            </w:r>
            <w:r w:rsidR="006172C3">
              <w:rPr>
                <w:noProof/>
                <w:webHidden/>
              </w:rPr>
              <w:instrText xml:space="preserve"> PAGEREF _Toc418767169 \h </w:instrText>
            </w:r>
            <w:r w:rsidR="006172C3">
              <w:rPr>
                <w:noProof/>
                <w:webHidden/>
              </w:rPr>
            </w:r>
            <w:r w:rsidR="006172C3">
              <w:rPr>
                <w:noProof/>
                <w:webHidden/>
              </w:rPr>
              <w:fldChar w:fldCharType="separate"/>
            </w:r>
            <w:r w:rsidR="006172C3">
              <w:rPr>
                <w:noProof/>
                <w:webHidden/>
              </w:rPr>
              <w:t>93</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70" w:history="1">
            <w:r w:rsidR="006172C3" w:rsidRPr="0058600B">
              <w:rPr>
                <w:rStyle w:val="Hypertextovodkaz"/>
                <w:noProof/>
                <w14:scene3d>
                  <w14:camera w14:prst="orthographicFront"/>
                  <w14:lightRig w14:rig="threePt" w14:dir="t">
                    <w14:rot w14:lat="0" w14:lon="0" w14:rev="0"/>
                  </w14:lightRig>
                </w14:scene3d>
              </w:rPr>
              <w:t>5.4.5</w:t>
            </w:r>
            <w:r w:rsidR="006172C3">
              <w:rPr>
                <w:rFonts w:asciiTheme="minorHAnsi" w:eastAsiaTheme="minorEastAsia" w:hAnsiTheme="minorHAnsi" w:cstheme="minorBidi"/>
                <w:noProof/>
                <w:sz w:val="22"/>
                <w:szCs w:val="22"/>
                <w:lang w:eastAsia="cs-CZ"/>
              </w:rPr>
              <w:tab/>
            </w:r>
            <w:r w:rsidR="006172C3" w:rsidRPr="0058600B">
              <w:rPr>
                <w:rStyle w:val="Hypertextovodkaz"/>
                <w:noProof/>
              </w:rPr>
              <w:t>Výpočet Hrubého grantového ekvivalentu</w:t>
            </w:r>
            <w:r w:rsidR="006172C3">
              <w:rPr>
                <w:noProof/>
                <w:webHidden/>
              </w:rPr>
              <w:tab/>
            </w:r>
            <w:r w:rsidR="006172C3">
              <w:rPr>
                <w:noProof/>
                <w:webHidden/>
              </w:rPr>
              <w:fldChar w:fldCharType="begin"/>
            </w:r>
            <w:r w:rsidR="006172C3">
              <w:rPr>
                <w:noProof/>
                <w:webHidden/>
              </w:rPr>
              <w:instrText xml:space="preserve"> PAGEREF _Toc418767170 \h </w:instrText>
            </w:r>
            <w:r w:rsidR="006172C3">
              <w:rPr>
                <w:noProof/>
                <w:webHidden/>
              </w:rPr>
            </w:r>
            <w:r w:rsidR="006172C3">
              <w:rPr>
                <w:noProof/>
                <w:webHidden/>
              </w:rPr>
              <w:fldChar w:fldCharType="separate"/>
            </w:r>
            <w:r w:rsidR="006172C3">
              <w:rPr>
                <w:noProof/>
                <w:webHidden/>
              </w:rPr>
              <w:t>95</w:t>
            </w:r>
            <w:r w:rsidR="006172C3">
              <w:rPr>
                <w:noProof/>
                <w:webHidden/>
              </w:rPr>
              <w:fldChar w:fldCharType="end"/>
            </w:r>
          </w:hyperlink>
        </w:p>
        <w:p w:rsidR="006172C3" w:rsidRDefault="00B853F3">
          <w:pPr>
            <w:pStyle w:val="Obsah2"/>
            <w:tabs>
              <w:tab w:val="right" w:leader="dot" w:pos="10457"/>
            </w:tabs>
            <w:rPr>
              <w:rFonts w:asciiTheme="minorHAnsi" w:eastAsiaTheme="minorEastAsia" w:hAnsiTheme="minorHAnsi" w:cstheme="minorBidi"/>
              <w:noProof/>
              <w:sz w:val="22"/>
              <w:szCs w:val="22"/>
              <w:lang w:eastAsia="cs-CZ"/>
            </w:rPr>
          </w:pPr>
          <w:hyperlink w:anchor="_Toc418767171" w:history="1">
            <w:r w:rsidR="006172C3" w:rsidRPr="0058600B">
              <w:rPr>
                <w:rStyle w:val="Hypertextovodkaz"/>
                <w:noProof/>
              </w:rPr>
              <w:t>5.5</w:t>
            </w:r>
            <w:r w:rsidR="006172C3">
              <w:rPr>
                <w:rFonts w:asciiTheme="minorHAnsi" w:eastAsiaTheme="minorEastAsia" w:hAnsiTheme="minorHAnsi" w:cstheme="minorBidi"/>
                <w:noProof/>
                <w:sz w:val="22"/>
                <w:szCs w:val="22"/>
                <w:lang w:eastAsia="cs-CZ"/>
              </w:rPr>
              <w:tab/>
            </w:r>
            <w:r w:rsidR="006172C3" w:rsidRPr="0058600B">
              <w:rPr>
                <w:rStyle w:val="Hypertextovodkaz"/>
                <w:rFonts w:eastAsia="Arial"/>
                <w:noProof/>
              </w:rPr>
              <w:t>V</w:t>
            </w:r>
            <w:r w:rsidR="006172C3" w:rsidRPr="0058600B">
              <w:rPr>
                <w:rStyle w:val="Hypertextovodkaz"/>
                <w:noProof/>
              </w:rPr>
              <w:t>ymezení očekávaných výsledků</w:t>
            </w:r>
            <w:r w:rsidR="006172C3">
              <w:rPr>
                <w:noProof/>
                <w:webHidden/>
              </w:rPr>
              <w:tab/>
            </w:r>
            <w:r w:rsidR="006172C3">
              <w:rPr>
                <w:noProof/>
                <w:webHidden/>
              </w:rPr>
              <w:fldChar w:fldCharType="begin"/>
            </w:r>
            <w:r w:rsidR="006172C3">
              <w:rPr>
                <w:noProof/>
                <w:webHidden/>
              </w:rPr>
              <w:instrText xml:space="preserve"> PAGEREF _Toc418767171 \h </w:instrText>
            </w:r>
            <w:r w:rsidR="006172C3">
              <w:rPr>
                <w:noProof/>
                <w:webHidden/>
              </w:rPr>
            </w:r>
            <w:r w:rsidR="006172C3">
              <w:rPr>
                <w:noProof/>
                <w:webHidden/>
              </w:rPr>
              <w:fldChar w:fldCharType="separate"/>
            </w:r>
            <w:r w:rsidR="006172C3">
              <w:rPr>
                <w:noProof/>
                <w:webHidden/>
              </w:rPr>
              <w:t>97</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72" w:history="1">
            <w:r w:rsidR="006172C3" w:rsidRPr="0058600B">
              <w:rPr>
                <w:rStyle w:val="Hypertextovodkaz"/>
                <w:noProof/>
                <w14:scene3d>
                  <w14:camera w14:prst="orthographicFront"/>
                  <w14:lightRig w14:rig="threePt" w14:dir="t">
                    <w14:rot w14:lat="0" w14:lon="0" w14:rev="0"/>
                  </w14:lightRig>
                </w14:scene3d>
              </w:rPr>
              <w:t>5.5.1</w:t>
            </w:r>
            <w:r w:rsidR="006172C3">
              <w:rPr>
                <w:rFonts w:asciiTheme="minorHAnsi" w:eastAsiaTheme="minorEastAsia" w:hAnsiTheme="minorHAnsi" w:cstheme="minorBidi"/>
                <w:noProof/>
                <w:sz w:val="22"/>
                <w:szCs w:val="22"/>
                <w:lang w:eastAsia="cs-CZ"/>
              </w:rPr>
              <w:tab/>
            </w:r>
            <w:r w:rsidR="006172C3" w:rsidRPr="0058600B">
              <w:rPr>
                <w:rStyle w:val="Hypertextovodkaz"/>
                <w:noProof/>
              </w:rPr>
              <w:t>Návrh indikátorů</w:t>
            </w:r>
            <w:r w:rsidR="006172C3">
              <w:rPr>
                <w:noProof/>
                <w:webHidden/>
              </w:rPr>
              <w:tab/>
            </w:r>
            <w:r w:rsidR="006172C3">
              <w:rPr>
                <w:noProof/>
                <w:webHidden/>
              </w:rPr>
              <w:fldChar w:fldCharType="begin"/>
            </w:r>
            <w:r w:rsidR="006172C3">
              <w:rPr>
                <w:noProof/>
                <w:webHidden/>
              </w:rPr>
              <w:instrText xml:space="preserve"> PAGEREF _Toc418767172 \h </w:instrText>
            </w:r>
            <w:r w:rsidR="006172C3">
              <w:rPr>
                <w:noProof/>
                <w:webHidden/>
              </w:rPr>
            </w:r>
            <w:r w:rsidR="006172C3">
              <w:rPr>
                <w:noProof/>
                <w:webHidden/>
              </w:rPr>
              <w:fldChar w:fldCharType="separate"/>
            </w:r>
            <w:r w:rsidR="006172C3">
              <w:rPr>
                <w:noProof/>
                <w:webHidden/>
              </w:rPr>
              <w:t>97</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73" w:history="1">
            <w:r w:rsidR="006172C3" w:rsidRPr="0058600B">
              <w:rPr>
                <w:rStyle w:val="Hypertextovodkaz"/>
                <w:noProof/>
                <w14:scene3d>
                  <w14:camera w14:prst="orthographicFront"/>
                  <w14:lightRig w14:rig="threePt" w14:dir="t">
                    <w14:rot w14:lat="0" w14:lon="0" w14:rev="0"/>
                  </w14:lightRig>
                </w14:scene3d>
              </w:rPr>
              <w:t>5.5.2</w:t>
            </w:r>
            <w:r w:rsidR="006172C3">
              <w:rPr>
                <w:rFonts w:asciiTheme="minorHAnsi" w:eastAsiaTheme="minorEastAsia" w:hAnsiTheme="minorHAnsi" w:cstheme="minorBidi"/>
                <w:noProof/>
                <w:sz w:val="22"/>
                <w:szCs w:val="22"/>
                <w:lang w:eastAsia="cs-CZ"/>
              </w:rPr>
              <w:tab/>
            </w:r>
            <w:r w:rsidR="006172C3" w:rsidRPr="0058600B">
              <w:rPr>
                <w:rStyle w:val="Hypertextovodkaz"/>
                <w:noProof/>
              </w:rPr>
              <w:t>Hlavní faktory k zohlednění při revizi hodnot indikátorů</w:t>
            </w:r>
            <w:r w:rsidR="006172C3">
              <w:rPr>
                <w:noProof/>
                <w:webHidden/>
              </w:rPr>
              <w:tab/>
            </w:r>
            <w:r w:rsidR="006172C3">
              <w:rPr>
                <w:noProof/>
                <w:webHidden/>
              </w:rPr>
              <w:fldChar w:fldCharType="begin"/>
            </w:r>
            <w:r w:rsidR="006172C3">
              <w:rPr>
                <w:noProof/>
                <w:webHidden/>
              </w:rPr>
              <w:instrText xml:space="preserve"> PAGEREF _Toc418767173 \h </w:instrText>
            </w:r>
            <w:r w:rsidR="006172C3">
              <w:rPr>
                <w:noProof/>
                <w:webHidden/>
              </w:rPr>
            </w:r>
            <w:r w:rsidR="006172C3">
              <w:rPr>
                <w:noProof/>
                <w:webHidden/>
              </w:rPr>
              <w:fldChar w:fldCharType="separate"/>
            </w:r>
            <w:r w:rsidR="006172C3">
              <w:rPr>
                <w:noProof/>
                <w:webHidden/>
              </w:rPr>
              <w:t>97</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74" w:history="1">
            <w:r w:rsidR="006172C3" w:rsidRPr="0058600B">
              <w:rPr>
                <w:rStyle w:val="Hypertextovodkaz"/>
                <w:noProof/>
                <w14:scene3d>
                  <w14:camera w14:prst="orthographicFront"/>
                  <w14:lightRig w14:rig="threePt" w14:dir="t">
                    <w14:rot w14:lat="0" w14:lon="0" w14:rev="0"/>
                  </w14:lightRig>
                </w14:scene3d>
              </w:rPr>
              <w:t>5.5.3</w:t>
            </w:r>
            <w:r w:rsidR="006172C3">
              <w:rPr>
                <w:rFonts w:asciiTheme="minorHAnsi" w:eastAsiaTheme="minorEastAsia" w:hAnsiTheme="minorHAnsi" w:cstheme="minorBidi"/>
                <w:noProof/>
                <w:sz w:val="22"/>
                <w:szCs w:val="22"/>
                <w:lang w:eastAsia="cs-CZ"/>
              </w:rPr>
              <w:tab/>
            </w:r>
            <w:r w:rsidR="006172C3" w:rsidRPr="0058600B">
              <w:rPr>
                <w:rStyle w:val="Hypertextovodkaz"/>
                <w:noProof/>
              </w:rPr>
              <w:t>Vzorový výpočet indikátoru – počet podpořených projektů</w:t>
            </w:r>
            <w:r w:rsidR="006172C3">
              <w:rPr>
                <w:noProof/>
                <w:webHidden/>
              </w:rPr>
              <w:tab/>
            </w:r>
            <w:r w:rsidR="006172C3">
              <w:rPr>
                <w:noProof/>
                <w:webHidden/>
              </w:rPr>
              <w:fldChar w:fldCharType="begin"/>
            </w:r>
            <w:r w:rsidR="006172C3">
              <w:rPr>
                <w:noProof/>
                <w:webHidden/>
              </w:rPr>
              <w:instrText xml:space="preserve"> PAGEREF _Toc418767174 \h </w:instrText>
            </w:r>
            <w:r w:rsidR="006172C3">
              <w:rPr>
                <w:noProof/>
                <w:webHidden/>
              </w:rPr>
            </w:r>
            <w:r w:rsidR="006172C3">
              <w:rPr>
                <w:noProof/>
                <w:webHidden/>
              </w:rPr>
              <w:fldChar w:fldCharType="separate"/>
            </w:r>
            <w:r w:rsidR="006172C3">
              <w:rPr>
                <w:noProof/>
                <w:webHidden/>
              </w:rPr>
              <w:t>99</w:t>
            </w:r>
            <w:r w:rsidR="006172C3">
              <w:rPr>
                <w:noProof/>
                <w:webHidden/>
              </w:rPr>
              <w:fldChar w:fldCharType="end"/>
            </w:r>
          </w:hyperlink>
        </w:p>
        <w:p w:rsidR="006172C3" w:rsidRDefault="00B853F3">
          <w:pPr>
            <w:pStyle w:val="Obsah3"/>
            <w:tabs>
              <w:tab w:val="left" w:pos="1320"/>
              <w:tab w:val="right" w:leader="dot" w:pos="10457"/>
            </w:tabs>
            <w:rPr>
              <w:rFonts w:asciiTheme="minorHAnsi" w:eastAsiaTheme="minorEastAsia" w:hAnsiTheme="minorHAnsi" w:cstheme="minorBidi"/>
              <w:noProof/>
              <w:sz w:val="22"/>
              <w:szCs w:val="22"/>
              <w:lang w:eastAsia="cs-CZ"/>
            </w:rPr>
          </w:pPr>
          <w:hyperlink w:anchor="_Toc418767175" w:history="1">
            <w:r w:rsidR="006172C3" w:rsidRPr="0058600B">
              <w:rPr>
                <w:rStyle w:val="Hypertextovodkaz"/>
                <w:noProof/>
                <w14:scene3d>
                  <w14:camera w14:prst="orthographicFront"/>
                  <w14:lightRig w14:rig="threePt" w14:dir="t">
                    <w14:rot w14:lat="0" w14:lon="0" w14:rev="0"/>
                  </w14:lightRig>
                </w14:scene3d>
              </w:rPr>
              <w:t>5.5.4</w:t>
            </w:r>
            <w:r w:rsidR="006172C3">
              <w:rPr>
                <w:rFonts w:asciiTheme="minorHAnsi" w:eastAsiaTheme="minorEastAsia" w:hAnsiTheme="minorHAnsi" w:cstheme="minorBidi"/>
                <w:noProof/>
                <w:sz w:val="22"/>
                <w:szCs w:val="22"/>
                <w:lang w:eastAsia="cs-CZ"/>
              </w:rPr>
              <w:tab/>
            </w:r>
            <w:r w:rsidR="006172C3" w:rsidRPr="0058600B">
              <w:rPr>
                <w:rStyle w:val="Hypertextovodkaz"/>
                <w:noProof/>
              </w:rPr>
              <w:t>Rizika a omezení</w:t>
            </w:r>
            <w:r w:rsidR="006172C3">
              <w:rPr>
                <w:noProof/>
                <w:webHidden/>
              </w:rPr>
              <w:tab/>
            </w:r>
            <w:r w:rsidR="006172C3">
              <w:rPr>
                <w:noProof/>
                <w:webHidden/>
              </w:rPr>
              <w:fldChar w:fldCharType="begin"/>
            </w:r>
            <w:r w:rsidR="006172C3">
              <w:rPr>
                <w:noProof/>
                <w:webHidden/>
              </w:rPr>
              <w:instrText xml:space="preserve"> PAGEREF _Toc418767175 \h </w:instrText>
            </w:r>
            <w:r w:rsidR="006172C3">
              <w:rPr>
                <w:noProof/>
                <w:webHidden/>
              </w:rPr>
            </w:r>
            <w:r w:rsidR="006172C3">
              <w:rPr>
                <w:noProof/>
                <w:webHidden/>
              </w:rPr>
              <w:fldChar w:fldCharType="separate"/>
            </w:r>
            <w:r w:rsidR="006172C3">
              <w:rPr>
                <w:noProof/>
                <w:webHidden/>
              </w:rPr>
              <w:t>100</w:t>
            </w:r>
            <w:r w:rsidR="006172C3">
              <w:rPr>
                <w:noProof/>
                <w:webHidden/>
              </w:rPr>
              <w:fldChar w:fldCharType="end"/>
            </w:r>
          </w:hyperlink>
        </w:p>
        <w:p w:rsidR="006172C3" w:rsidRDefault="00B853F3">
          <w:pPr>
            <w:pStyle w:val="Obsah2"/>
            <w:tabs>
              <w:tab w:val="right" w:leader="dot" w:pos="10457"/>
            </w:tabs>
            <w:rPr>
              <w:rFonts w:asciiTheme="minorHAnsi" w:eastAsiaTheme="minorEastAsia" w:hAnsiTheme="minorHAnsi" w:cstheme="minorBidi"/>
              <w:noProof/>
              <w:sz w:val="22"/>
              <w:szCs w:val="22"/>
              <w:lang w:eastAsia="cs-CZ"/>
            </w:rPr>
          </w:pPr>
          <w:hyperlink w:anchor="_Toc418767176" w:history="1">
            <w:r w:rsidR="006172C3" w:rsidRPr="0058600B">
              <w:rPr>
                <w:rStyle w:val="Hypertextovodkaz"/>
                <w:noProof/>
              </w:rPr>
              <w:t>5.6</w:t>
            </w:r>
            <w:r w:rsidR="006172C3">
              <w:rPr>
                <w:rFonts w:asciiTheme="minorHAnsi" w:eastAsiaTheme="minorEastAsia" w:hAnsiTheme="minorHAnsi" w:cstheme="minorBidi"/>
                <w:noProof/>
                <w:sz w:val="22"/>
                <w:szCs w:val="22"/>
                <w:lang w:eastAsia="cs-CZ"/>
              </w:rPr>
              <w:tab/>
            </w:r>
            <w:r w:rsidR="006172C3" w:rsidRPr="0058600B">
              <w:rPr>
                <w:rStyle w:val="Hypertextovodkaz"/>
                <w:noProof/>
              </w:rPr>
              <w:t>Ustanovení umožňující přezkum a aktualizaci předběžného posouzení</w:t>
            </w:r>
            <w:r w:rsidR="006172C3">
              <w:rPr>
                <w:noProof/>
                <w:webHidden/>
              </w:rPr>
              <w:tab/>
            </w:r>
            <w:r w:rsidR="006172C3">
              <w:rPr>
                <w:noProof/>
                <w:webHidden/>
              </w:rPr>
              <w:fldChar w:fldCharType="begin"/>
            </w:r>
            <w:r w:rsidR="006172C3">
              <w:rPr>
                <w:noProof/>
                <w:webHidden/>
              </w:rPr>
              <w:instrText xml:space="preserve"> PAGEREF _Toc418767176 \h </w:instrText>
            </w:r>
            <w:r w:rsidR="006172C3">
              <w:rPr>
                <w:noProof/>
                <w:webHidden/>
              </w:rPr>
            </w:r>
            <w:r w:rsidR="006172C3">
              <w:rPr>
                <w:noProof/>
                <w:webHidden/>
              </w:rPr>
              <w:fldChar w:fldCharType="separate"/>
            </w:r>
            <w:r w:rsidR="006172C3">
              <w:rPr>
                <w:noProof/>
                <w:webHidden/>
              </w:rPr>
              <w:t>101</w:t>
            </w:r>
            <w:r w:rsidR="006172C3">
              <w:rPr>
                <w:noProof/>
                <w:webHidden/>
              </w:rPr>
              <w:fldChar w:fldCharType="end"/>
            </w:r>
          </w:hyperlink>
        </w:p>
        <w:p w:rsidR="006172C3" w:rsidRDefault="00B853F3">
          <w:pPr>
            <w:pStyle w:val="Obsah1"/>
            <w:tabs>
              <w:tab w:val="right" w:leader="dot" w:pos="10457"/>
            </w:tabs>
            <w:rPr>
              <w:rFonts w:asciiTheme="minorHAnsi" w:eastAsiaTheme="minorEastAsia" w:hAnsiTheme="minorHAnsi" w:cstheme="minorBidi"/>
              <w:noProof/>
              <w:sz w:val="22"/>
              <w:szCs w:val="22"/>
              <w:lang w:eastAsia="cs-CZ"/>
            </w:rPr>
          </w:pPr>
          <w:hyperlink w:anchor="_Toc418767177" w:history="1">
            <w:r w:rsidR="006172C3" w:rsidRPr="0058600B">
              <w:rPr>
                <w:rStyle w:val="Hypertextovodkaz"/>
                <w:noProof/>
              </w:rPr>
              <w:t>6</w:t>
            </w:r>
            <w:r w:rsidR="006172C3">
              <w:rPr>
                <w:rFonts w:asciiTheme="minorHAnsi" w:eastAsiaTheme="minorEastAsia" w:hAnsiTheme="minorHAnsi" w:cstheme="minorBidi"/>
                <w:noProof/>
                <w:sz w:val="22"/>
                <w:szCs w:val="22"/>
                <w:lang w:eastAsia="cs-CZ"/>
              </w:rPr>
              <w:tab/>
            </w:r>
            <w:r w:rsidR="006172C3" w:rsidRPr="0058600B">
              <w:rPr>
                <w:rStyle w:val="Hypertextovodkaz"/>
                <w:noProof/>
              </w:rPr>
              <w:t>Přílohy</w:t>
            </w:r>
            <w:r w:rsidR="006172C3">
              <w:rPr>
                <w:noProof/>
                <w:webHidden/>
              </w:rPr>
              <w:tab/>
            </w:r>
            <w:r w:rsidR="006172C3">
              <w:rPr>
                <w:noProof/>
                <w:webHidden/>
              </w:rPr>
              <w:fldChar w:fldCharType="begin"/>
            </w:r>
            <w:r w:rsidR="006172C3">
              <w:rPr>
                <w:noProof/>
                <w:webHidden/>
              </w:rPr>
              <w:instrText xml:space="preserve"> PAGEREF _Toc418767177 \h </w:instrText>
            </w:r>
            <w:r w:rsidR="006172C3">
              <w:rPr>
                <w:noProof/>
                <w:webHidden/>
              </w:rPr>
            </w:r>
            <w:r w:rsidR="006172C3">
              <w:rPr>
                <w:noProof/>
                <w:webHidden/>
              </w:rPr>
              <w:fldChar w:fldCharType="separate"/>
            </w:r>
            <w:r w:rsidR="006172C3">
              <w:rPr>
                <w:noProof/>
                <w:webHidden/>
              </w:rPr>
              <w:t>103</w:t>
            </w:r>
            <w:r w:rsidR="006172C3">
              <w:rPr>
                <w:noProof/>
                <w:webHidden/>
              </w:rPr>
              <w:fldChar w:fldCharType="end"/>
            </w:r>
          </w:hyperlink>
        </w:p>
        <w:p w:rsidR="006172C3" w:rsidRDefault="00B853F3">
          <w:pPr>
            <w:pStyle w:val="Obsah1"/>
            <w:tabs>
              <w:tab w:val="right" w:leader="dot" w:pos="10457"/>
            </w:tabs>
            <w:rPr>
              <w:rFonts w:asciiTheme="minorHAnsi" w:eastAsiaTheme="minorEastAsia" w:hAnsiTheme="minorHAnsi" w:cstheme="minorBidi"/>
              <w:noProof/>
              <w:sz w:val="22"/>
              <w:szCs w:val="22"/>
              <w:lang w:eastAsia="cs-CZ"/>
            </w:rPr>
          </w:pPr>
          <w:hyperlink w:anchor="_Toc418767178" w:history="1">
            <w:r w:rsidR="006172C3" w:rsidRPr="0058600B">
              <w:rPr>
                <w:rStyle w:val="Hypertextovodkaz"/>
                <w:noProof/>
              </w:rPr>
              <w:t>7</w:t>
            </w:r>
            <w:r w:rsidR="006172C3">
              <w:rPr>
                <w:rFonts w:asciiTheme="minorHAnsi" w:eastAsiaTheme="minorEastAsia" w:hAnsiTheme="minorHAnsi" w:cstheme="minorBidi"/>
                <w:noProof/>
                <w:sz w:val="22"/>
                <w:szCs w:val="22"/>
                <w:lang w:eastAsia="cs-CZ"/>
              </w:rPr>
              <w:tab/>
            </w:r>
            <w:r w:rsidR="006172C3" w:rsidRPr="0058600B">
              <w:rPr>
                <w:rStyle w:val="Hypertextovodkaz"/>
                <w:noProof/>
              </w:rPr>
              <w:t>Seznam použitých zdrojů</w:t>
            </w:r>
            <w:r w:rsidR="006172C3">
              <w:rPr>
                <w:noProof/>
                <w:webHidden/>
              </w:rPr>
              <w:tab/>
            </w:r>
            <w:r w:rsidR="006172C3">
              <w:rPr>
                <w:noProof/>
                <w:webHidden/>
              </w:rPr>
              <w:fldChar w:fldCharType="begin"/>
            </w:r>
            <w:r w:rsidR="006172C3">
              <w:rPr>
                <w:noProof/>
                <w:webHidden/>
              </w:rPr>
              <w:instrText xml:space="preserve"> PAGEREF _Toc418767178 \h </w:instrText>
            </w:r>
            <w:r w:rsidR="006172C3">
              <w:rPr>
                <w:noProof/>
                <w:webHidden/>
              </w:rPr>
            </w:r>
            <w:r w:rsidR="006172C3">
              <w:rPr>
                <w:noProof/>
                <w:webHidden/>
              </w:rPr>
              <w:fldChar w:fldCharType="separate"/>
            </w:r>
            <w:r w:rsidR="006172C3">
              <w:rPr>
                <w:noProof/>
                <w:webHidden/>
              </w:rPr>
              <w:t>104</w:t>
            </w:r>
            <w:r w:rsidR="006172C3">
              <w:rPr>
                <w:noProof/>
                <w:webHidden/>
              </w:rPr>
              <w:fldChar w:fldCharType="end"/>
            </w:r>
          </w:hyperlink>
        </w:p>
        <w:p w:rsidR="006172C3" w:rsidRDefault="00B853F3">
          <w:pPr>
            <w:pStyle w:val="Obsah1"/>
            <w:tabs>
              <w:tab w:val="right" w:leader="dot" w:pos="10457"/>
            </w:tabs>
            <w:rPr>
              <w:rFonts w:asciiTheme="minorHAnsi" w:eastAsiaTheme="minorEastAsia" w:hAnsiTheme="minorHAnsi" w:cstheme="minorBidi"/>
              <w:noProof/>
              <w:sz w:val="22"/>
              <w:szCs w:val="22"/>
              <w:lang w:eastAsia="cs-CZ"/>
            </w:rPr>
          </w:pPr>
          <w:hyperlink w:anchor="_Toc418767179" w:history="1">
            <w:r w:rsidR="006172C3" w:rsidRPr="0058600B">
              <w:rPr>
                <w:rStyle w:val="Hypertextovodkaz"/>
                <w:noProof/>
              </w:rPr>
              <w:t>Seznam tabulek a obrázků</w:t>
            </w:r>
            <w:r w:rsidR="006172C3">
              <w:rPr>
                <w:noProof/>
                <w:webHidden/>
              </w:rPr>
              <w:tab/>
            </w:r>
            <w:r w:rsidR="006172C3">
              <w:rPr>
                <w:noProof/>
                <w:webHidden/>
              </w:rPr>
              <w:fldChar w:fldCharType="begin"/>
            </w:r>
            <w:r w:rsidR="006172C3">
              <w:rPr>
                <w:noProof/>
                <w:webHidden/>
              </w:rPr>
              <w:instrText xml:space="preserve"> PAGEREF _Toc418767179 \h </w:instrText>
            </w:r>
            <w:r w:rsidR="006172C3">
              <w:rPr>
                <w:noProof/>
                <w:webHidden/>
              </w:rPr>
            </w:r>
            <w:r w:rsidR="006172C3">
              <w:rPr>
                <w:noProof/>
                <w:webHidden/>
              </w:rPr>
              <w:fldChar w:fldCharType="separate"/>
            </w:r>
            <w:r w:rsidR="006172C3">
              <w:rPr>
                <w:noProof/>
                <w:webHidden/>
              </w:rPr>
              <w:t>106</w:t>
            </w:r>
            <w:r w:rsidR="006172C3">
              <w:rPr>
                <w:noProof/>
                <w:webHidden/>
              </w:rPr>
              <w:fldChar w:fldCharType="end"/>
            </w:r>
          </w:hyperlink>
        </w:p>
        <w:p w:rsidR="006172C3" w:rsidRDefault="00B853F3">
          <w:pPr>
            <w:pStyle w:val="Obsah2"/>
            <w:tabs>
              <w:tab w:val="right" w:leader="dot" w:pos="10457"/>
            </w:tabs>
            <w:rPr>
              <w:rFonts w:asciiTheme="minorHAnsi" w:eastAsiaTheme="minorEastAsia" w:hAnsiTheme="minorHAnsi" w:cstheme="minorBidi"/>
              <w:noProof/>
              <w:sz w:val="22"/>
              <w:szCs w:val="22"/>
              <w:lang w:eastAsia="cs-CZ"/>
            </w:rPr>
          </w:pPr>
          <w:hyperlink w:anchor="_Toc418767180" w:history="1">
            <w:r w:rsidR="006172C3" w:rsidRPr="0058600B">
              <w:rPr>
                <w:rStyle w:val="Hypertextovodkaz"/>
                <w:noProof/>
              </w:rPr>
              <w:t>Seznam tabulek</w:t>
            </w:r>
            <w:r w:rsidR="006172C3">
              <w:rPr>
                <w:noProof/>
                <w:webHidden/>
              </w:rPr>
              <w:tab/>
            </w:r>
            <w:r w:rsidR="006172C3">
              <w:rPr>
                <w:noProof/>
                <w:webHidden/>
              </w:rPr>
              <w:fldChar w:fldCharType="begin"/>
            </w:r>
            <w:r w:rsidR="006172C3">
              <w:rPr>
                <w:noProof/>
                <w:webHidden/>
              </w:rPr>
              <w:instrText xml:space="preserve"> PAGEREF _Toc418767180 \h </w:instrText>
            </w:r>
            <w:r w:rsidR="006172C3">
              <w:rPr>
                <w:noProof/>
                <w:webHidden/>
              </w:rPr>
            </w:r>
            <w:r w:rsidR="006172C3">
              <w:rPr>
                <w:noProof/>
                <w:webHidden/>
              </w:rPr>
              <w:fldChar w:fldCharType="separate"/>
            </w:r>
            <w:r w:rsidR="006172C3">
              <w:rPr>
                <w:noProof/>
                <w:webHidden/>
              </w:rPr>
              <w:t>106</w:t>
            </w:r>
            <w:r w:rsidR="006172C3">
              <w:rPr>
                <w:noProof/>
                <w:webHidden/>
              </w:rPr>
              <w:fldChar w:fldCharType="end"/>
            </w:r>
          </w:hyperlink>
        </w:p>
        <w:p w:rsidR="006172C3" w:rsidRDefault="00B853F3">
          <w:pPr>
            <w:pStyle w:val="Obsah2"/>
            <w:tabs>
              <w:tab w:val="right" w:leader="dot" w:pos="10457"/>
            </w:tabs>
            <w:rPr>
              <w:rFonts w:asciiTheme="minorHAnsi" w:eastAsiaTheme="minorEastAsia" w:hAnsiTheme="minorHAnsi" w:cstheme="minorBidi"/>
              <w:noProof/>
              <w:sz w:val="22"/>
              <w:szCs w:val="22"/>
              <w:lang w:eastAsia="cs-CZ"/>
            </w:rPr>
          </w:pPr>
          <w:hyperlink w:anchor="_Toc418767181" w:history="1">
            <w:r w:rsidR="006172C3" w:rsidRPr="0058600B">
              <w:rPr>
                <w:rStyle w:val="Hypertextovodkaz"/>
                <w:noProof/>
              </w:rPr>
              <w:t>Seznam obrázků</w:t>
            </w:r>
            <w:r w:rsidR="006172C3">
              <w:rPr>
                <w:noProof/>
                <w:webHidden/>
              </w:rPr>
              <w:tab/>
            </w:r>
            <w:r w:rsidR="006172C3">
              <w:rPr>
                <w:noProof/>
                <w:webHidden/>
              </w:rPr>
              <w:fldChar w:fldCharType="begin"/>
            </w:r>
            <w:r w:rsidR="006172C3">
              <w:rPr>
                <w:noProof/>
                <w:webHidden/>
              </w:rPr>
              <w:instrText xml:space="preserve"> PAGEREF _Toc418767181 \h </w:instrText>
            </w:r>
            <w:r w:rsidR="006172C3">
              <w:rPr>
                <w:noProof/>
                <w:webHidden/>
              </w:rPr>
            </w:r>
            <w:r w:rsidR="006172C3">
              <w:rPr>
                <w:noProof/>
                <w:webHidden/>
              </w:rPr>
              <w:fldChar w:fldCharType="separate"/>
            </w:r>
            <w:r w:rsidR="006172C3">
              <w:rPr>
                <w:noProof/>
                <w:webHidden/>
              </w:rPr>
              <w:t>106</w:t>
            </w:r>
            <w:r w:rsidR="006172C3">
              <w:rPr>
                <w:noProof/>
                <w:webHidden/>
              </w:rPr>
              <w:fldChar w:fldCharType="end"/>
            </w:r>
          </w:hyperlink>
        </w:p>
        <w:p w:rsidR="00BC79C3" w:rsidRPr="004843FD" w:rsidRDefault="00BC79C3" w:rsidP="00BC79C3">
          <w:pPr>
            <w:pStyle w:val="Obsah2"/>
            <w:tabs>
              <w:tab w:val="right" w:leader="dot" w:pos="9060"/>
            </w:tabs>
          </w:pPr>
          <w:r w:rsidRPr="004843FD">
            <w:rPr>
              <w:b/>
              <w:bCs/>
            </w:rPr>
            <w:fldChar w:fldCharType="end"/>
          </w:r>
        </w:p>
      </w:sdtContent>
    </w:sdt>
    <w:p w:rsidR="0089637B" w:rsidRDefault="0093527E" w:rsidP="00A513EC">
      <w:pPr>
        <w:pStyle w:val="Nadpis1"/>
        <w:numPr>
          <w:ilvl w:val="0"/>
          <w:numId w:val="0"/>
        </w:numPr>
      </w:pPr>
      <w:bookmarkStart w:id="5" w:name="_Toc418767133"/>
      <w:bookmarkEnd w:id="0"/>
      <w:bookmarkEnd w:id="3"/>
      <w:r>
        <w:lastRenderedPageBreak/>
        <w:t>Seznam zkratek</w:t>
      </w:r>
      <w:bookmarkEnd w:id="5"/>
    </w:p>
    <w:tbl>
      <w:tblPr>
        <w:tblW w:w="9380" w:type="dxa"/>
        <w:tblCellMar>
          <w:left w:w="70" w:type="dxa"/>
          <w:right w:w="70" w:type="dxa"/>
        </w:tblCellMar>
        <w:tblLook w:val="04A0" w:firstRow="1" w:lastRow="0" w:firstColumn="1" w:lastColumn="0" w:noHBand="0" w:noVBand="1"/>
      </w:tblPr>
      <w:tblGrid>
        <w:gridCol w:w="2560"/>
        <w:gridCol w:w="6820"/>
      </w:tblGrid>
      <w:tr w:rsidR="00DE2A67" w:rsidRPr="00882979" w:rsidTr="00DE2A67">
        <w:trPr>
          <w:trHeight w:val="315"/>
        </w:trPr>
        <w:tc>
          <w:tcPr>
            <w:tcW w:w="2560" w:type="dxa"/>
            <w:tcBorders>
              <w:top w:val="nil"/>
              <w:left w:val="nil"/>
              <w:bottom w:val="single" w:sz="8" w:space="0" w:color="92D400"/>
              <w:right w:val="nil"/>
            </w:tcBorders>
            <w:shd w:val="clear" w:color="000000" w:fill="92D400"/>
            <w:noWrap/>
            <w:vAlign w:val="center"/>
            <w:hideMark/>
          </w:tcPr>
          <w:p w:rsidR="00DE2A67" w:rsidRPr="00882979" w:rsidRDefault="00DE2A67" w:rsidP="00DE2A67">
            <w:pPr>
              <w:spacing w:after="0"/>
              <w:rPr>
                <w:rFonts w:cs="Arial"/>
                <w:b/>
                <w:bCs/>
                <w:color w:val="FFFFFF"/>
                <w:szCs w:val="19"/>
                <w:lang w:eastAsia="cs-CZ"/>
              </w:rPr>
            </w:pPr>
            <w:bookmarkStart w:id="6" w:name="RANGE!A1"/>
            <w:bookmarkStart w:id="7" w:name="_Toc386370972"/>
            <w:r w:rsidRPr="00882979">
              <w:rPr>
                <w:rFonts w:cs="Arial"/>
                <w:b/>
                <w:bCs/>
                <w:color w:val="FFFFFF"/>
                <w:szCs w:val="16"/>
                <w:lang w:eastAsia="cs-CZ"/>
              </w:rPr>
              <w:t>Pojem</w:t>
            </w:r>
            <w:bookmarkEnd w:id="6"/>
          </w:p>
        </w:tc>
        <w:tc>
          <w:tcPr>
            <w:tcW w:w="6820" w:type="dxa"/>
            <w:tcBorders>
              <w:top w:val="nil"/>
              <w:left w:val="nil"/>
              <w:bottom w:val="single" w:sz="8" w:space="0" w:color="92D400"/>
              <w:right w:val="nil"/>
            </w:tcBorders>
            <w:shd w:val="clear" w:color="000000" w:fill="92D400"/>
            <w:noWrap/>
            <w:vAlign w:val="center"/>
            <w:hideMark/>
          </w:tcPr>
          <w:p w:rsidR="00DE2A67" w:rsidRPr="00882979" w:rsidRDefault="00DE2A67" w:rsidP="00DE2A67">
            <w:pPr>
              <w:spacing w:after="0"/>
              <w:rPr>
                <w:rFonts w:cs="Arial"/>
                <w:b/>
                <w:bCs/>
                <w:color w:val="FFFFFF"/>
                <w:szCs w:val="19"/>
                <w:lang w:eastAsia="cs-CZ"/>
              </w:rPr>
            </w:pPr>
            <w:r w:rsidRPr="00882979">
              <w:rPr>
                <w:rFonts w:cs="Arial"/>
                <w:b/>
                <w:bCs/>
                <w:color w:val="FFFFFF"/>
                <w:szCs w:val="16"/>
                <w:lang w:eastAsia="cs-CZ"/>
              </w:rPr>
              <w:t>Definice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6"/>
                <w:lang w:eastAsia="cs-CZ"/>
              </w:rPr>
              <w:t>ČMZRB</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Českomoravská záruční a rozvojová banka</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ČNB</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Česká národní banka</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ČR</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6"/>
                <w:lang w:eastAsia="cs-CZ"/>
              </w:rPr>
              <w:t>Česká republika</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ČRUIF</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6"/>
                <w:lang w:eastAsia="cs-CZ"/>
              </w:rPr>
              <w:t>Český rozvojový uzavřený investiční fond</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ČSÚ</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Český statistický úřad</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Deloitte</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Znamená Deloitte Advisory, s. r. o., dále také Dodavatel</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eastAsia="Arial" w:cs="Arial"/>
                <w:b/>
                <w:bCs/>
                <w:color w:val="000000"/>
                <w:szCs w:val="19"/>
                <w:lang w:eastAsia="cs-CZ"/>
              </w:rPr>
              <w:t>EEAG</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The Environmental and Energy State Aid Guidelines</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EEUD</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Energy Efficiency Urban Development Fund</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EIB</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Evropská investiční banka</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EIF</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Evropský investiční fond</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EK</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Evropská komise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EnEV</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Energieeinsparverordnung</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EPC</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Energetické služby se zárukou (Energy Performance Contracting)</w:t>
            </w:r>
          </w:p>
        </w:tc>
      </w:tr>
      <w:tr w:rsidR="00DE2A67" w:rsidRPr="00882979" w:rsidTr="00F45A21">
        <w:trPr>
          <w:trHeight w:val="269"/>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ESCO</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F45A21">
            <w:pPr>
              <w:spacing w:after="0"/>
              <w:rPr>
                <w:rFonts w:cs="Arial"/>
                <w:color w:val="000000"/>
                <w:szCs w:val="19"/>
                <w:lang w:eastAsia="cs-CZ"/>
              </w:rPr>
            </w:pPr>
            <w:r w:rsidRPr="00882979">
              <w:rPr>
                <w:rFonts w:cs="Arial"/>
                <w:color w:val="000000"/>
                <w:szCs w:val="19"/>
                <w:lang w:eastAsia="cs-CZ"/>
              </w:rPr>
              <w:t xml:space="preserve">Energy service company – firma </w:t>
            </w:r>
            <w:r w:rsidR="00F45A21" w:rsidRPr="00882979">
              <w:rPr>
                <w:rFonts w:cs="Arial"/>
                <w:color w:val="000000"/>
                <w:szCs w:val="19"/>
                <w:lang w:eastAsia="cs-CZ"/>
              </w:rPr>
              <w:t>poskytující</w:t>
            </w:r>
            <w:r w:rsidR="00F45A21">
              <w:rPr>
                <w:rFonts w:cs="Arial"/>
                <w:color w:val="000000"/>
                <w:szCs w:val="19"/>
                <w:lang w:eastAsia="cs-CZ"/>
              </w:rPr>
              <w:t xml:space="preserve"> energetické </w:t>
            </w:r>
            <w:r w:rsidRPr="00882979">
              <w:rPr>
                <w:rFonts w:cs="Arial"/>
                <w:color w:val="000000"/>
                <w:szCs w:val="19"/>
                <w:lang w:eastAsia="cs-CZ"/>
              </w:rPr>
              <w:t>služby</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jc w:val="left"/>
              <w:rPr>
                <w:rFonts w:cs="Arial"/>
                <w:b/>
                <w:bCs/>
                <w:color w:val="000000"/>
                <w:szCs w:val="19"/>
                <w:lang w:eastAsia="cs-CZ"/>
              </w:rPr>
            </w:pPr>
            <w:r w:rsidRPr="00882979">
              <w:rPr>
                <w:rFonts w:cs="Arial"/>
                <w:b/>
                <w:bCs/>
                <w:color w:val="000000"/>
                <w:szCs w:val="19"/>
                <w:lang w:eastAsia="cs-CZ"/>
              </w:rPr>
              <w:t>ESIF</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Evropské strukturální a investiční fondy</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EU</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Evropská unie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FF</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Fond fondů</w:t>
            </w:r>
          </w:p>
        </w:tc>
      </w:tr>
      <w:tr w:rsidR="00DE2A67" w:rsidRPr="00882979" w:rsidTr="00F45A21">
        <w:trPr>
          <w:trHeight w:val="259"/>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GBER</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Obecné nařízení o blokových výjimkách (General Block Exemption Regulation)</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HGE</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Hrubý grantový ekvivalent</w:t>
            </w:r>
          </w:p>
        </w:tc>
      </w:tr>
      <w:tr w:rsidR="00DE2A67" w:rsidRPr="00882979" w:rsidTr="00DE2A67">
        <w:trPr>
          <w:trHeight w:val="52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IFN</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 xml:space="preserve">Inovativní finanční nástroje, finanční nástroje v programovém období </w:t>
            </w:r>
            <w:r w:rsidR="00F45A21">
              <w:rPr>
                <w:rFonts w:cs="Arial"/>
                <w:color w:val="000000"/>
                <w:szCs w:val="19"/>
                <w:lang w:eastAsia="cs-CZ"/>
              </w:rPr>
              <w:br/>
            </w:r>
            <w:r w:rsidRPr="00882979">
              <w:rPr>
                <w:rFonts w:cs="Arial"/>
                <w:color w:val="000000"/>
                <w:szCs w:val="19"/>
                <w:lang w:eastAsia="cs-CZ"/>
              </w:rPr>
              <w:t>2014-2020</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IIP</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Infrastructure Investment Programme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IROP</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6"/>
                <w:lang w:eastAsia="cs-CZ"/>
              </w:rPr>
              <w:t>Integrovaný regionální operační program</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JESSICA</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6"/>
                <w:lang w:eastAsia="cs-CZ"/>
              </w:rPr>
              <w:t>Společná evropská podpora udržitelných investic do městských oblastí</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KfW</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Kreditanstalt für Wiederaufbau Bankengruppe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LDA</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London Development Agency</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LGF</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London Green fund</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LWARB</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London Waste and Recycling Board</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MMR (MMR-NOK)</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Ministerstvo pro místní rozvoj (MMR-Národní orgán pro koordinaci)</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6"/>
                <w:lang w:eastAsia="cs-CZ"/>
              </w:rPr>
              <w:t>MPO</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Ministerstvo průmyslu a obchodu</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MSP</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21606A" w:rsidP="00DE2A67">
            <w:pPr>
              <w:spacing w:after="0"/>
              <w:rPr>
                <w:rFonts w:cs="Arial"/>
                <w:color w:val="000000"/>
                <w:szCs w:val="19"/>
                <w:lang w:eastAsia="cs-CZ"/>
              </w:rPr>
            </w:pPr>
            <w:r>
              <w:rPr>
                <w:rFonts w:cs="Arial"/>
                <w:color w:val="000000"/>
                <w:szCs w:val="19"/>
                <w:lang w:eastAsia="cs-CZ"/>
              </w:rPr>
              <w:t>Malý a střední podnik</w:t>
            </w:r>
            <w:r w:rsidR="00DE2A67" w:rsidRPr="00882979">
              <w:rPr>
                <w:rFonts w:cs="Arial"/>
                <w:color w:val="000000"/>
                <w:szCs w:val="19"/>
                <w:lang w:eastAsia="cs-CZ"/>
              </w:rPr>
              <w:t> </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NFOSiGW</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Narodowy Fundusz Ochrony Środowiska i Gospodarki Wodnej</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NGO</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Nestátní nezisková organizace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Nové programové období</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Programové období 2014 - 2020</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NZÚ</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Nová zelená úsporám</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OP PI</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Operační program Podnikání a inovace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OP PIK</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Operační program Podnikání a inovace pro konkurenceschopnost</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OP PK</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Operační program Praha - Konkurenceschopnost</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lastRenderedPageBreak/>
              <w:t>OP ŽP</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Operační program životní prostředí</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PCO</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Platební a certifikační orgán</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PO</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Prioritní osa</w:t>
            </w:r>
          </w:p>
        </w:tc>
      </w:tr>
      <w:tr w:rsidR="00DE2A67" w:rsidRPr="00882979" w:rsidTr="00DE2A67">
        <w:trPr>
          <w:trHeight w:val="52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Projekt</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Znamená projekt „Předběžné posouzení využití finančního nástroje v IROP“, jehož dodavatelem je společnost Deloitte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RoPD</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 </w:t>
            </w:r>
            <w:r w:rsidR="00E4530B">
              <w:rPr>
                <w:rFonts w:cs="Arial"/>
                <w:color w:val="000000"/>
                <w:szCs w:val="19"/>
                <w:lang w:eastAsia="cs-CZ"/>
              </w:rPr>
              <w:t>Rozhodnutí o poskytnutí dotace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ŘO</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Řídící orgán</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SC</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Specifický cíl</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SFRB</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Státní fond rozvoje bydlení</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SFŽP</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Státní fond životního prostředí České republiky</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SPV</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Special Purpose Vehicle, zvláštní entita fondového charakteru</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ÚOHS</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Úřad pro ochranu hospodářské soutěže</w:t>
            </w:r>
          </w:p>
        </w:tc>
      </w:tr>
      <w:tr w:rsidR="00DE2A67" w:rsidRPr="00882979" w:rsidTr="003152C7">
        <w:trPr>
          <w:trHeight w:val="35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WFOŚiGWvK</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Wojewódzki Fundusz Ochrony Środowiska i Gospodarki Wodnej w Katowicach</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ZS</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Zapojené subjekty</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6"/>
                <w:lang w:eastAsia="cs-CZ"/>
              </w:rPr>
              <w:t>ZVZ</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Zákon o veřejných zakázkách</w:t>
            </w:r>
          </w:p>
        </w:tc>
      </w:tr>
    </w:tbl>
    <w:p w:rsidR="0089637B" w:rsidRPr="00CB5ED7" w:rsidRDefault="0089637B" w:rsidP="0089637B">
      <w:pPr>
        <w:pStyle w:val="Titulek"/>
        <w:spacing w:before="120"/>
      </w:pPr>
      <w:bookmarkStart w:id="8" w:name="_Toc417655499"/>
      <w:r w:rsidRPr="00CB5ED7">
        <w:t xml:space="preserve">Tabulka </w:t>
      </w:r>
      <w:r w:rsidRPr="004B6CDD">
        <w:fldChar w:fldCharType="begin"/>
      </w:r>
      <w:r w:rsidRPr="00CB5ED7">
        <w:instrText xml:space="preserve"> SEQ Tabulka \* ARABIC </w:instrText>
      </w:r>
      <w:r w:rsidRPr="004B6CDD">
        <w:fldChar w:fldCharType="separate"/>
      </w:r>
      <w:r w:rsidR="007813A3">
        <w:rPr>
          <w:noProof/>
        </w:rPr>
        <w:t>1</w:t>
      </w:r>
      <w:r w:rsidRPr="004B6CDD">
        <w:fldChar w:fldCharType="end"/>
      </w:r>
      <w:r w:rsidRPr="00CB5ED7">
        <w:t>: Definice pojmů</w:t>
      </w:r>
      <w:bookmarkEnd w:id="7"/>
      <w:bookmarkEnd w:id="8"/>
    </w:p>
    <w:p w:rsidR="0089637B" w:rsidRDefault="0089637B" w:rsidP="0089637B">
      <w:pPr>
        <w:pStyle w:val="Nadpis1"/>
      </w:pPr>
      <w:bookmarkStart w:id="9" w:name="_Toc397701278"/>
      <w:bookmarkStart w:id="10" w:name="_Toc401150093"/>
      <w:bookmarkStart w:id="11" w:name="_Toc418767134"/>
      <w:r>
        <w:lastRenderedPageBreak/>
        <w:t>Manažerské shrnutí</w:t>
      </w:r>
      <w:bookmarkEnd w:id="9"/>
      <w:bookmarkEnd w:id="10"/>
      <w:bookmarkEnd w:id="11"/>
    </w:p>
    <w:p w:rsidR="00EA6CCB" w:rsidRPr="00421A97" w:rsidRDefault="00EA6CCB" w:rsidP="00EA6CCB">
      <w:pPr>
        <w:pStyle w:val="Highlight3"/>
      </w:pPr>
      <w:r w:rsidRPr="00421A97">
        <w:t>Předmět Studie</w:t>
      </w:r>
    </w:p>
    <w:p w:rsidR="00EA6CCB" w:rsidRPr="00EA6CCB" w:rsidRDefault="00EA6CCB" w:rsidP="00EA6CCB">
      <w:r>
        <w:t xml:space="preserve">Společnost Deloitte Advisory s.r.o. (dále jen „Deloitte“ nebo „Dodavatel“) zvítězila ve veřejné soutěži o realizaci zakázky vypsané Ministerstvem pro místní rozvoj (dále také „MMR“ nebo „Zadavatel“) s názvem </w:t>
      </w:r>
      <w:r>
        <w:rPr>
          <w:b/>
        </w:rPr>
        <w:t xml:space="preserve">„Předběžné posouzení využití finančního nástroje v IROP“ </w:t>
      </w:r>
      <w:r>
        <w:t xml:space="preserve">(dále také „Projekt“). </w:t>
      </w:r>
      <w:r w:rsidRPr="00421A97">
        <w:t xml:space="preserve">Cílem </w:t>
      </w:r>
      <w:r>
        <w:t>P</w:t>
      </w:r>
      <w:r w:rsidRPr="00421A97">
        <w:t>rojektu</w:t>
      </w:r>
      <w:r>
        <w:t xml:space="preserve"> je poskytnout přehled kde a jak lze v navrhovaném Integrovaném regionálním operačním programu využít finanční nástroje. Závěrečná zpráva projektu pokrývá všechny okruhy smluvně definované a blíže rozvedené ve vstupní zprávě, v dělení na dva bloky, viz níže.</w:t>
      </w:r>
    </w:p>
    <w:p w:rsidR="00EA6CCB" w:rsidRPr="00984472" w:rsidRDefault="00EA6CCB" w:rsidP="00EA6CCB">
      <w:r>
        <w:rPr>
          <w:szCs w:val="19"/>
        </w:rPr>
        <w:t>První část zprávy (</w:t>
      </w:r>
      <w:r w:rsidR="00431136">
        <w:rPr>
          <w:szCs w:val="19"/>
        </w:rPr>
        <w:t>kapitola 4</w:t>
      </w:r>
      <w:r>
        <w:rPr>
          <w:szCs w:val="19"/>
        </w:rPr>
        <w:t xml:space="preserve">) prezentuje závěry v </w:t>
      </w:r>
      <w:r w:rsidRPr="00421A97">
        <w:rPr>
          <w:szCs w:val="19"/>
        </w:rPr>
        <w:t xml:space="preserve">okruzích tzv. </w:t>
      </w:r>
      <w:r w:rsidRPr="00421A97">
        <w:rPr>
          <w:b/>
          <w:szCs w:val="19"/>
        </w:rPr>
        <w:t>Bloku</w:t>
      </w:r>
      <w:r w:rsidRPr="00421A97">
        <w:rPr>
          <w:szCs w:val="19"/>
        </w:rPr>
        <w:t xml:space="preserve"> </w:t>
      </w:r>
      <w:r w:rsidRPr="00421A97">
        <w:rPr>
          <w:b/>
        </w:rPr>
        <w:t>A – Mapování tržních charakteristik</w:t>
      </w:r>
      <w:r w:rsidRPr="00421A97">
        <w:t>, konkrétně</w:t>
      </w:r>
      <w:r>
        <w:t xml:space="preserve"> se zabývajících</w:t>
      </w:r>
      <w:r w:rsidRPr="00421A97">
        <w:t>:</w:t>
      </w:r>
    </w:p>
    <w:p w:rsidR="00EA6CCB" w:rsidRDefault="00EA6CCB" w:rsidP="002D2639">
      <w:pPr>
        <w:pStyle w:val="Zkladntext"/>
        <w:numPr>
          <w:ilvl w:val="0"/>
          <w:numId w:val="36"/>
        </w:numPr>
        <w:tabs>
          <w:tab w:val="left" w:pos="567"/>
        </w:tabs>
        <w:spacing w:before="6" w:line="252" w:lineRule="auto"/>
        <w:ind w:left="567" w:right="106" w:hanging="360"/>
        <w:jc w:val="both"/>
        <w:rPr>
          <w:rFonts w:asciiTheme="majorHAnsi" w:hAnsiTheme="majorHAnsi" w:cstheme="majorHAnsi"/>
          <w:b/>
          <w:spacing w:val="-2"/>
          <w:lang w:val="cs-CZ"/>
        </w:rPr>
      </w:pPr>
      <w:r>
        <w:rPr>
          <w:rFonts w:asciiTheme="majorHAnsi" w:hAnsiTheme="majorHAnsi" w:cstheme="majorHAnsi"/>
          <w:b/>
          <w:spacing w:val="-2"/>
          <w:lang w:val="cs-CZ"/>
        </w:rPr>
        <w:t>Analýzou</w:t>
      </w:r>
      <w:r w:rsidRPr="00F30F8E">
        <w:rPr>
          <w:rFonts w:asciiTheme="majorHAnsi" w:hAnsiTheme="majorHAnsi" w:cstheme="majorHAnsi"/>
          <w:b/>
          <w:spacing w:val="-2"/>
          <w:lang w:val="cs-CZ"/>
        </w:rPr>
        <w:t xml:space="preserve"> selhání trhu, neoptimálních investičních situací, investičních potřeb</w:t>
      </w:r>
      <w:r w:rsidRPr="00F30F8E">
        <w:rPr>
          <w:rFonts w:asciiTheme="majorHAnsi" w:hAnsiTheme="majorHAnsi" w:cstheme="majorHAnsi"/>
          <w:spacing w:val="-2"/>
          <w:lang w:val="cs-CZ"/>
        </w:rPr>
        <w:t xml:space="preserve"> v oblastech plánovaného cílení </w:t>
      </w:r>
      <w:r>
        <w:rPr>
          <w:rFonts w:asciiTheme="majorHAnsi" w:hAnsiTheme="majorHAnsi" w:cstheme="majorHAnsi"/>
          <w:spacing w:val="-2"/>
          <w:lang w:val="cs-CZ"/>
        </w:rPr>
        <w:t>IROP</w:t>
      </w:r>
      <w:r w:rsidRPr="00F30F8E">
        <w:rPr>
          <w:rFonts w:asciiTheme="majorHAnsi" w:hAnsiTheme="majorHAnsi" w:cstheme="majorHAnsi"/>
          <w:spacing w:val="-2"/>
          <w:lang w:val="cs-CZ"/>
        </w:rPr>
        <w:t xml:space="preserve">, které mají být podpořeny </w:t>
      </w:r>
      <w:r>
        <w:rPr>
          <w:rFonts w:asciiTheme="majorHAnsi" w:hAnsiTheme="majorHAnsi" w:cstheme="majorHAnsi"/>
          <w:spacing w:val="-2"/>
          <w:lang w:val="cs-CZ"/>
        </w:rPr>
        <w:t>IFN;</w:t>
      </w:r>
    </w:p>
    <w:p w:rsidR="00EA6CCB" w:rsidRPr="00984472" w:rsidRDefault="00EA6CCB" w:rsidP="002D2639">
      <w:pPr>
        <w:pStyle w:val="Zkladntext"/>
        <w:numPr>
          <w:ilvl w:val="0"/>
          <w:numId w:val="36"/>
        </w:numPr>
        <w:tabs>
          <w:tab w:val="left" w:pos="567"/>
        </w:tabs>
        <w:spacing w:before="6" w:line="252" w:lineRule="auto"/>
        <w:ind w:left="567" w:right="106" w:hanging="360"/>
        <w:jc w:val="both"/>
        <w:rPr>
          <w:rFonts w:asciiTheme="majorHAnsi" w:hAnsiTheme="majorHAnsi" w:cstheme="majorHAnsi"/>
          <w:b/>
          <w:spacing w:val="-2"/>
          <w:lang w:val="cs-CZ"/>
        </w:rPr>
      </w:pPr>
      <w:r>
        <w:rPr>
          <w:rFonts w:asciiTheme="majorHAnsi" w:hAnsiTheme="majorHAnsi" w:cstheme="majorHAnsi"/>
          <w:b/>
          <w:spacing w:val="-2"/>
          <w:lang w:val="cs-CZ"/>
        </w:rPr>
        <w:t>P</w:t>
      </w:r>
      <w:r w:rsidRPr="00984472">
        <w:rPr>
          <w:rFonts w:asciiTheme="majorHAnsi" w:hAnsiTheme="majorHAnsi" w:cstheme="majorHAnsi"/>
          <w:b/>
          <w:spacing w:val="-2"/>
          <w:lang w:val="cs-CZ"/>
        </w:rPr>
        <w:t>osouzení</w:t>
      </w:r>
      <w:r>
        <w:rPr>
          <w:rFonts w:asciiTheme="majorHAnsi" w:hAnsiTheme="majorHAnsi" w:cstheme="majorHAnsi"/>
          <w:b/>
          <w:spacing w:val="-2"/>
          <w:lang w:val="cs-CZ"/>
        </w:rPr>
        <w:t>m</w:t>
      </w:r>
      <w:r w:rsidRPr="00984472">
        <w:rPr>
          <w:rFonts w:asciiTheme="majorHAnsi" w:hAnsiTheme="majorHAnsi" w:cstheme="majorHAnsi"/>
          <w:b/>
          <w:spacing w:val="-2"/>
          <w:lang w:val="cs-CZ"/>
        </w:rPr>
        <w:t xml:space="preserve"> přidané hodnoty finančních nástrojů</w:t>
      </w:r>
      <w:r w:rsidRPr="00984472">
        <w:rPr>
          <w:rFonts w:asciiTheme="majorHAnsi" w:hAnsiTheme="majorHAnsi" w:cstheme="majorHAnsi"/>
          <w:spacing w:val="-2"/>
          <w:lang w:val="cs-CZ"/>
        </w:rPr>
        <w:t>, u nichž se zvažuje podpora z fondů ESI, soulad s jinými formami veřejné intervence zaměřené na stejný trh, popřípadě jejich vzájemné kombinace či doplnění, možné dopady státní podpory, přiměřenost zamýšlené intervence a opatření pro minimalizaci narušení trhu</w:t>
      </w:r>
      <w:r w:rsidRPr="00984472">
        <w:rPr>
          <w:rFonts w:asciiTheme="majorHAnsi" w:hAnsiTheme="majorHAnsi" w:cstheme="majorHAnsi"/>
          <w:spacing w:val="-3"/>
          <w:lang w:val="cs-CZ"/>
        </w:rPr>
        <w:t>;</w:t>
      </w:r>
    </w:p>
    <w:p w:rsidR="00EA6CCB" w:rsidRDefault="00EA6CCB" w:rsidP="002D2639">
      <w:pPr>
        <w:pStyle w:val="Zkladntext"/>
        <w:numPr>
          <w:ilvl w:val="0"/>
          <w:numId w:val="36"/>
        </w:numPr>
        <w:tabs>
          <w:tab w:val="left" w:pos="567"/>
        </w:tabs>
        <w:spacing w:before="10" w:line="247" w:lineRule="auto"/>
        <w:ind w:left="567" w:right="133" w:hanging="360"/>
        <w:jc w:val="both"/>
        <w:rPr>
          <w:rFonts w:asciiTheme="majorHAnsi" w:hAnsiTheme="majorHAnsi" w:cstheme="majorHAnsi"/>
          <w:lang w:val="cs-CZ"/>
        </w:rPr>
      </w:pPr>
      <w:r>
        <w:rPr>
          <w:rFonts w:asciiTheme="majorHAnsi" w:hAnsiTheme="majorHAnsi" w:cstheme="majorHAnsi"/>
          <w:b/>
          <w:spacing w:val="-4"/>
          <w:lang w:val="cs-CZ"/>
        </w:rPr>
        <w:t>O</w:t>
      </w:r>
      <w:r w:rsidRPr="0095433A">
        <w:rPr>
          <w:rFonts w:asciiTheme="majorHAnsi" w:hAnsiTheme="majorHAnsi" w:cstheme="majorHAnsi"/>
          <w:b/>
          <w:spacing w:val="-4"/>
          <w:lang w:val="cs-CZ"/>
        </w:rPr>
        <w:t>dhad</w:t>
      </w:r>
      <w:r>
        <w:rPr>
          <w:rFonts w:asciiTheme="majorHAnsi" w:hAnsiTheme="majorHAnsi" w:cstheme="majorHAnsi"/>
          <w:b/>
          <w:spacing w:val="-4"/>
          <w:lang w:val="cs-CZ"/>
        </w:rPr>
        <w:t>em</w:t>
      </w:r>
      <w:r w:rsidRPr="0095433A">
        <w:rPr>
          <w:rFonts w:asciiTheme="majorHAnsi" w:hAnsiTheme="majorHAnsi" w:cstheme="majorHAnsi"/>
          <w:b/>
          <w:spacing w:val="-4"/>
          <w:lang w:val="cs-CZ"/>
        </w:rPr>
        <w:t xml:space="preserve"> dodatečných veřejných a soukromých zdrojů</w:t>
      </w:r>
      <w:r w:rsidRPr="0095433A">
        <w:rPr>
          <w:rFonts w:asciiTheme="majorHAnsi" w:hAnsiTheme="majorHAnsi" w:cstheme="majorHAnsi"/>
          <w:spacing w:val="-4"/>
          <w:lang w:val="cs-CZ"/>
        </w:rPr>
        <w:t xml:space="preserve">, které lze pomocí </w:t>
      </w:r>
      <w:r>
        <w:rPr>
          <w:rFonts w:asciiTheme="majorHAnsi" w:hAnsiTheme="majorHAnsi" w:cstheme="majorHAnsi"/>
          <w:spacing w:val="-4"/>
          <w:lang w:val="cs-CZ"/>
        </w:rPr>
        <w:t>IFN</w:t>
      </w:r>
      <w:r w:rsidRPr="0095433A">
        <w:rPr>
          <w:rFonts w:asciiTheme="majorHAnsi" w:hAnsiTheme="majorHAnsi" w:cstheme="majorHAnsi"/>
          <w:spacing w:val="-4"/>
          <w:lang w:val="cs-CZ"/>
        </w:rPr>
        <w:t xml:space="preserve"> potenciálně získat, a to až po úroveň konečného příjemce (očekávaný pákový </w:t>
      </w:r>
      <w:r w:rsidRPr="00BC1ACE">
        <w:rPr>
          <w:rFonts w:asciiTheme="majorHAnsi" w:hAnsiTheme="majorHAnsi" w:cstheme="majorHAnsi"/>
          <w:spacing w:val="-4"/>
          <w:lang w:val="cs-CZ"/>
        </w:rPr>
        <w:t xml:space="preserve">efekt), </w:t>
      </w:r>
      <w:r w:rsidRPr="00BC1ACE">
        <w:rPr>
          <w:spacing w:val="-4"/>
          <w:lang w:val="cs-CZ"/>
        </w:rPr>
        <w:t>včetně,</w:t>
      </w:r>
      <w:r w:rsidRPr="00BC1ACE">
        <w:rPr>
          <w:spacing w:val="37"/>
          <w:lang w:val="cs-CZ"/>
        </w:rPr>
        <w:t xml:space="preserve"> </w:t>
      </w:r>
      <w:r w:rsidRPr="00BC1ACE">
        <w:rPr>
          <w:spacing w:val="-1"/>
          <w:lang w:val="cs-CZ"/>
        </w:rPr>
        <w:t>je-li</w:t>
      </w:r>
      <w:r w:rsidRPr="00BC1ACE">
        <w:rPr>
          <w:spacing w:val="33"/>
          <w:lang w:val="cs-CZ"/>
        </w:rPr>
        <w:t xml:space="preserve"> </w:t>
      </w:r>
      <w:r w:rsidRPr="00BC1ACE">
        <w:rPr>
          <w:spacing w:val="1"/>
          <w:lang w:val="cs-CZ"/>
        </w:rPr>
        <w:t>to</w:t>
      </w:r>
      <w:r w:rsidRPr="00BC1ACE">
        <w:rPr>
          <w:spacing w:val="77"/>
          <w:w w:val="102"/>
          <w:lang w:val="cs-CZ"/>
        </w:rPr>
        <w:t xml:space="preserve"> </w:t>
      </w:r>
      <w:r w:rsidRPr="00BC1ACE">
        <w:rPr>
          <w:spacing w:val="-5"/>
          <w:lang w:val="cs-CZ"/>
        </w:rPr>
        <w:t>relevantní,</w:t>
      </w:r>
      <w:r w:rsidRPr="00BC1ACE">
        <w:rPr>
          <w:spacing w:val="3"/>
          <w:lang w:val="cs-CZ"/>
        </w:rPr>
        <w:t xml:space="preserve"> </w:t>
      </w:r>
      <w:r w:rsidRPr="00604B4D">
        <w:rPr>
          <w:spacing w:val="-2"/>
          <w:lang w:val="cs-CZ"/>
        </w:rPr>
        <w:t>posouzení</w:t>
      </w:r>
      <w:r w:rsidRPr="00604B4D">
        <w:rPr>
          <w:spacing w:val="25"/>
          <w:lang w:val="cs-CZ"/>
        </w:rPr>
        <w:t xml:space="preserve"> </w:t>
      </w:r>
      <w:r w:rsidRPr="00604B4D">
        <w:rPr>
          <w:spacing w:val="-3"/>
          <w:lang w:val="cs-CZ"/>
        </w:rPr>
        <w:t>potřeby</w:t>
      </w:r>
      <w:r w:rsidRPr="00604B4D">
        <w:rPr>
          <w:spacing w:val="42"/>
          <w:lang w:val="cs-CZ"/>
        </w:rPr>
        <w:t xml:space="preserve"> </w:t>
      </w:r>
      <w:r w:rsidRPr="00604B4D">
        <w:rPr>
          <w:lang w:val="cs-CZ"/>
        </w:rPr>
        <w:t xml:space="preserve">a </w:t>
      </w:r>
      <w:r w:rsidRPr="00604B4D">
        <w:rPr>
          <w:spacing w:val="-4"/>
          <w:lang w:val="cs-CZ"/>
        </w:rPr>
        <w:t>míry</w:t>
      </w:r>
      <w:r w:rsidRPr="00604B4D">
        <w:rPr>
          <w:lang w:val="cs-CZ"/>
        </w:rPr>
        <w:t xml:space="preserve"> </w:t>
      </w:r>
      <w:r w:rsidRPr="00604B4D">
        <w:rPr>
          <w:spacing w:val="-4"/>
          <w:lang w:val="cs-CZ"/>
        </w:rPr>
        <w:t>preferenčního</w:t>
      </w:r>
      <w:r w:rsidRPr="00604B4D">
        <w:rPr>
          <w:lang w:val="cs-CZ"/>
        </w:rPr>
        <w:t xml:space="preserve"> </w:t>
      </w:r>
      <w:r w:rsidRPr="00604B4D">
        <w:rPr>
          <w:spacing w:val="-5"/>
          <w:lang w:val="cs-CZ"/>
        </w:rPr>
        <w:t>odměňování</w:t>
      </w:r>
      <w:r>
        <w:rPr>
          <w:rFonts w:asciiTheme="majorHAnsi" w:hAnsiTheme="majorHAnsi" w:cstheme="majorHAnsi"/>
          <w:spacing w:val="-4"/>
          <w:lang w:val="cs-CZ"/>
        </w:rPr>
        <w:t>;</w:t>
      </w:r>
    </w:p>
    <w:p w:rsidR="00EA6CCB" w:rsidRPr="00EA6CCB" w:rsidRDefault="00EA6CCB" w:rsidP="002D2639">
      <w:pPr>
        <w:pStyle w:val="Zkladntext"/>
        <w:numPr>
          <w:ilvl w:val="0"/>
          <w:numId w:val="36"/>
        </w:numPr>
        <w:tabs>
          <w:tab w:val="left" w:pos="567"/>
        </w:tabs>
        <w:spacing w:before="10" w:line="247" w:lineRule="auto"/>
        <w:ind w:left="567" w:right="133" w:hanging="360"/>
        <w:jc w:val="both"/>
        <w:rPr>
          <w:rFonts w:asciiTheme="majorHAnsi" w:hAnsiTheme="majorHAnsi" w:cstheme="majorHAnsi"/>
          <w:lang w:val="cs-CZ"/>
        </w:rPr>
      </w:pPr>
      <w:r>
        <w:rPr>
          <w:rFonts w:asciiTheme="majorHAnsi" w:hAnsiTheme="majorHAnsi" w:cstheme="majorHAnsi"/>
          <w:b/>
          <w:lang w:val="cs-CZ"/>
        </w:rPr>
        <w:t>S</w:t>
      </w:r>
      <w:r w:rsidRPr="00984472">
        <w:rPr>
          <w:rFonts w:asciiTheme="majorHAnsi" w:hAnsiTheme="majorHAnsi" w:cstheme="majorHAnsi"/>
          <w:b/>
          <w:lang w:val="cs-CZ"/>
        </w:rPr>
        <w:t>tručný</w:t>
      </w:r>
      <w:r>
        <w:rPr>
          <w:rFonts w:asciiTheme="majorHAnsi" w:hAnsiTheme="majorHAnsi" w:cstheme="majorHAnsi"/>
          <w:b/>
          <w:lang w:val="cs-CZ"/>
        </w:rPr>
        <w:t>m</w:t>
      </w:r>
      <w:r w:rsidRPr="00984472">
        <w:rPr>
          <w:rFonts w:asciiTheme="majorHAnsi" w:hAnsiTheme="majorHAnsi" w:cstheme="majorHAnsi"/>
          <w:b/>
          <w:lang w:val="cs-CZ"/>
        </w:rPr>
        <w:t xml:space="preserve"> přehled</w:t>
      </w:r>
      <w:r>
        <w:rPr>
          <w:rFonts w:asciiTheme="majorHAnsi" w:hAnsiTheme="majorHAnsi" w:cstheme="majorHAnsi"/>
          <w:b/>
          <w:lang w:val="cs-CZ"/>
        </w:rPr>
        <w:t>em</w:t>
      </w:r>
      <w:r w:rsidRPr="00984472">
        <w:rPr>
          <w:rFonts w:asciiTheme="majorHAnsi" w:hAnsiTheme="majorHAnsi" w:cstheme="majorHAnsi"/>
          <w:b/>
          <w:lang w:val="cs-CZ"/>
        </w:rPr>
        <w:t xml:space="preserve"> dosavadních zkušeností s finančními nástroji </w:t>
      </w:r>
      <w:r w:rsidRPr="00984472">
        <w:rPr>
          <w:rFonts w:asciiTheme="majorHAnsi" w:hAnsiTheme="majorHAnsi" w:cstheme="majorHAnsi"/>
          <w:lang w:val="cs-CZ"/>
        </w:rPr>
        <w:t>v ČR, popř. v ostatních členských zemí EU a plánu jejich využití v členských zemích v období 2014-2020</w:t>
      </w:r>
      <w:r w:rsidRPr="00984472">
        <w:rPr>
          <w:rFonts w:asciiTheme="majorHAnsi" w:hAnsiTheme="majorHAnsi" w:cstheme="majorHAnsi"/>
          <w:spacing w:val="-2"/>
          <w:lang w:val="cs-CZ"/>
        </w:rPr>
        <w:t>.</w:t>
      </w:r>
    </w:p>
    <w:p w:rsidR="00EA6CCB" w:rsidRDefault="00EA6CCB" w:rsidP="00EA6CCB">
      <w:pPr>
        <w:pStyle w:val="Zkladntext"/>
        <w:tabs>
          <w:tab w:val="left" w:pos="567"/>
        </w:tabs>
        <w:spacing w:before="10" w:line="247" w:lineRule="auto"/>
        <w:ind w:right="133"/>
        <w:jc w:val="both"/>
        <w:rPr>
          <w:rFonts w:eastAsia="Times New Roman" w:cs="Times New Roman"/>
          <w:szCs w:val="24"/>
          <w:lang w:val="cs-CZ"/>
        </w:rPr>
      </w:pPr>
      <w:r>
        <w:rPr>
          <w:rFonts w:eastAsia="Times New Roman" w:cs="Times New Roman"/>
          <w:szCs w:val="24"/>
          <w:lang w:val="cs-CZ"/>
        </w:rPr>
        <w:t>Druhá</w:t>
      </w:r>
      <w:r w:rsidRPr="00EA6CCB">
        <w:rPr>
          <w:rFonts w:eastAsia="Times New Roman" w:cs="Times New Roman"/>
          <w:szCs w:val="24"/>
          <w:lang w:val="cs-CZ"/>
        </w:rPr>
        <w:t xml:space="preserve"> část zprávy (</w:t>
      </w:r>
      <w:r w:rsidR="00431136">
        <w:rPr>
          <w:rFonts w:eastAsia="Times New Roman" w:cs="Times New Roman"/>
          <w:szCs w:val="24"/>
          <w:lang w:val="cs-CZ"/>
        </w:rPr>
        <w:t>kapitola 5</w:t>
      </w:r>
      <w:r w:rsidRPr="00EA6CCB">
        <w:rPr>
          <w:rFonts w:eastAsia="Times New Roman" w:cs="Times New Roman"/>
          <w:szCs w:val="24"/>
          <w:lang w:val="cs-CZ"/>
        </w:rPr>
        <w:t xml:space="preserve">) prezentuje závěry v okruzích tzv. </w:t>
      </w:r>
      <w:r w:rsidRPr="00EA6CCB">
        <w:rPr>
          <w:rFonts w:eastAsia="Times New Roman" w:cs="Times New Roman"/>
          <w:b/>
          <w:szCs w:val="24"/>
          <w:lang w:val="cs-CZ"/>
        </w:rPr>
        <w:t>Bloku B – Strategie řízení a implementace</w:t>
      </w:r>
      <w:r w:rsidRPr="00EA6CCB">
        <w:rPr>
          <w:rFonts w:eastAsia="Times New Roman" w:cs="Times New Roman"/>
          <w:szCs w:val="24"/>
          <w:lang w:val="cs-CZ"/>
        </w:rPr>
        <w:t>, konkrétně se zabývajících:</w:t>
      </w:r>
    </w:p>
    <w:p w:rsidR="00EA6CCB" w:rsidRPr="00D37B5A" w:rsidRDefault="00EA6CCB" w:rsidP="002D2639">
      <w:pPr>
        <w:pStyle w:val="Zkladntext"/>
        <w:numPr>
          <w:ilvl w:val="0"/>
          <w:numId w:val="36"/>
        </w:numPr>
        <w:spacing w:before="6" w:line="252" w:lineRule="auto"/>
        <w:ind w:left="567" w:right="106"/>
        <w:jc w:val="both"/>
        <w:rPr>
          <w:rFonts w:asciiTheme="majorHAnsi" w:hAnsiTheme="majorHAnsi" w:cstheme="majorHAnsi"/>
          <w:spacing w:val="-2"/>
          <w:lang w:val="cs-CZ"/>
        </w:rPr>
      </w:pPr>
      <w:r w:rsidRPr="00D37B5A">
        <w:rPr>
          <w:rFonts w:asciiTheme="majorHAnsi" w:hAnsiTheme="majorHAnsi" w:cstheme="majorHAnsi"/>
          <w:b/>
          <w:spacing w:val="-2"/>
          <w:lang w:val="cs-CZ"/>
        </w:rPr>
        <w:t>Návrh investiční strategie</w:t>
      </w:r>
      <w:r w:rsidRPr="00D37B5A">
        <w:rPr>
          <w:rFonts w:asciiTheme="majorHAnsi" w:hAnsiTheme="majorHAnsi" w:cstheme="majorHAnsi"/>
          <w:spacing w:val="-2"/>
          <w:lang w:val="cs-CZ"/>
        </w:rPr>
        <w:t>, včetně posouzení možností pro prováděcí opatření ve smys</w:t>
      </w:r>
      <w:r w:rsidR="00747509">
        <w:rPr>
          <w:rFonts w:asciiTheme="majorHAnsi" w:hAnsiTheme="majorHAnsi" w:cstheme="majorHAnsi"/>
          <w:spacing w:val="-2"/>
          <w:lang w:val="cs-CZ"/>
        </w:rPr>
        <w:t>lu článku 37</w:t>
      </w:r>
      <w:r w:rsidRPr="00D37B5A">
        <w:rPr>
          <w:rFonts w:asciiTheme="majorHAnsi" w:hAnsiTheme="majorHAnsi" w:cstheme="majorHAnsi"/>
          <w:spacing w:val="-2"/>
          <w:lang w:val="cs-CZ"/>
        </w:rPr>
        <w:t xml:space="preserve"> obecného nařízení, finanční produkty, které mají být nabízeny, konečné cílové příjemce a popřípadě předpokládanou kombinaci s podporou z grantů.</w:t>
      </w:r>
    </w:p>
    <w:p w:rsidR="00EA6CCB" w:rsidRPr="00D37B5A" w:rsidRDefault="00EA6CCB" w:rsidP="002D2639">
      <w:pPr>
        <w:pStyle w:val="Zkladntext"/>
        <w:numPr>
          <w:ilvl w:val="0"/>
          <w:numId w:val="36"/>
        </w:numPr>
        <w:tabs>
          <w:tab w:val="left" w:pos="567"/>
        </w:tabs>
        <w:spacing w:before="6" w:line="252" w:lineRule="auto"/>
        <w:ind w:left="567" w:right="106"/>
        <w:jc w:val="both"/>
        <w:rPr>
          <w:rFonts w:asciiTheme="majorHAnsi" w:hAnsiTheme="majorHAnsi" w:cstheme="majorHAnsi"/>
          <w:spacing w:val="-2"/>
          <w:lang w:val="cs-CZ"/>
        </w:rPr>
      </w:pPr>
      <w:r w:rsidRPr="00D37B5A">
        <w:rPr>
          <w:rFonts w:asciiTheme="majorHAnsi" w:hAnsiTheme="majorHAnsi" w:cstheme="majorHAnsi"/>
          <w:b/>
          <w:spacing w:val="-2"/>
          <w:lang w:val="cs-CZ"/>
        </w:rPr>
        <w:t>Posouzení relevance a přínosů začlenění daného finančního nástroje do národního holdingového fondu a případná role finančního nástroje</w:t>
      </w:r>
      <w:r w:rsidRPr="00D37B5A">
        <w:rPr>
          <w:rFonts w:asciiTheme="majorHAnsi" w:hAnsiTheme="majorHAnsi" w:cstheme="majorHAnsi"/>
          <w:spacing w:val="-2"/>
          <w:lang w:val="cs-CZ"/>
        </w:rPr>
        <w:t xml:space="preserve"> v rámci holdingového fondu.</w:t>
      </w:r>
    </w:p>
    <w:p w:rsidR="00EA6CCB" w:rsidRPr="00D37B5A" w:rsidRDefault="00EA6CCB" w:rsidP="002D2639">
      <w:pPr>
        <w:pStyle w:val="Zkladntext"/>
        <w:numPr>
          <w:ilvl w:val="0"/>
          <w:numId w:val="36"/>
        </w:numPr>
        <w:tabs>
          <w:tab w:val="left" w:pos="567"/>
        </w:tabs>
        <w:spacing w:before="6" w:line="252" w:lineRule="auto"/>
        <w:ind w:left="567" w:right="106"/>
        <w:jc w:val="both"/>
        <w:rPr>
          <w:rFonts w:asciiTheme="majorHAnsi" w:hAnsiTheme="majorHAnsi" w:cstheme="majorHAnsi"/>
          <w:spacing w:val="-2"/>
          <w:lang w:val="cs-CZ"/>
        </w:rPr>
      </w:pPr>
      <w:r w:rsidRPr="00D37B5A">
        <w:rPr>
          <w:rFonts w:asciiTheme="majorHAnsi" w:hAnsiTheme="majorHAnsi" w:cstheme="majorHAnsi"/>
          <w:spacing w:val="-2"/>
          <w:lang w:val="cs-CZ"/>
        </w:rPr>
        <w:t xml:space="preserve">Posouzení relevance, přínosů a </w:t>
      </w:r>
      <w:r w:rsidRPr="00D37B5A">
        <w:rPr>
          <w:rFonts w:asciiTheme="majorHAnsi" w:hAnsiTheme="majorHAnsi" w:cstheme="majorHAnsi"/>
          <w:b/>
          <w:spacing w:val="-2"/>
          <w:lang w:val="cs-CZ"/>
        </w:rPr>
        <w:t>návrh způsobu propojení daného finančního nástroje se stávajícími finančními nástroji</w:t>
      </w:r>
      <w:r w:rsidRPr="00D37B5A">
        <w:rPr>
          <w:rFonts w:asciiTheme="majorHAnsi" w:hAnsiTheme="majorHAnsi" w:cstheme="majorHAnsi"/>
          <w:spacing w:val="-2"/>
          <w:lang w:val="cs-CZ"/>
        </w:rPr>
        <w:t xml:space="preserve"> a dalšími podporami poskytovanými v dané oblasti.</w:t>
      </w:r>
    </w:p>
    <w:p w:rsidR="00EA6CCB" w:rsidRPr="00D37B5A" w:rsidRDefault="00EA6CCB" w:rsidP="002D2639">
      <w:pPr>
        <w:pStyle w:val="Zkladntext"/>
        <w:numPr>
          <w:ilvl w:val="0"/>
          <w:numId w:val="36"/>
        </w:numPr>
        <w:tabs>
          <w:tab w:val="left" w:pos="567"/>
        </w:tabs>
        <w:spacing w:before="6" w:line="252" w:lineRule="auto"/>
        <w:ind w:left="567" w:right="106"/>
        <w:jc w:val="both"/>
        <w:rPr>
          <w:rFonts w:asciiTheme="majorHAnsi" w:hAnsiTheme="majorHAnsi" w:cstheme="majorHAnsi"/>
          <w:spacing w:val="-2"/>
          <w:lang w:val="cs-CZ"/>
        </w:rPr>
      </w:pPr>
      <w:r w:rsidRPr="00D37B5A">
        <w:rPr>
          <w:rFonts w:asciiTheme="majorHAnsi" w:hAnsiTheme="majorHAnsi" w:cstheme="majorHAnsi"/>
          <w:b/>
          <w:spacing w:val="-2"/>
          <w:lang w:val="cs-CZ"/>
        </w:rPr>
        <w:t>Posouzení intervencí podporovaných prostřednictvím finančního nástroje, zda jsou slučitelné s principy společného trhu</w:t>
      </w:r>
      <w:r w:rsidRPr="00D37B5A">
        <w:rPr>
          <w:rFonts w:asciiTheme="majorHAnsi" w:hAnsiTheme="majorHAnsi" w:cstheme="majorHAnsi"/>
          <w:spacing w:val="-2"/>
          <w:lang w:val="cs-CZ"/>
        </w:rPr>
        <w:t xml:space="preserve"> a případně jak podléhají pravidlům Evropské komise o veřejné podpoře.</w:t>
      </w:r>
    </w:p>
    <w:p w:rsidR="00EA6CCB" w:rsidRPr="00D37B5A" w:rsidRDefault="00EA6CCB" w:rsidP="002D2639">
      <w:pPr>
        <w:pStyle w:val="Zkladntext"/>
        <w:numPr>
          <w:ilvl w:val="0"/>
          <w:numId w:val="36"/>
        </w:numPr>
        <w:tabs>
          <w:tab w:val="left" w:pos="567"/>
        </w:tabs>
        <w:spacing w:before="6" w:line="252" w:lineRule="auto"/>
        <w:ind w:left="567" w:right="106"/>
        <w:jc w:val="both"/>
        <w:rPr>
          <w:rFonts w:asciiTheme="majorHAnsi" w:hAnsiTheme="majorHAnsi" w:cstheme="majorHAnsi"/>
          <w:spacing w:val="-2"/>
          <w:lang w:val="cs-CZ"/>
        </w:rPr>
      </w:pPr>
      <w:r w:rsidRPr="00D37B5A">
        <w:rPr>
          <w:rFonts w:asciiTheme="majorHAnsi" w:hAnsiTheme="majorHAnsi" w:cstheme="majorHAnsi"/>
          <w:b/>
          <w:spacing w:val="-2"/>
          <w:lang w:val="cs-CZ"/>
        </w:rPr>
        <w:t>Přesné vymezení očekávaných výsledků</w:t>
      </w:r>
      <w:r w:rsidRPr="00D37B5A">
        <w:rPr>
          <w:rFonts w:asciiTheme="majorHAnsi" w:hAnsiTheme="majorHAnsi" w:cstheme="majorHAnsi"/>
          <w:spacing w:val="-2"/>
          <w:lang w:val="cs-CZ"/>
        </w:rPr>
        <w:t xml:space="preserve"> a toho, jak má daný finanční nástroj přispět k dosažení specifických cílů.</w:t>
      </w:r>
    </w:p>
    <w:p w:rsidR="00EA6CCB" w:rsidRPr="00D37B5A" w:rsidRDefault="00EA6CCB" w:rsidP="002D2639">
      <w:pPr>
        <w:pStyle w:val="Zkladntext"/>
        <w:numPr>
          <w:ilvl w:val="0"/>
          <w:numId w:val="36"/>
        </w:numPr>
        <w:tabs>
          <w:tab w:val="left" w:pos="567"/>
        </w:tabs>
        <w:spacing w:before="6" w:line="252" w:lineRule="auto"/>
        <w:ind w:left="567" w:right="106"/>
        <w:jc w:val="both"/>
        <w:rPr>
          <w:rFonts w:asciiTheme="majorHAnsi" w:hAnsiTheme="majorHAnsi" w:cstheme="majorHAnsi"/>
          <w:spacing w:val="-2"/>
          <w:lang w:val="cs-CZ"/>
        </w:rPr>
      </w:pPr>
      <w:r w:rsidRPr="00D37B5A">
        <w:rPr>
          <w:rFonts w:asciiTheme="majorHAnsi" w:hAnsiTheme="majorHAnsi" w:cstheme="majorHAnsi"/>
          <w:b/>
          <w:spacing w:val="-2"/>
          <w:lang w:val="cs-CZ"/>
        </w:rPr>
        <w:t>Ustanovení, jež podle potřeby umožní přezkoumat a aktualizovat předběžné posouzení</w:t>
      </w:r>
      <w:r w:rsidRPr="00D37B5A">
        <w:rPr>
          <w:rFonts w:asciiTheme="majorHAnsi" w:hAnsiTheme="majorHAnsi" w:cstheme="majorHAnsi"/>
          <w:spacing w:val="-2"/>
          <w:lang w:val="cs-CZ"/>
        </w:rPr>
        <w:t>.</w:t>
      </w:r>
    </w:p>
    <w:p w:rsidR="00EA6CCB" w:rsidRPr="00320066" w:rsidRDefault="00EA6CCB" w:rsidP="00EA6CCB">
      <w:pPr>
        <w:pStyle w:val="Highlight3"/>
      </w:pPr>
      <w:r w:rsidRPr="00320066">
        <w:t xml:space="preserve">Využitelnost IFN v rámci oblastí podpory </w:t>
      </w:r>
      <w:r>
        <w:t>IROP</w:t>
      </w:r>
      <w:r w:rsidRPr="00320066">
        <w:t>, závěry pre-screeningu</w:t>
      </w:r>
    </w:p>
    <w:p w:rsidR="00EA6CCB" w:rsidRDefault="00EA6CCB" w:rsidP="00EA6CCB">
      <w:r w:rsidRPr="00320066">
        <w:t xml:space="preserve">Na základě realizace úvodního pre-screeningového průzkumu byly posouzeny jednotlivé oblasti podpory plánovaného </w:t>
      </w:r>
      <w:r>
        <w:t>IROP</w:t>
      </w:r>
      <w:r w:rsidRPr="00320066">
        <w:t>, a to za využití hodnocení proti atributům klíčovým pro posouzení potenciálu dané oblasti k využití IFN.</w:t>
      </w:r>
      <w:r>
        <w:t xml:space="preserve"> </w:t>
      </w:r>
      <w:r w:rsidR="00782ABF">
        <w:t>Dle výsledků</w:t>
      </w:r>
      <w:r>
        <w:t xml:space="preserve"> vstupního hodnocení </w:t>
      </w:r>
      <w:r w:rsidR="00782ABF">
        <w:t>bylo možné</w:t>
      </w:r>
      <w:r>
        <w:t xml:space="preserve"> konstatovat, že </w:t>
      </w:r>
      <w:r w:rsidRPr="00984472">
        <w:rPr>
          <w:b/>
        </w:rPr>
        <w:t xml:space="preserve">významný potenciál pro využití finančních nástrojů vykazuje </w:t>
      </w:r>
      <w:r>
        <w:rPr>
          <w:b/>
        </w:rPr>
        <w:t>oblast podpory</w:t>
      </w:r>
      <w:r w:rsidRPr="00984472">
        <w:rPr>
          <w:b/>
        </w:rPr>
        <w:t xml:space="preserve"> 2.5 </w:t>
      </w:r>
      <w:r w:rsidRPr="00984472">
        <w:rPr>
          <w:b/>
          <w:bCs/>
        </w:rPr>
        <w:t>Snížení energetické náročnosti v sektoru bydlení</w:t>
      </w:r>
      <w:r w:rsidRPr="00CE38F6">
        <w:t xml:space="preserve">, </w:t>
      </w:r>
      <w:r>
        <w:t>dále pak</w:t>
      </w:r>
      <w:r w:rsidR="00782ABF">
        <w:t>, že je vhodné</w:t>
      </w:r>
      <w:r>
        <w:t xml:space="preserve"> pokračovat v hodnocení </w:t>
      </w:r>
      <w:r>
        <w:rPr>
          <w:b/>
        </w:rPr>
        <w:t>oblasti podpory</w:t>
      </w:r>
      <w:r w:rsidDel="00CA2335">
        <w:t xml:space="preserve"> </w:t>
      </w:r>
      <w:r>
        <w:t xml:space="preserve">2.1 </w:t>
      </w:r>
      <w:r w:rsidRPr="00242C52">
        <w:rPr>
          <w:bCs/>
        </w:rPr>
        <w:t>Zvýšení kvality a dostupnosti služeb vedoucí k sociální inkluzi</w:t>
      </w:r>
      <w:r>
        <w:rPr>
          <w:bCs/>
        </w:rPr>
        <w:t xml:space="preserve">, a to konkrétně </w:t>
      </w:r>
      <w:r w:rsidRPr="00242C52">
        <w:rPr>
          <w:b/>
        </w:rPr>
        <w:t>oblast</w:t>
      </w:r>
      <w:r>
        <w:rPr>
          <w:b/>
        </w:rPr>
        <w:t>i</w:t>
      </w:r>
      <w:r w:rsidRPr="00242C52">
        <w:rPr>
          <w:b/>
        </w:rPr>
        <w:t xml:space="preserve"> podpory pořízení bytů a bytových domů pro sociální bydlení</w:t>
      </w:r>
      <w:r>
        <w:t>.</w:t>
      </w:r>
      <w:r w:rsidR="00782ABF">
        <w:t xml:space="preserve"> Uvedené oblasti postoupily k dalšímu rozpracování v rámci analýzy tržních selhání.</w:t>
      </w:r>
    </w:p>
    <w:p w:rsidR="00EA6CCB" w:rsidRDefault="00EA6CCB" w:rsidP="00EA6CCB">
      <w:pPr>
        <w:pStyle w:val="Highlight3"/>
      </w:pPr>
      <w:r>
        <w:t>Analýza selhání trhu a neoptimálních investičních situací</w:t>
      </w:r>
    </w:p>
    <w:p w:rsidR="00A56330" w:rsidRDefault="00EA6CCB" w:rsidP="00EA6CCB">
      <w:r w:rsidRPr="00320066">
        <w:t xml:space="preserve">Na základě výsledku pre-screeningového šetření byly potenciálně vhodné </w:t>
      </w:r>
      <w:r>
        <w:t>oblasti podpory</w:t>
      </w:r>
      <w:r w:rsidRPr="00320066">
        <w:t xml:space="preserve"> pro IFN dodavatelem podrobeny analýze tržních charakteristik s cílem rozhodnout, zda existuje tržní selhání/neoptimální tržní situace, resp. v jaké výši.</w:t>
      </w:r>
      <w:r>
        <w:t xml:space="preserve"> V obou analyzovaných případech byla potvrzena existence tržního selhání nebo </w:t>
      </w:r>
      <w:r w:rsidR="00A56330">
        <w:t>neoptimální investiční situace, závěry analýzy byly podstatným vstupem do návrhové části zprávy, konkrétně pro kapitolu investiční strategie.</w:t>
      </w:r>
    </w:p>
    <w:p w:rsidR="00757966" w:rsidRDefault="00A56330" w:rsidP="00EA6CCB">
      <w:r w:rsidRPr="00A56330">
        <w:rPr>
          <w:b/>
        </w:rPr>
        <w:t>Na základě dalších zkoumání, analýz a diskuzí s klíčovými zájmovými skupinami bylo vyjasněno, že není vhodné pokračovat v návrhu konkrétních parametrů nástroje pro oblast sociálního bydlení</w:t>
      </w:r>
      <w:r>
        <w:t xml:space="preserve"> – a to z důvodu, že bez vyjasnění budoucí národní koncepce v této oblasti a související legislativy nelze prakticky navrhnout vhodný finanční nástroj, resp. zda </w:t>
      </w:r>
      <w:r>
        <w:lastRenderedPageBreak/>
        <w:t>je vhodnější ponechat oblast v dotačním schématu</w:t>
      </w:r>
      <w:r w:rsidR="00757966">
        <w:t>.</w:t>
      </w:r>
      <w:r>
        <w:t xml:space="preserve"> Ve sledované kapitole jsou uvedeny konkrétní návrhy dalších kroků pro dva nejpravděpodobnější scénáře dalšího vývoje. </w:t>
      </w:r>
    </w:p>
    <w:p w:rsidR="00EA6CCB" w:rsidRPr="00320066" w:rsidRDefault="00A56330" w:rsidP="00EA6CCB">
      <w:r>
        <w:t xml:space="preserve">S ohledem na uvedené </w:t>
      </w:r>
      <w:r w:rsidRPr="00A56330">
        <w:rPr>
          <w:b/>
        </w:rPr>
        <w:t>návrhová část ex-ante analýzy dále pracovala pouze s oblastí energetických úspor v bytových domech, specifickým cílem IROP 2.5</w:t>
      </w:r>
      <w:r>
        <w:t xml:space="preserve">. </w:t>
      </w:r>
      <w:r w:rsidR="00757966" w:rsidRPr="0082669D">
        <w:rPr>
          <w:b/>
        </w:rPr>
        <w:t xml:space="preserve">Dodavatel uvádí, že existuje významný potenciál absorpční kapacity ve výši </w:t>
      </w:r>
      <w:r w:rsidR="00757966">
        <w:rPr>
          <w:b/>
        </w:rPr>
        <w:t xml:space="preserve">desítek až </w:t>
      </w:r>
      <w:r w:rsidR="00757966" w:rsidRPr="0082669D">
        <w:rPr>
          <w:b/>
        </w:rPr>
        <w:t xml:space="preserve">stovek miliard korun, který je zároveň možné považovat za objem tržního selhání či neoptimální tržní situace. </w:t>
      </w:r>
      <w:r w:rsidR="00757966">
        <w:t>Tyto investice mohou zůstat nerealizovány v případě, že nebude zavedena vhodná forma veřejné podpory – buď aktivizující bankovní sektor, či aktivizující vlastníky budov k vyšší investiční aktivitě.</w:t>
      </w:r>
    </w:p>
    <w:p w:rsidR="00EA6CCB" w:rsidRPr="00710B4C" w:rsidRDefault="00EA6CCB" w:rsidP="00EA6CCB">
      <w:pPr>
        <w:pStyle w:val="Highlight3"/>
      </w:pPr>
      <w:r w:rsidRPr="00710B4C">
        <w:t>Posouzení přidané hodnoty IFN a dodatečných veřejných a soukromých zdrojů</w:t>
      </w:r>
    </w:p>
    <w:p w:rsidR="00CD646A" w:rsidRDefault="00CD646A" w:rsidP="00EA6CCB">
      <w:r>
        <w:t>Na základě potvrzení existence</w:t>
      </w:r>
      <w:r w:rsidR="00EA6CCB" w:rsidRPr="00710B4C">
        <w:t xml:space="preserve"> tržní</w:t>
      </w:r>
      <w:r>
        <w:t>ho selhání</w:t>
      </w:r>
      <w:r w:rsidR="00EA6CCB" w:rsidRPr="00710B4C">
        <w:t xml:space="preserve"> a potenciál</w:t>
      </w:r>
      <w:r>
        <w:t>u pro</w:t>
      </w:r>
      <w:r w:rsidR="00EA6CCB" w:rsidRPr="00710B4C">
        <w:t xml:space="preserve"> využití</w:t>
      </w:r>
      <w:r>
        <w:t xml:space="preserve"> </w:t>
      </w:r>
      <w:r w:rsidR="00EA6CCB" w:rsidRPr="00710B4C">
        <w:t>IFN</w:t>
      </w:r>
      <w:r>
        <w:t xml:space="preserve"> v rámci specifického cíle 2.5 IROP</w:t>
      </w:r>
      <w:r w:rsidR="00EA6CCB" w:rsidRPr="00710B4C">
        <w:t xml:space="preserve"> bylo přistoupeno k modelování ekonomických dopadů. Při modelaci ekonomického dopadu zapojení IFN byly sledovány dvě základní veličiny – pákový efekt a přidaná hodnota, jak je definuje metodický pokyn EK. </w:t>
      </w:r>
      <w:r w:rsidR="00EA6CCB" w:rsidRPr="00710B4C">
        <w:rPr>
          <w:b/>
        </w:rPr>
        <w:t>Pákový efekt v pojetí Finančního nařízení je pojímán jako aktivace mimorozpočtových zdrojů</w:t>
      </w:r>
      <w:r w:rsidR="00EA6CCB" w:rsidRPr="00710B4C">
        <w:t>: „</w:t>
      </w:r>
      <w:r w:rsidR="00EA6CCB" w:rsidRPr="00361C79">
        <w:rPr>
          <w:i/>
        </w:rPr>
        <w:t>příspěvek EU na IFN má za cíl aktivovat v souladu s předem vymezenými ukazateli celkovou investici převyšující příspěvek EU</w:t>
      </w:r>
      <w:r w:rsidR="00EA6CCB" w:rsidRPr="00710B4C">
        <w:t xml:space="preserve">.“ </w:t>
      </w:r>
      <w:r w:rsidR="00EA6CCB" w:rsidRPr="00710B4C">
        <w:rPr>
          <w:b/>
        </w:rPr>
        <w:t>Přidaná hodnota vyjadřuje pákový efekt příspěvku Evropských strukturálních a investičních fondů, tj. dodatečné zdroje až po úroveň konečného příjemce.</w:t>
      </w:r>
      <w:r w:rsidR="00EA6CCB" w:rsidRPr="00710B4C">
        <w:t xml:space="preserve"> </w:t>
      </w:r>
    </w:p>
    <w:p w:rsidR="00CD646A" w:rsidRDefault="00EA6CCB" w:rsidP="00CD646A">
      <w:r w:rsidRPr="00710B4C">
        <w:t>Modelace multiplikačních efektů</w:t>
      </w:r>
      <w:r w:rsidR="00CD646A">
        <w:t xml:space="preserve"> byla nastavena na předpokladech budoucích parametrů finančního nástroje a předpokladu zájmu o nástroj, jak vyplynulo z návrhové části realizace Projektu. Modelování bylo realizováno pro oblast </w:t>
      </w:r>
      <w:r w:rsidR="00CD646A" w:rsidRPr="005B5BC7">
        <w:rPr>
          <w:b/>
        </w:rPr>
        <w:t xml:space="preserve">Snížení energetické náročnosti v sektoru bydlení – </w:t>
      </w:r>
      <w:r w:rsidR="00CD646A">
        <w:rPr>
          <w:b/>
        </w:rPr>
        <w:t xml:space="preserve">za využití úvěrového </w:t>
      </w:r>
      <w:r w:rsidR="00CD646A" w:rsidRPr="005B5BC7">
        <w:rPr>
          <w:b/>
        </w:rPr>
        <w:t>nástroj</w:t>
      </w:r>
      <w:r w:rsidR="00CD646A">
        <w:rPr>
          <w:b/>
        </w:rPr>
        <w:t>e</w:t>
      </w:r>
      <w:r w:rsidR="00CD646A">
        <w:t xml:space="preserve">. </w:t>
      </w:r>
    </w:p>
    <w:p w:rsidR="005623C0" w:rsidRPr="00965274" w:rsidRDefault="005623C0" w:rsidP="005623C0">
      <w:r w:rsidRPr="00965274">
        <w:t>V případě dodavatelem nastaveného modelu dosahuje finanční</w:t>
      </w:r>
      <w:r>
        <w:t xml:space="preserve"> nástroj následujících výsledků:</w:t>
      </w:r>
    </w:p>
    <w:p w:rsidR="005623C0" w:rsidRDefault="005623C0" w:rsidP="005623C0">
      <w:pPr>
        <w:pStyle w:val="Odstavecseseznamem"/>
        <w:numPr>
          <w:ilvl w:val="0"/>
          <w:numId w:val="40"/>
        </w:numPr>
        <w:rPr>
          <w:b/>
        </w:rPr>
      </w:pPr>
      <w:r w:rsidRPr="00965274">
        <w:rPr>
          <w:b/>
        </w:rPr>
        <w:t>Alokace IROP</w:t>
      </w:r>
      <w:r w:rsidRPr="00965274">
        <w:rPr>
          <w:b/>
        </w:rPr>
        <w:tab/>
      </w:r>
      <w:r>
        <w:rPr>
          <w:b/>
        </w:rPr>
        <w:tab/>
      </w:r>
      <w:r>
        <w:rPr>
          <w:b/>
        </w:rPr>
        <w:tab/>
      </w:r>
      <w:r>
        <w:rPr>
          <w:b/>
        </w:rPr>
        <w:tab/>
      </w:r>
      <w:r>
        <w:rPr>
          <w:b/>
        </w:rPr>
        <w:tab/>
      </w:r>
      <w:r>
        <w:rPr>
          <w:b/>
        </w:rPr>
        <w:tab/>
      </w:r>
      <w:r w:rsidRPr="00965274">
        <w:rPr>
          <w:b/>
        </w:rPr>
        <w:t>16 800</w:t>
      </w:r>
      <w:r w:rsidRPr="00965274">
        <w:rPr>
          <w:b/>
        </w:rPr>
        <w:tab/>
        <w:t>mil. Kč</w:t>
      </w:r>
    </w:p>
    <w:p w:rsidR="005623C0" w:rsidRDefault="005623C0" w:rsidP="005623C0">
      <w:pPr>
        <w:pStyle w:val="Odstavecseseznamem"/>
        <w:numPr>
          <w:ilvl w:val="0"/>
          <w:numId w:val="40"/>
        </w:numPr>
        <w:rPr>
          <w:b/>
        </w:rPr>
      </w:pPr>
      <w:r>
        <w:rPr>
          <w:b/>
        </w:rPr>
        <w:t>G</w:t>
      </w:r>
      <w:r w:rsidRPr="00965274">
        <w:rPr>
          <w:b/>
        </w:rPr>
        <w:t>enerované investice prvního cyklu</w:t>
      </w:r>
      <w:r w:rsidRPr="00965274">
        <w:rPr>
          <w:b/>
        </w:rPr>
        <w:tab/>
      </w:r>
      <w:r>
        <w:rPr>
          <w:b/>
        </w:rPr>
        <w:tab/>
      </w:r>
      <w:r>
        <w:rPr>
          <w:b/>
        </w:rPr>
        <w:tab/>
      </w:r>
      <w:r w:rsidRPr="00965274">
        <w:rPr>
          <w:b/>
        </w:rPr>
        <w:t>30 800</w:t>
      </w:r>
      <w:r w:rsidRPr="00965274">
        <w:rPr>
          <w:b/>
        </w:rPr>
        <w:tab/>
        <w:t>mil. Kč</w:t>
      </w:r>
    </w:p>
    <w:p w:rsidR="005623C0" w:rsidRDefault="005623C0" w:rsidP="005623C0">
      <w:pPr>
        <w:pStyle w:val="Odstavecseseznamem"/>
        <w:numPr>
          <w:ilvl w:val="0"/>
          <w:numId w:val="40"/>
        </w:numPr>
        <w:rPr>
          <w:b/>
        </w:rPr>
      </w:pPr>
      <w:r w:rsidRPr="00965274">
        <w:rPr>
          <w:b/>
        </w:rPr>
        <w:t xml:space="preserve">Celkem proinvestováno </w:t>
      </w:r>
      <w:r>
        <w:rPr>
          <w:b/>
        </w:rPr>
        <w:t>do roku</w:t>
      </w:r>
      <w:r w:rsidRPr="00965274">
        <w:rPr>
          <w:b/>
        </w:rPr>
        <w:t xml:space="preserve"> 2023</w:t>
      </w:r>
      <w:r w:rsidRPr="00965274">
        <w:rPr>
          <w:b/>
        </w:rPr>
        <w:tab/>
      </w:r>
      <w:r>
        <w:rPr>
          <w:b/>
        </w:rPr>
        <w:tab/>
      </w:r>
      <w:r>
        <w:rPr>
          <w:b/>
        </w:rPr>
        <w:tab/>
      </w:r>
      <w:r w:rsidR="00DF395C">
        <w:rPr>
          <w:b/>
        </w:rPr>
        <w:t>38 107</w:t>
      </w:r>
      <w:r w:rsidRPr="00965274">
        <w:rPr>
          <w:b/>
        </w:rPr>
        <w:tab/>
        <w:t>mil. Kč</w:t>
      </w:r>
    </w:p>
    <w:p w:rsidR="005623C0" w:rsidRPr="00965274" w:rsidRDefault="005623C0" w:rsidP="005623C0">
      <w:pPr>
        <w:pStyle w:val="Odstavecseseznamem"/>
        <w:numPr>
          <w:ilvl w:val="0"/>
          <w:numId w:val="40"/>
        </w:numPr>
        <w:spacing w:after="0"/>
        <w:jc w:val="left"/>
        <w:rPr>
          <w:b/>
        </w:rPr>
      </w:pPr>
      <w:r>
        <w:rPr>
          <w:b/>
        </w:rPr>
        <w:t>Celkem k dispozici pro re</w:t>
      </w:r>
      <w:r w:rsidRPr="00965274">
        <w:rPr>
          <w:b/>
        </w:rPr>
        <w:t>vo</w:t>
      </w:r>
      <w:r>
        <w:rPr>
          <w:b/>
        </w:rPr>
        <w:t>l</w:t>
      </w:r>
      <w:r w:rsidR="00DF395C">
        <w:rPr>
          <w:b/>
        </w:rPr>
        <w:t>ving prostředků IROP</w:t>
      </w:r>
      <w:r w:rsidR="00DF395C">
        <w:rPr>
          <w:b/>
        </w:rPr>
        <w:tab/>
        <w:t>16 005</w:t>
      </w:r>
      <w:r w:rsidRPr="00965274">
        <w:rPr>
          <w:b/>
        </w:rPr>
        <w:tab/>
        <w:t>mil. Kč</w:t>
      </w:r>
    </w:p>
    <w:p w:rsidR="005623C0" w:rsidRDefault="005623C0" w:rsidP="005623C0">
      <w:pPr>
        <w:pStyle w:val="Odstavecseseznamem"/>
        <w:numPr>
          <w:ilvl w:val="0"/>
          <w:numId w:val="40"/>
        </w:numPr>
        <w:spacing w:after="0"/>
        <w:jc w:val="left"/>
        <w:rPr>
          <w:b/>
        </w:rPr>
      </w:pPr>
      <w:r w:rsidRPr="00965274">
        <w:rPr>
          <w:b/>
        </w:rPr>
        <w:t>Přidaná hodnota</w:t>
      </w:r>
      <w:r w:rsidRPr="00965274">
        <w:rPr>
          <w:b/>
        </w:rPr>
        <w:tab/>
      </w:r>
      <w:r>
        <w:rPr>
          <w:b/>
        </w:rPr>
        <w:tab/>
      </w:r>
      <w:r>
        <w:rPr>
          <w:b/>
        </w:rPr>
        <w:tab/>
      </w:r>
      <w:r>
        <w:rPr>
          <w:b/>
        </w:rPr>
        <w:tab/>
      </w:r>
      <w:r>
        <w:rPr>
          <w:b/>
        </w:rPr>
        <w:tab/>
      </w:r>
      <w:r w:rsidR="00DF395C">
        <w:rPr>
          <w:b/>
        </w:rPr>
        <w:t>2,27</w:t>
      </w:r>
      <w:r w:rsidRPr="00965274">
        <w:rPr>
          <w:b/>
        </w:rPr>
        <w:tab/>
      </w:r>
    </w:p>
    <w:p w:rsidR="000E2A6F" w:rsidRDefault="005623C0" w:rsidP="005623C0">
      <w:pPr>
        <w:pStyle w:val="Odstavecseseznamem"/>
        <w:numPr>
          <w:ilvl w:val="0"/>
          <w:numId w:val="40"/>
        </w:numPr>
        <w:spacing w:after="0"/>
        <w:jc w:val="left"/>
        <w:rPr>
          <w:b/>
        </w:rPr>
      </w:pPr>
      <w:r w:rsidRPr="005623C0">
        <w:rPr>
          <w:b/>
        </w:rPr>
        <w:t>Pákový efekt</w:t>
      </w:r>
      <w:r w:rsidRPr="005623C0">
        <w:rPr>
          <w:b/>
        </w:rPr>
        <w:tab/>
      </w:r>
      <w:r w:rsidRPr="005623C0">
        <w:rPr>
          <w:b/>
        </w:rPr>
        <w:tab/>
      </w:r>
      <w:r w:rsidRPr="005623C0">
        <w:rPr>
          <w:b/>
        </w:rPr>
        <w:tab/>
      </w:r>
      <w:r w:rsidRPr="005623C0">
        <w:rPr>
          <w:b/>
        </w:rPr>
        <w:tab/>
      </w:r>
      <w:r w:rsidRPr="005623C0">
        <w:rPr>
          <w:b/>
        </w:rPr>
        <w:tab/>
      </w:r>
      <w:r w:rsidRPr="005623C0">
        <w:rPr>
          <w:b/>
        </w:rPr>
        <w:tab/>
        <w:t>1,83</w:t>
      </w:r>
      <w:r w:rsidRPr="005623C0">
        <w:rPr>
          <w:b/>
        </w:rPr>
        <w:tab/>
      </w:r>
    </w:p>
    <w:p w:rsidR="005623C0" w:rsidRPr="005623C0" w:rsidRDefault="005623C0" w:rsidP="005623C0">
      <w:pPr>
        <w:pStyle w:val="Odstavecseseznamem"/>
        <w:spacing w:after="0"/>
        <w:jc w:val="left"/>
        <w:rPr>
          <w:b/>
        </w:rPr>
      </w:pPr>
    </w:p>
    <w:p w:rsidR="00CD646A" w:rsidRDefault="0006463D" w:rsidP="00CD646A">
      <w:r>
        <w:t>Bližší přehled k modelování poskytuj</w:t>
      </w:r>
      <w:r w:rsidR="000E2A6F">
        <w:t>e samotný nástroj v příloze č. 2</w:t>
      </w:r>
      <w:r>
        <w:t xml:space="preserve"> závěrečné zprávy, kter</w:t>
      </w:r>
      <w:r w:rsidR="000E2A6F">
        <w:t>ý</w:t>
      </w:r>
      <w:r>
        <w:t xml:space="preserve"> poskytuje i prostor pro možnost změny vstupních proměnných a předpokladů pro modelování alternativních výsledků.</w:t>
      </w:r>
    </w:p>
    <w:p w:rsidR="00EA6CCB" w:rsidRDefault="00EA6CCB" w:rsidP="00EA6CCB">
      <w:pPr>
        <w:rPr>
          <w:b/>
          <w:color w:val="00A1DE" w:themeColor="accent3"/>
          <w:sz w:val="20"/>
        </w:rPr>
      </w:pPr>
      <w:r w:rsidRPr="00710B4C">
        <w:rPr>
          <w:b/>
          <w:color w:val="00A1DE" w:themeColor="accent3"/>
          <w:sz w:val="20"/>
        </w:rPr>
        <w:t>Zkušenosti s finančními nástroji v</w:t>
      </w:r>
      <w:r>
        <w:rPr>
          <w:b/>
          <w:color w:val="00A1DE" w:themeColor="accent3"/>
          <w:sz w:val="20"/>
        </w:rPr>
        <w:t xml:space="preserve"> ČR a v </w:t>
      </w:r>
      <w:r w:rsidRPr="00710B4C">
        <w:rPr>
          <w:b/>
          <w:color w:val="00A1DE" w:themeColor="accent3"/>
          <w:sz w:val="20"/>
        </w:rPr>
        <w:t>zahraničí</w:t>
      </w:r>
    </w:p>
    <w:p w:rsidR="00EA6CCB" w:rsidRDefault="00EA6CCB" w:rsidP="00EA6CCB">
      <w:r w:rsidRPr="00710B4C">
        <w:t>Obecně lze zhodnotit, že v zahraničí (čím vyspělejší v používání IF</w:t>
      </w:r>
      <w:r>
        <w:t>N</w:t>
      </w:r>
      <w:r w:rsidRPr="00710B4C">
        <w:t xml:space="preserve">, tím víc) se mimo úvěrových finančních nástrojů využívají </w:t>
      </w:r>
      <w:r>
        <w:t>kapitálové</w:t>
      </w:r>
      <w:r w:rsidRPr="00710B4C">
        <w:t xml:space="preserve"> finanční nástroje a to i v případě kombinace národních, evropských a municipálních zdrojů. Nejčastěji uvažovanou a pro investory zajímavou dobou návratnosti finančních prostředků je horizont 10 let. V oblasti průměrné délky fungování fondu (do umožnění exitu investorům) je toto období 5 – 7 let. Častým jevem je také to, že po „ukončení“ fondu se tento fond plynule transformuje do fondu následnického – zejména britský model. Nejčastější úrokovou sazbou u finančních nástrojů ve formě zvýhodněných úvěrů je rozmezí 1 – 3,5%</w:t>
      </w:r>
      <w:r>
        <w:t>.</w:t>
      </w:r>
    </w:p>
    <w:p w:rsidR="0016673A" w:rsidRDefault="0016673A" w:rsidP="0016673A">
      <w:pPr>
        <w:pStyle w:val="Highlight3"/>
      </w:pPr>
      <w:r>
        <w:t>Návrh investiční strategie</w:t>
      </w:r>
    </w:p>
    <w:p w:rsidR="0016673A" w:rsidRDefault="009543FA" w:rsidP="0016673A">
      <w:r>
        <w:t>V rámci kapitoly dodavatel</w:t>
      </w:r>
      <w:r w:rsidR="0016673A">
        <w:t xml:space="preserve"> navrh</w:t>
      </w:r>
      <w:r w:rsidR="00695D68">
        <w:t>uje</w:t>
      </w:r>
      <w:r>
        <w:t xml:space="preserve"> konkrétní parametry nástroje</w:t>
      </w:r>
      <w:r w:rsidR="0016673A">
        <w:t xml:space="preserve"> a implementační</w:t>
      </w:r>
      <w:r w:rsidR="00807E91">
        <w:t>ho</w:t>
      </w:r>
      <w:r w:rsidR="0016673A">
        <w:t xml:space="preserve"> us</w:t>
      </w:r>
      <w:r w:rsidR="004A5569">
        <w:t xml:space="preserve">pořádání, které je vhodné pro </w:t>
      </w:r>
      <w:r>
        <w:t>podmínky IROP</w:t>
      </w:r>
      <w:r w:rsidR="0016673A">
        <w:t>.</w:t>
      </w:r>
      <w:r w:rsidR="0016673A" w:rsidRPr="000D2B9F">
        <w:t xml:space="preserve"> </w:t>
      </w:r>
      <w:r>
        <w:t>Navrhovaná forma</w:t>
      </w:r>
      <w:r w:rsidR="0016673A" w:rsidRPr="004507E2">
        <w:t xml:space="preserve"> </w:t>
      </w:r>
      <w:r>
        <w:t>úvěrového finančního nástroje</w:t>
      </w:r>
      <w:r w:rsidR="0016673A" w:rsidRPr="004507E2">
        <w:t xml:space="preserve"> i posléze návrhy a doporučení ohledně implementační struktury byly dodavatelem důsledně prověřeny vůči existujícím závazným om</w:t>
      </w:r>
      <w:r w:rsidR="004A5569">
        <w:t>ezením, spojeným</w:t>
      </w:r>
      <w:r w:rsidR="0016673A" w:rsidRPr="004507E2">
        <w:t xml:space="preserve"> především se zněním </w:t>
      </w:r>
      <w:r w:rsidR="0016673A">
        <w:t>o</w:t>
      </w:r>
      <w:r w:rsidR="0016673A" w:rsidRPr="004507E2">
        <w:t xml:space="preserve">becného nařízení, </w:t>
      </w:r>
      <w:r w:rsidR="0016673A">
        <w:t>p</w:t>
      </w:r>
      <w:r w:rsidR="0016673A" w:rsidRPr="004507E2">
        <w:t>rováděcích a implementačních nařízení, metodických doporučení a v neposlední řadě s platnými pravidly pro veřejnou podporu.</w:t>
      </w:r>
    </w:p>
    <w:p w:rsidR="00CC231F" w:rsidRPr="009543FA" w:rsidRDefault="00CC231F" w:rsidP="00CC231F">
      <w:pPr>
        <w:rPr>
          <w:b/>
        </w:rPr>
      </w:pPr>
      <w:r w:rsidRPr="009543FA">
        <w:rPr>
          <w:b/>
        </w:rPr>
        <w:t>Dodavatelem uváděné doporučení k budoucímu nastavení finančního nástroje reflektuje známé podmínky v čase zpracování ex-ante analýzy – platnost a vhodnost uplatnění nástrojů v doporučované podo</w:t>
      </w:r>
      <w:r>
        <w:rPr>
          <w:b/>
        </w:rPr>
        <w:t>bě je nutné ze strany řídícího orgánu dále ověřovat a případně zpřesňovat aktivní komunikací s relevantními zájmovými skupinami i po skončení ex-ante analýzy.</w:t>
      </w:r>
    </w:p>
    <w:p w:rsidR="0087544E" w:rsidRDefault="0016673A" w:rsidP="0016673A">
      <w:r>
        <w:t xml:space="preserve">Návrhová část ex-ante analýzy </w:t>
      </w:r>
      <w:r w:rsidR="009543FA">
        <w:t>znamenala úpravu parametrů v původní podobě</w:t>
      </w:r>
      <w:r w:rsidR="0087544E">
        <w:t> nástroj</w:t>
      </w:r>
      <w:r w:rsidR="009543FA">
        <w:t>e,</w:t>
      </w:r>
      <w:r w:rsidR="0087544E">
        <w:t xml:space="preserve"> jak byl </w:t>
      </w:r>
      <w:r w:rsidR="009543FA">
        <w:t>prezentován</w:t>
      </w:r>
      <w:r w:rsidR="0087544E">
        <w:t xml:space="preserve"> v rámci bloku A </w:t>
      </w:r>
      <w:r w:rsidR="00807E91">
        <w:t>Projektu</w:t>
      </w:r>
      <w:r w:rsidR="0087544E">
        <w:t xml:space="preserve"> – změny reflektují potřebu jak vyhovět souvisejícím omezením pravidel, tak </w:t>
      </w:r>
      <w:r w:rsidR="009543FA">
        <w:t xml:space="preserve">jsou </w:t>
      </w:r>
      <w:r w:rsidR="0087544E">
        <w:t>především reflex</w:t>
      </w:r>
      <w:r w:rsidR="009543FA">
        <w:t>í</w:t>
      </w:r>
      <w:r w:rsidR="0087544E">
        <w:t xml:space="preserve"> </w:t>
      </w:r>
      <w:r w:rsidR="009543FA">
        <w:t>diskuzí se zástupci relevantních zájmových</w:t>
      </w:r>
      <w:r w:rsidR="0087544E">
        <w:t xml:space="preserve"> skupin</w:t>
      </w:r>
      <w:r w:rsidR="009543FA">
        <w:t xml:space="preserve">. Návrh </w:t>
      </w:r>
      <w:r w:rsidR="0087544E">
        <w:t>na</w:t>
      </w:r>
      <w:r w:rsidR="009543FA">
        <w:t>stavení podoby nástroje usiluje o funkční nastavení, které bude vyhovovat jak potřebám, cílům a možnostem řídícího orgánu, tak potřebám, cílům a možnostem motivujícím spolufinancující subjekty a především konečné příjemce podpory.</w:t>
      </w:r>
    </w:p>
    <w:p w:rsidR="00A825E5" w:rsidRDefault="009543FA" w:rsidP="0016673A">
      <w:pPr>
        <w:rPr>
          <w:bCs/>
        </w:rPr>
      </w:pPr>
      <w:r>
        <w:t>Dodavatel navrhuje alokac</w:t>
      </w:r>
      <w:r w:rsidR="00842164">
        <w:t>i</w:t>
      </w:r>
      <w:r>
        <w:t xml:space="preserve">, která je vyčleněna pro podporu projektů v rámci </w:t>
      </w:r>
      <w:r w:rsidRPr="00B929C6">
        <w:rPr>
          <w:b/>
        </w:rPr>
        <w:t xml:space="preserve">specifického cíle 2.5 </w:t>
      </w:r>
      <w:r w:rsidRPr="00B929C6">
        <w:rPr>
          <w:b/>
          <w:bCs/>
        </w:rPr>
        <w:t>Snížení energetické náročnosti v sektoru bydlení vyčlenit na využití finančního nástroje</w:t>
      </w:r>
      <w:r w:rsidR="00842164">
        <w:rPr>
          <w:bCs/>
        </w:rPr>
        <w:t xml:space="preserve"> (po odečtení části pro dotační podporu prioritizovaným oblastem)</w:t>
      </w:r>
      <w:r>
        <w:rPr>
          <w:bCs/>
        </w:rPr>
        <w:t xml:space="preserve">. </w:t>
      </w:r>
      <w:r w:rsidR="00B929C6">
        <w:rPr>
          <w:bCs/>
        </w:rPr>
        <w:t xml:space="preserve">S ohledem na pozitivní zkušenosti s fungováním podpory sledovaným projektům skrze finanční nástroj JESSICA v současném období a s ohledem na existující dobré zkušenosti s obdobným přístupem v dalších členských státech Evropské unie navrhuje dodavatel </w:t>
      </w:r>
      <w:r w:rsidR="00B929C6" w:rsidRPr="00B929C6">
        <w:rPr>
          <w:b/>
          <w:bCs/>
        </w:rPr>
        <w:t>využití úvěrového nástroje</w:t>
      </w:r>
      <w:r w:rsidR="00A825E5">
        <w:rPr>
          <w:b/>
          <w:bCs/>
        </w:rPr>
        <w:t>.</w:t>
      </w:r>
      <w:r w:rsidR="00CC231F">
        <w:rPr>
          <w:bCs/>
        </w:rPr>
        <w:t xml:space="preserve"> Návrh podoby nástroj</w:t>
      </w:r>
      <w:r w:rsidR="00075E23">
        <w:rPr>
          <w:bCs/>
        </w:rPr>
        <w:t xml:space="preserve">e je syntézou využití dobré praxe v ČR a zahraničí, s aplikovaným poučením z </w:t>
      </w:r>
      <w:r w:rsidR="00CC231F">
        <w:rPr>
          <w:bCs/>
        </w:rPr>
        <w:t>nástroje JESSICA, fungování</w:t>
      </w:r>
      <w:r w:rsidR="00075E23">
        <w:rPr>
          <w:bCs/>
        </w:rPr>
        <w:t>m</w:t>
      </w:r>
      <w:r w:rsidR="00CC231F">
        <w:rPr>
          <w:bCs/>
        </w:rPr>
        <w:t xml:space="preserve"> národního programu podpory PANEL a zahraničních programů na podporu renovace bytového fondu.</w:t>
      </w:r>
      <w:r w:rsidR="00A825E5">
        <w:rPr>
          <w:bCs/>
        </w:rPr>
        <w:t xml:space="preserve"> V příslušných částech ex ante analýzy pak dodavatel uvádí i variantní přístupy jak k podobě nástroje, tak k implementačnímu uspořádání. </w:t>
      </w:r>
    </w:p>
    <w:p w:rsidR="009543FA" w:rsidRPr="00A825E5" w:rsidRDefault="00A825E5" w:rsidP="0016673A">
      <w:pPr>
        <w:rPr>
          <w:b/>
          <w:bCs/>
        </w:rPr>
      </w:pPr>
      <w:r w:rsidRPr="00A825E5">
        <w:rPr>
          <w:b/>
          <w:bCs/>
        </w:rPr>
        <w:lastRenderedPageBreak/>
        <w:t xml:space="preserve">Všechny uváděné varianty jsou popsány do obdobné míry detailu a ŘO IROP pak budou umožňovat i rozhodnutí pro </w:t>
      </w:r>
      <w:r>
        <w:rPr>
          <w:b/>
          <w:bCs/>
        </w:rPr>
        <w:t xml:space="preserve">implementaci </w:t>
      </w:r>
      <w:r w:rsidRPr="00A825E5">
        <w:rPr>
          <w:b/>
          <w:bCs/>
        </w:rPr>
        <w:t xml:space="preserve">jiné varianty, než ty doporučované ex-ante analýzou. </w:t>
      </w:r>
    </w:p>
    <w:p w:rsidR="00A825E5" w:rsidRDefault="00CC231F" w:rsidP="0016673A">
      <w:r>
        <w:t>Dodavatel dále up</w:t>
      </w:r>
      <w:r w:rsidR="00A825E5">
        <w:t>ozorňuje, že úspěch</w:t>
      </w:r>
      <w:r>
        <w:t xml:space="preserve"> cíle rozdělit prostředky IRO</w:t>
      </w:r>
      <w:r w:rsidR="00A825E5">
        <w:t xml:space="preserve">P ve výši téměř 17 mld. Kč prostřednictvím </w:t>
      </w:r>
      <w:r>
        <w:t>do značné míry nové formy podpory úvěrového typu</w:t>
      </w:r>
      <w:r w:rsidR="002B02F9">
        <w:t>,</w:t>
      </w:r>
      <w:r>
        <w:t xml:space="preserve"> je nutné doprovodit významnou informačn</w:t>
      </w:r>
      <w:r w:rsidR="002B02F9">
        <w:t xml:space="preserve">í kampaní a současně zabezpečit, aby byl nástroj vhodně doplněn a provázán s dalšími existujícími a připravovanými formami podpory do stejné či příbuzné oblasti. </w:t>
      </w:r>
    </w:p>
    <w:p w:rsidR="00075E23" w:rsidRDefault="002B02F9" w:rsidP="0016673A">
      <w:r>
        <w:t>U informační kampaně je klíčové její brzké zahájení, aby budování povědomí o možnostech podpory IROP bytovým domům předcházelo samotnému spuštění čerpání podpory a dále, aby bylo jasně a snadno interpretovatelné, že finanční nástroj je atraktivní produkt, tzn. jím poskytovaná veřejná podpora je podstatnou výpomocí v případě investic do sledované ob</w:t>
      </w:r>
      <w:r w:rsidR="002E72C5">
        <w:t>lasti (vhodné interpretovat skrze jednoduchý nástroj typu kalkulačky, který jasně žadateli vyčíslí, jaké výhody mu realizace projetu přinese).</w:t>
      </w:r>
    </w:p>
    <w:p w:rsidR="0056686E" w:rsidRDefault="00075E23">
      <w:r>
        <w:t xml:space="preserve">Následující </w:t>
      </w:r>
      <w:r w:rsidR="00A825E5">
        <w:t>manažerská karta</w:t>
      </w:r>
      <w:r>
        <w:t xml:space="preserve"> shrnuje základní podobu </w:t>
      </w:r>
      <w:r w:rsidR="00A97B5B">
        <w:t>návrh</w:t>
      </w:r>
      <w:r>
        <w:t>u finančního nástroje v rámci IROP</w:t>
      </w:r>
      <w:r w:rsidR="007B6A38">
        <w:t xml:space="preserve"> – varianta č. 1.</w:t>
      </w:r>
    </w:p>
    <w:p w:rsidR="0056686E" w:rsidRDefault="00075E23">
      <w:pPr>
        <w:sectPr w:rsidR="0056686E" w:rsidSect="0056686E">
          <w:headerReference w:type="default" r:id="rId16"/>
          <w:pgSz w:w="11907" w:h="16839" w:code="9"/>
          <w:pgMar w:top="720" w:right="720" w:bottom="720" w:left="720" w:header="709" w:footer="709" w:gutter="0"/>
          <w:paperSrc w:first="15" w:other="15"/>
          <w:cols w:space="708"/>
          <w:docGrid w:linePitch="360"/>
        </w:sectPr>
      </w:pPr>
      <w:r>
        <w:t xml:space="preserve">. </w:t>
      </w:r>
      <w:r w:rsidR="00A97B5B">
        <w:t xml:space="preserve"> </w:t>
      </w:r>
    </w:p>
    <w:p w:rsidR="00257BEB" w:rsidRDefault="005A049A" w:rsidP="0097463A">
      <w:r w:rsidRPr="00D47A22">
        <w:rPr>
          <w:noProof/>
          <w:lang w:eastAsia="cs-CZ"/>
        </w:rPr>
        <w:lastRenderedPageBreak/>
        <w:drawing>
          <wp:inline distT="0" distB="0" distL="0" distR="0" wp14:anchorId="6BAD57B6" wp14:editId="740AD002">
            <wp:extent cx="14212793" cy="90371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07490" cy="9033750"/>
                    </a:xfrm>
                    <a:prstGeom prst="rect">
                      <a:avLst/>
                    </a:prstGeom>
                    <a:noFill/>
                    <a:ln>
                      <a:noFill/>
                    </a:ln>
                  </pic:spPr>
                </pic:pic>
              </a:graphicData>
            </a:graphic>
          </wp:inline>
        </w:drawing>
      </w:r>
    </w:p>
    <w:p w:rsidR="00257BEB" w:rsidRDefault="00257BEB" w:rsidP="00257BEB">
      <w:pPr>
        <w:sectPr w:rsidR="00257BEB" w:rsidSect="00350D5E">
          <w:pgSz w:w="23814" w:h="16839" w:orient="landscape" w:code="8"/>
          <w:pgMar w:top="720" w:right="720" w:bottom="720" w:left="720" w:header="709" w:footer="709" w:gutter="0"/>
          <w:paperSrc w:first="15" w:other="15"/>
          <w:cols w:space="708"/>
          <w:docGrid w:linePitch="360"/>
        </w:sectPr>
      </w:pPr>
    </w:p>
    <w:p w:rsidR="0089637B" w:rsidRDefault="0089637B" w:rsidP="0089637B">
      <w:pPr>
        <w:pStyle w:val="Nadpis1"/>
      </w:pPr>
      <w:bookmarkStart w:id="12" w:name="_Toc397701279"/>
      <w:bookmarkStart w:id="13" w:name="_Toc401150096"/>
      <w:bookmarkStart w:id="14" w:name="_Toc418767135"/>
      <w:r>
        <w:lastRenderedPageBreak/>
        <w:t>Metodický postup</w:t>
      </w:r>
      <w:bookmarkEnd w:id="12"/>
      <w:bookmarkEnd w:id="13"/>
      <w:bookmarkEnd w:id="14"/>
    </w:p>
    <w:p w:rsidR="00BD1C99" w:rsidRDefault="00BD1C99" w:rsidP="00BD1C99">
      <w:r w:rsidRPr="00DF1F0D">
        <w:t>V</w:t>
      </w:r>
      <w:r>
        <w:t xml:space="preserve"> </w:t>
      </w:r>
      <w:r w:rsidRPr="00DF1F0D">
        <w:t>souladu s</w:t>
      </w:r>
      <w:r>
        <w:t xml:space="preserve"> </w:t>
      </w:r>
      <w:r w:rsidRPr="00DF1F0D">
        <w:t>metodickými doporučeními evropské a národní úrovně a za využití best practice Deloitte byly realizovány kroky,</w:t>
      </w:r>
      <w:r w:rsidR="002A13D5">
        <w:t xml:space="preserve"> které vedly ke zpracování Závěrečné </w:t>
      </w:r>
      <w:r>
        <w:t xml:space="preserve">zprávy </w:t>
      </w:r>
      <w:r w:rsidR="004D6B50">
        <w:t>e</w:t>
      </w:r>
      <w:r w:rsidR="004D6B50" w:rsidRPr="004D6B50">
        <w:t xml:space="preserve">x-ante posouzení možnosti využití finančních nástrojů v </w:t>
      </w:r>
      <w:r w:rsidR="00F5709A">
        <w:t>IROP</w:t>
      </w:r>
      <w:r>
        <w:t>.</w:t>
      </w:r>
    </w:p>
    <w:p w:rsidR="00BD1C99" w:rsidRDefault="00BD1C99" w:rsidP="00BD1C99">
      <w:pPr>
        <w:pStyle w:val="Highlight3"/>
      </w:pPr>
      <w:r>
        <w:t>Analýza sekundárních dat a informačních zdrojů</w:t>
      </w:r>
    </w:p>
    <w:p w:rsidR="00BD1C99" w:rsidRPr="00EE2DA6" w:rsidRDefault="00BD1C99" w:rsidP="00BD1C99">
      <w:r w:rsidRPr="00DF1F0D">
        <w:t>Pro zabezpečení statistických da</w:t>
      </w:r>
      <w:r>
        <w:t xml:space="preserve">t a odborných informačních zdrojů byly využity především údaje získané od Zadavatele, sdílené průběžně skrze eRoom. V rámci </w:t>
      </w:r>
      <w:r w:rsidRPr="005B0B54">
        <w:t xml:space="preserve">realizace zakázky byla využita široká paleta dalších informačních zdrojů, jejich kompletní výčet lze nalézt v rámci </w:t>
      </w:r>
      <w:r w:rsidRPr="00194408">
        <w:t xml:space="preserve">kapitoly </w:t>
      </w:r>
      <w:r w:rsidR="00DA4E52" w:rsidRPr="00194408">
        <w:t>7</w:t>
      </w:r>
      <w:r w:rsidRPr="005B0B54">
        <w:t xml:space="preserve"> této zprávy</w:t>
      </w:r>
      <w:r>
        <w:t>.</w:t>
      </w:r>
    </w:p>
    <w:p w:rsidR="00BD1C99" w:rsidRDefault="00BD1C99" w:rsidP="00BD1C99">
      <w:pPr>
        <w:pStyle w:val="Highlight3"/>
      </w:pPr>
      <w:r>
        <w:t>Strukturované pohovory, fokusní skupiny a brainstorming</w:t>
      </w:r>
    </w:p>
    <w:p w:rsidR="0014724F" w:rsidRDefault="0014724F" w:rsidP="0014724F">
      <w:r>
        <w:t>Byly realizovány strukturované pohovory s vybranými gestory přípravy specifických cílů IROP, kteří poskytli velmi podstatné vstupy do analýzy potenciálu využití IFN v rámci IROP. Pro možnost ověření relevance závěrů dodavatele byly dále využity pohovory se zástupci vedení Státního fondu rozvoje bydlení, se zástupci odboru bytové politiky MMR, s odbornou veřejností, potenciálních spolufinancujících subjektů a zástupců potenciálních příjemců podpory IROP.</w:t>
      </w:r>
    </w:p>
    <w:p w:rsidR="006F044D" w:rsidRDefault="006F044D" w:rsidP="0014724F">
      <w:r>
        <w:t>Co se týče mapování zájmu potenciálních spolufinancujících subjektů, bylo realizováno jednání se zástupci České bankovní asociace, které poskytlo klíčové informace</w:t>
      </w:r>
      <w:r w:rsidR="00916F4E">
        <w:t xml:space="preserve"> (shrnutí v kapitole 4.3)</w:t>
      </w:r>
      <w:r>
        <w:t xml:space="preserve">. Jednání se účastnily zástupci hlavních </w:t>
      </w:r>
      <w:r w:rsidR="00D321A5">
        <w:t>bankovních</w:t>
      </w:r>
      <w:r>
        <w:t xml:space="preserve"> domů:</w:t>
      </w:r>
    </w:p>
    <w:tbl>
      <w:tblPr>
        <w:tblStyle w:val="GridTable4-Accent21"/>
        <w:tblpPr w:leftFromText="141" w:rightFromText="141" w:vertAnchor="text" w:tblpY="1"/>
        <w:tblOverlap w:val="never"/>
        <w:tblW w:w="9180" w:type="dxa"/>
        <w:tblLook w:val="04A0" w:firstRow="1" w:lastRow="0" w:firstColumn="1" w:lastColumn="0" w:noHBand="0" w:noVBand="1"/>
      </w:tblPr>
      <w:tblGrid>
        <w:gridCol w:w="5559"/>
        <w:gridCol w:w="3621"/>
      </w:tblGrid>
      <w:tr w:rsidR="006F044D" w:rsidTr="00974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center"/>
              <w:rPr>
                <w:rFonts w:cs="Arial"/>
                <w:szCs w:val="19"/>
              </w:rPr>
            </w:pPr>
            <w:r w:rsidRPr="00951338">
              <w:rPr>
                <w:rFonts w:cs="Arial"/>
                <w:szCs w:val="19"/>
              </w:rPr>
              <w:t>Název instituce</w:t>
            </w:r>
          </w:p>
        </w:tc>
        <w:tc>
          <w:tcPr>
            <w:tcW w:w="3621" w:type="dxa"/>
            <w:vAlign w:val="center"/>
          </w:tcPr>
          <w:p w:rsidR="006F044D" w:rsidRPr="00951338" w:rsidRDefault="006F044D" w:rsidP="0097463A">
            <w:pPr>
              <w:spacing w:after="0"/>
              <w:jc w:val="center"/>
              <w:cnfStyle w:val="100000000000" w:firstRow="1" w:lastRow="0" w:firstColumn="0" w:lastColumn="0" w:oddVBand="0" w:evenVBand="0" w:oddHBand="0" w:evenHBand="0" w:firstRowFirstColumn="0" w:firstRowLastColumn="0" w:lastRowFirstColumn="0" w:lastRowLastColumn="0"/>
              <w:rPr>
                <w:rFonts w:cs="Arial"/>
                <w:szCs w:val="19"/>
              </w:rPr>
            </w:pPr>
            <w:r w:rsidRPr="00951338">
              <w:rPr>
                <w:rFonts w:cs="Arial"/>
                <w:szCs w:val="19"/>
              </w:rPr>
              <w:t>Jméno a příjmení</w:t>
            </w:r>
          </w:p>
        </w:tc>
      </w:tr>
      <w:tr w:rsidR="006F044D" w:rsidTr="00974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left"/>
              <w:rPr>
                <w:rFonts w:cs="Arial"/>
                <w:szCs w:val="19"/>
              </w:rPr>
            </w:pPr>
            <w:r w:rsidRPr="00951338">
              <w:rPr>
                <w:rFonts w:cs="Arial"/>
                <w:szCs w:val="19"/>
              </w:rPr>
              <w:t>Českomoravská záruční a rozvojová banka</w:t>
            </w:r>
            <w:r>
              <w:rPr>
                <w:rFonts w:cs="Arial"/>
                <w:szCs w:val="19"/>
              </w:rPr>
              <w:t>, a.s.</w:t>
            </w:r>
          </w:p>
        </w:tc>
        <w:tc>
          <w:tcPr>
            <w:tcW w:w="3621" w:type="dxa"/>
            <w:vAlign w:val="center"/>
          </w:tcPr>
          <w:p w:rsidR="006F044D" w:rsidRDefault="006F044D" w:rsidP="0097463A">
            <w:pPr>
              <w:spacing w:after="0"/>
              <w:jc w:val="left"/>
              <w:cnfStyle w:val="000000100000" w:firstRow="0" w:lastRow="0" w:firstColumn="0" w:lastColumn="0" w:oddVBand="0" w:evenVBand="0" w:oddHBand="1" w:evenHBand="0" w:firstRowFirstColumn="0" w:firstRowLastColumn="0" w:lastRowFirstColumn="0" w:lastRowLastColumn="0"/>
              <w:rPr>
                <w:rFonts w:cs="Arial"/>
                <w:szCs w:val="19"/>
              </w:rPr>
            </w:pPr>
            <w:r>
              <w:rPr>
                <w:rFonts w:cs="Arial"/>
                <w:szCs w:val="19"/>
              </w:rPr>
              <w:t>Lubomír Rajdl</w:t>
            </w:r>
          </w:p>
        </w:tc>
      </w:tr>
      <w:tr w:rsidR="006F044D" w:rsidTr="0097463A">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left"/>
              <w:rPr>
                <w:rFonts w:cs="Arial"/>
                <w:szCs w:val="19"/>
              </w:rPr>
            </w:pPr>
            <w:r w:rsidRPr="00951338">
              <w:rPr>
                <w:rFonts w:cs="Arial"/>
                <w:szCs w:val="19"/>
              </w:rPr>
              <w:t>Česká spořitelna</w:t>
            </w:r>
            <w:r>
              <w:rPr>
                <w:rFonts w:cs="Arial"/>
                <w:szCs w:val="19"/>
              </w:rPr>
              <w:t xml:space="preserve"> a.s.</w:t>
            </w:r>
          </w:p>
        </w:tc>
        <w:tc>
          <w:tcPr>
            <w:tcW w:w="3621" w:type="dxa"/>
            <w:vAlign w:val="center"/>
          </w:tcPr>
          <w:p w:rsidR="006F044D" w:rsidRDefault="006F044D" w:rsidP="0097463A">
            <w:pPr>
              <w:spacing w:after="0"/>
              <w:jc w:val="left"/>
              <w:cnfStyle w:val="000000000000" w:firstRow="0" w:lastRow="0" w:firstColumn="0" w:lastColumn="0" w:oddVBand="0" w:evenVBand="0" w:oddHBand="0" w:evenHBand="0" w:firstRowFirstColumn="0" w:firstRowLastColumn="0" w:lastRowFirstColumn="0" w:lastRowLastColumn="0"/>
              <w:rPr>
                <w:rFonts w:cs="Arial"/>
                <w:szCs w:val="19"/>
              </w:rPr>
            </w:pPr>
            <w:r>
              <w:rPr>
                <w:rFonts w:cs="Arial"/>
                <w:szCs w:val="19"/>
              </w:rPr>
              <w:t>Ladislav Dvořák</w:t>
            </w:r>
          </w:p>
        </w:tc>
      </w:tr>
      <w:tr w:rsidR="006F044D" w:rsidTr="00974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left"/>
              <w:rPr>
                <w:rFonts w:cs="Arial"/>
                <w:szCs w:val="19"/>
              </w:rPr>
            </w:pPr>
            <w:r w:rsidRPr="00951338">
              <w:rPr>
                <w:rFonts w:cs="Arial"/>
                <w:szCs w:val="19"/>
              </w:rPr>
              <w:t>Komerční banka</w:t>
            </w:r>
            <w:r>
              <w:rPr>
                <w:rFonts w:cs="Arial"/>
                <w:szCs w:val="19"/>
              </w:rPr>
              <w:t xml:space="preserve"> a.s.</w:t>
            </w:r>
          </w:p>
        </w:tc>
        <w:tc>
          <w:tcPr>
            <w:tcW w:w="3621" w:type="dxa"/>
            <w:vAlign w:val="center"/>
          </w:tcPr>
          <w:p w:rsidR="006F044D" w:rsidRDefault="006F044D" w:rsidP="0097463A">
            <w:pPr>
              <w:spacing w:after="0"/>
              <w:jc w:val="left"/>
              <w:cnfStyle w:val="000000100000" w:firstRow="0" w:lastRow="0" w:firstColumn="0" w:lastColumn="0" w:oddVBand="0" w:evenVBand="0" w:oddHBand="1" w:evenHBand="0" w:firstRowFirstColumn="0" w:firstRowLastColumn="0" w:lastRowFirstColumn="0" w:lastRowLastColumn="0"/>
              <w:rPr>
                <w:rFonts w:cs="Arial"/>
                <w:szCs w:val="19"/>
              </w:rPr>
            </w:pPr>
            <w:r w:rsidRPr="00D44504">
              <w:rPr>
                <w:rFonts w:cs="Arial"/>
                <w:szCs w:val="19"/>
              </w:rPr>
              <w:t>Jan Hanuš</w:t>
            </w:r>
          </w:p>
        </w:tc>
      </w:tr>
      <w:tr w:rsidR="006F044D" w:rsidTr="0097463A">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left"/>
              <w:rPr>
                <w:rFonts w:cs="Arial"/>
                <w:szCs w:val="19"/>
              </w:rPr>
            </w:pPr>
            <w:r w:rsidRPr="00951338">
              <w:rPr>
                <w:rFonts w:cs="Arial"/>
                <w:szCs w:val="19"/>
              </w:rPr>
              <w:t>UniCredit Bank</w:t>
            </w:r>
            <w:r>
              <w:rPr>
                <w:rFonts w:cs="Arial"/>
                <w:szCs w:val="19"/>
              </w:rPr>
              <w:t xml:space="preserve"> a.s.</w:t>
            </w:r>
          </w:p>
        </w:tc>
        <w:tc>
          <w:tcPr>
            <w:tcW w:w="3621" w:type="dxa"/>
            <w:vAlign w:val="center"/>
          </w:tcPr>
          <w:p w:rsidR="006F044D" w:rsidRPr="00D44504" w:rsidRDefault="00A825E5" w:rsidP="0097463A">
            <w:pPr>
              <w:spacing w:after="0"/>
              <w:jc w:val="left"/>
              <w:cnfStyle w:val="000000000000" w:firstRow="0" w:lastRow="0" w:firstColumn="0" w:lastColumn="0" w:oddVBand="0" w:evenVBand="0" w:oddHBand="0" w:evenHBand="0" w:firstRowFirstColumn="0" w:firstRowLastColumn="0" w:lastRowFirstColumn="0" w:lastRowLastColumn="0"/>
              <w:rPr>
                <w:rFonts w:cs="Arial"/>
                <w:szCs w:val="19"/>
              </w:rPr>
            </w:pPr>
            <w:r>
              <w:rPr>
                <w:rFonts w:cs="Arial"/>
                <w:szCs w:val="19"/>
              </w:rPr>
              <w:t>Zdeněk Ja</w:t>
            </w:r>
            <w:r w:rsidR="006F044D" w:rsidRPr="00D44504">
              <w:rPr>
                <w:rFonts w:cs="Arial"/>
                <w:szCs w:val="19"/>
              </w:rPr>
              <w:t>na</w:t>
            </w:r>
            <w:r w:rsidR="006F044D">
              <w:rPr>
                <w:rFonts w:cs="Arial"/>
                <w:szCs w:val="19"/>
              </w:rPr>
              <w:t>, Jitka Rakušanová</w:t>
            </w:r>
          </w:p>
        </w:tc>
      </w:tr>
      <w:tr w:rsidR="006F044D" w:rsidTr="00974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left"/>
              <w:rPr>
                <w:rFonts w:cs="Arial"/>
                <w:szCs w:val="19"/>
              </w:rPr>
            </w:pPr>
            <w:r>
              <w:rPr>
                <w:rFonts w:cs="Arial"/>
                <w:szCs w:val="19"/>
              </w:rPr>
              <w:t>ERSTE Grantika Advisory, a.s.</w:t>
            </w:r>
          </w:p>
        </w:tc>
        <w:tc>
          <w:tcPr>
            <w:tcW w:w="3621" w:type="dxa"/>
            <w:vAlign w:val="center"/>
          </w:tcPr>
          <w:p w:rsidR="006F044D" w:rsidRDefault="006F044D" w:rsidP="0097463A">
            <w:pPr>
              <w:spacing w:after="0"/>
              <w:jc w:val="left"/>
              <w:cnfStyle w:val="000000100000" w:firstRow="0" w:lastRow="0" w:firstColumn="0" w:lastColumn="0" w:oddVBand="0" w:evenVBand="0" w:oddHBand="1" w:evenHBand="0" w:firstRowFirstColumn="0" w:firstRowLastColumn="0" w:lastRowFirstColumn="0" w:lastRowLastColumn="0"/>
              <w:rPr>
                <w:rFonts w:cs="Arial"/>
                <w:szCs w:val="19"/>
              </w:rPr>
            </w:pPr>
            <w:r>
              <w:rPr>
                <w:rFonts w:cs="Arial"/>
                <w:szCs w:val="19"/>
              </w:rPr>
              <w:t>Petr Skalický</w:t>
            </w:r>
          </w:p>
        </w:tc>
      </w:tr>
      <w:tr w:rsidR="006F044D" w:rsidTr="0097463A">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left"/>
              <w:rPr>
                <w:rFonts w:cs="Arial"/>
                <w:szCs w:val="19"/>
              </w:rPr>
            </w:pPr>
            <w:r>
              <w:rPr>
                <w:rFonts w:cs="Arial"/>
                <w:szCs w:val="19"/>
              </w:rPr>
              <w:t>Československá obchodní banka, a.s.</w:t>
            </w:r>
          </w:p>
        </w:tc>
        <w:tc>
          <w:tcPr>
            <w:tcW w:w="3621" w:type="dxa"/>
            <w:vAlign w:val="center"/>
          </w:tcPr>
          <w:p w:rsidR="006F044D" w:rsidRDefault="006F044D" w:rsidP="0097463A">
            <w:pPr>
              <w:spacing w:after="0"/>
              <w:jc w:val="left"/>
              <w:cnfStyle w:val="000000000000" w:firstRow="0" w:lastRow="0" w:firstColumn="0" w:lastColumn="0" w:oddVBand="0" w:evenVBand="0" w:oddHBand="0" w:evenHBand="0" w:firstRowFirstColumn="0" w:firstRowLastColumn="0" w:lastRowFirstColumn="0" w:lastRowLastColumn="0"/>
              <w:rPr>
                <w:rFonts w:cs="Arial"/>
                <w:szCs w:val="19"/>
              </w:rPr>
            </w:pPr>
            <w:r>
              <w:rPr>
                <w:rFonts w:cs="Arial"/>
                <w:szCs w:val="19"/>
              </w:rPr>
              <w:t>David Pospíšil</w:t>
            </w:r>
          </w:p>
        </w:tc>
      </w:tr>
      <w:tr w:rsidR="006F044D" w:rsidTr="00974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left"/>
              <w:rPr>
                <w:rFonts w:cs="Arial"/>
                <w:szCs w:val="19"/>
              </w:rPr>
            </w:pPr>
            <w:r>
              <w:rPr>
                <w:rFonts w:cs="Arial"/>
                <w:szCs w:val="19"/>
              </w:rPr>
              <w:t>Česká bankovní asociace</w:t>
            </w:r>
          </w:p>
        </w:tc>
        <w:tc>
          <w:tcPr>
            <w:tcW w:w="3621" w:type="dxa"/>
            <w:vAlign w:val="center"/>
          </w:tcPr>
          <w:p w:rsidR="006F044D" w:rsidRDefault="006F044D" w:rsidP="0097463A">
            <w:pPr>
              <w:spacing w:after="0"/>
              <w:jc w:val="left"/>
              <w:cnfStyle w:val="000000100000" w:firstRow="0" w:lastRow="0" w:firstColumn="0" w:lastColumn="0" w:oddVBand="0" w:evenVBand="0" w:oddHBand="1" w:evenHBand="0" w:firstRowFirstColumn="0" w:firstRowLastColumn="0" w:lastRowFirstColumn="0" w:lastRowLastColumn="0"/>
              <w:rPr>
                <w:rFonts w:cs="Arial"/>
                <w:szCs w:val="19"/>
              </w:rPr>
            </w:pPr>
            <w:r>
              <w:rPr>
                <w:rFonts w:cs="Arial"/>
                <w:szCs w:val="19"/>
              </w:rPr>
              <w:t>Helena Zavázalová</w:t>
            </w:r>
          </w:p>
        </w:tc>
      </w:tr>
    </w:tbl>
    <w:p w:rsidR="006F044D" w:rsidRDefault="006F044D" w:rsidP="0097463A">
      <w:pPr>
        <w:spacing w:after="0"/>
      </w:pPr>
    </w:p>
    <w:p w:rsidR="0014724F" w:rsidRDefault="0014724F" w:rsidP="0014724F">
      <w:r>
        <w:t>Kromě přímé osobní konzultace využil dodavatel dalších konzultací na dálku se zástupci dalších řídících orgánů, jejichž programy tematicky souvisí s IROP a v neposlední řadě konzultací s kolegy ze zahraničních kanceláří Deloitte, věnující se sledované problematice.</w:t>
      </w:r>
    </w:p>
    <w:p w:rsidR="00BD1C99" w:rsidRDefault="00BD1C99" w:rsidP="00BD1C99">
      <w:pPr>
        <w:pStyle w:val="Highlight3"/>
      </w:pPr>
      <w:r>
        <w:t>Dotazníkové šetření</w:t>
      </w:r>
    </w:p>
    <w:p w:rsidR="0014724F" w:rsidRDefault="0014724F" w:rsidP="0014724F">
      <w:r>
        <w:t xml:space="preserve">Po dohodě se zástupci vedení projektu </w:t>
      </w:r>
      <w:r w:rsidR="00315C0D">
        <w:t xml:space="preserve">bylo realizováno dotazníkové šetření, zaměřené na zhodnocení dosavadních výsledků investičních aktivit ve sledované oblasti, na vyčíslení potenciální poptávky po veřejné podpoře IROP a posouzení zájmu o navrhovaný úvěrový finanční nástroj. </w:t>
      </w:r>
      <w:r w:rsidR="00620F41">
        <w:t xml:space="preserve">Na zabezpečení realizace dotazníkového šetření dodavatel spolupracoval se </w:t>
      </w:r>
      <w:r w:rsidR="00620F41" w:rsidRPr="00620F41">
        <w:t xml:space="preserve">Svazem českých </w:t>
      </w:r>
      <w:r w:rsidR="00620F41">
        <w:t xml:space="preserve">a moravských bytových družstev, </w:t>
      </w:r>
      <w:r w:rsidR="00620F41" w:rsidRPr="00620F41">
        <w:t>Sdružením bytových družs</w:t>
      </w:r>
      <w:r w:rsidR="00620F41">
        <w:t>tev a společenství vlastníků ČR a se zástupci</w:t>
      </w:r>
      <w:r w:rsidR="00620F41" w:rsidRPr="00620F41">
        <w:t xml:space="preserve"> Státního fondu rozvoje bydlení.</w:t>
      </w:r>
    </w:p>
    <w:p w:rsidR="00BD1C99" w:rsidRPr="005826DF" w:rsidRDefault="00BD1C99" w:rsidP="00BD1C99">
      <w:pPr>
        <w:pStyle w:val="Highlight3"/>
      </w:pPr>
      <w:r w:rsidRPr="005826DF">
        <w:t>Posouzení ekonomického dopadu</w:t>
      </w:r>
    </w:p>
    <w:p w:rsidR="008848F7" w:rsidRDefault="008848F7" w:rsidP="008848F7">
      <w:r w:rsidRPr="006A28C1">
        <w:t xml:space="preserve">Projektový tým dodavatele využil standardních metodik modelování ekonomického dopadu zapojení </w:t>
      </w:r>
      <w:r>
        <w:t>IFN</w:t>
      </w:r>
      <w:r w:rsidRPr="006A28C1">
        <w:t xml:space="preserve"> v rámci </w:t>
      </w:r>
      <w:r>
        <w:t>IROP</w:t>
      </w:r>
      <w:r w:rsidRPr="006A28C1">
        <w:t xml:space="preserve"> během hodnocení potenciálu přidané hodnoty</w:t>
      </w:r>
      <w:r>
        <w:t xml:space="preserve"> a pákového efektu</w:t>
      </w:r>
      <w:r w:rsidRPr="006A28C1">
        <w:t xml:space="preserve"> </w:t>
      </w:r>
      <w:r w:rsidR="004669B9">
        <w:t>navrhovaného nástroje</w:t>
      </w:r>
      <w:r w:rsidRPr="006A28C1">
        <w:t>. Pro tyto účely byly využity nejlepší dostupné techniky a nástroje, v</w:t>
      </w:r>
      <w:r>
        <w:t xml:space="preserve"> </w:t>
      </w:r>
      <w:r w:rsidRPr="006A28C1">
        <w:t>souladu s</w:t>
      </w:r>
      <w:r>
        <w:t> </w:t>
      </w:r>
      <w:r w:rsidRPr="006A28C1">
        <w:t>metodi</w:t>
      </w:r>
      <w:r>
        <w:t>ckým doporučením</w:t>
      </w:r>
      <w:r w:rsidRPr="006A28C1">
        <w:t xml:space="preserve"> pro IFN v</w:t>
      </w:r>
      <w:r>
        <w:t xml:space="preserve"> </w:t>
      </w:r>
      <w:r w:rsidRPr="006A28C1">
        <w:t xml:space="preserve">programovém období 2014-2020, </w:t>
      </w:r>
      <w:r>
        <w:t>dle MMR-NOK</w:t>
      </w:r>
      <w:r w:rsidRPr="006A28C1">
        <w:t>.</w:t>
      </w:r>
      <w:r>
        <w:t xml:space="preserve"> Přílohou zprávy je model, který byl pro tyto účely využit.</w:t>
      </w:r>
    </w:p>
    <w:p w:rsidR="00BD1C99" w:rsidRDefault="00FD08D5" w:rsidP="00BD1C99">
      <w:r>
        <w:t xml:space="preserve">Dodavatel dále využil ekonomického modelování pro srovnání různých forem financování </w:t>
      </w:r>
      <w:r w:rsidR="008848F7">
        <w:t>typického projektu</w:t>
      </w:r>
      <w:r>
        <w:t xml:space="preserve"> – jednalo o srovnání</w:t>
      </w:r>
      <w:r w:rsidR="0054261F">
        <w:t xml:space="preserve"> investice čistě z vlastních zdrojů žadatele, </w:t>
      </w:r>
      <w:r>
        <w:t xml:space="preserve">dopadů přiznání </w:t>
      </w:r>
      <w:r w:rsidR="0054261F">
        <w:t>40% dotace a výsledků poskytnutí 100% zvýhodněného úvěru</w:t>
      </w:r>
      <w:r w:rsidR="004669B9">
        <w:t xml:space="preserve">. </w:t>
      </w:r>
    </w:p>
    <w:p w:rsidR="0061789F" w:rsidRDefault="0061789F" w:rsidP="00BD1C99">
      <w:r>
        <w:t>V neposlední řadě dodavatel provedl modelování ekonomického dopadu, co se týče poskytnutí veřejné podpory, vyjádřené tzv. hrubým grantovým ekvivalentem, který je klíčový pro možnost posouzení, zda bylo vyhověno maximálním limitům intenzity podpory vybraného režimu pravidel veřejné podpory. Přílohou zprávy je model, který byl pro tyto účely využit.</w:t>
      </w:r>
    </w:p>
    <w:p w:rsidR="00C23D05" w:rsidRDefault="00C23D05" w:rsidP="00BD1C99"/>
    <w:p w:rsidR="00BD1C99" w:rsidRPr="005826DF" w:rsidRDefault="00BD1C99" w:rsidP="00BD1C99">
      <w:pPr>
        <w:pStyle w:val="Highlight3"/>
      </w:pPr>
      <w:r w:rsidRPr="005826DF">
        <w:t>Srovnávací metody (Benchmarking)</w:t>
      </w:r>
    </w:p>
    <w:p w:rsidR="0077225E" w:rsidRDefault="00BD1C99" w:rsidP="0089637B">
      <w:r w:rsidRPr="006A28C1">
        <w:t>Bylo využito srovná</w:t>
      </w:r>
      <w:r>
        <w:t xml:space="preserve">ní zahraniční dobré praxe, </w:t>
      </w:r>
      <w:r w:rsidRPr="006A28C1">
        <w:t xml:space="preserve">na základě </w:t>
      </w:r>
      <w:r>
        <w:t xml:space="preserve">získaných poznatků </w:t>
      </w:r>
      <w:r w:rsidRPr="006A28C1">
        <w:t>byly dle potřeby prováděny úpr</w:t>
      </w:r>
      <w:r w:rsidR="00FD08D5">
        <w:t xml:space="preserve">avy do návrhu IFN pro </w:t>
      </w:r>
      <w:r w:rsidR="00F5709A">
        <w:t>IROP</w:t>
      </w:r>
      <w:r w:rsidRPr="004C6105">
        <w:t xml:space="preserve">. </w:t>
      </w:r>
      <w:r w:rsidR="00FD08D5">
        <w:t>D</w:t>
      </w:r>
      <w:r w:rsidRPr="004C6105">
        <w:t xml:space="preserve">odavatel úzce spolupracoval s kanceláří Deloitte </w:t>
      </w:r>
      <w:r w:rsidR="0027360E">
        <w:t>Belgie</w:t>
      </w:r>
      <w:r w:rsidRPr="004C6105">
        <w:t>,</w:t>
      </w:r>
      <w:r w:rsidR="0027360E">
        <w:t xml:space="preserve"> </w:t>
      </w:r>
      <w:r w:rsidR="00225BF8">
        <w:t>Lucembursko</w:t>
      </w:r>
      <w:r w:rsidR="0027360E">
        <w:t xml:space="preserve"> a Velké Británie, které zabezpečily </w:t>
      </w:r>
      <w:r w:rsidRPr="004C6105">
        <w:t xml:space="preserve">sdílení podstatných novinek a dobré praxe v rámci (vzniku) </w:t>
      </w:r>
      <w:r w:rsidR="00FD08D5">
        <w:t xml:space="preserve">opatření a nařízení přímo na EK, </w:t>
      </w:r>
      <w:r w:rsidR="0027360E">
        <w:t xml:space="preserve">resp. zkušenosti s vytvářením finančních nástrojů v minulosti v daných státech. Dále pak bylo těchto kolegů využito </w:t>
      </w:r>
      <w:r w:rsidR="00FD08D5">
        <w:t>pro doplňující konzultace metodických nejasností a otevřených otázek, které se při návrhové fázi realizace Projektu pravidelně objevovaly.</w:t>
      </w:r>
    </w:p>
    <w:p w:rsidR="00DA4E52" w:rsidRPr="00CB5ED7" w:rsidRDefault="00DA4E52" w:rsidP="00DA4E52">
      <w:pPr>
        <w:pStyle w:val="Nadpis1"/>
        <w:ind w:left="567" w:hanging="567"/>
      </w:pPr>
      <w:bookmarkStart w:id="15" w:name="_Toc386460029"/>
      <w:bookmarkStart w:id="16" w:name="_Toc397701280"/>
      <w:bookmarkStart w:id="17" w:name="_Toc401150097"/>
      <w:bookmarkStart w:id="18" w:name="_Toc409797478"/>
      <w:bookmarkStart w:id="19" w:name="_Toc418767136"/>
      <w:bookmarkEnd w:id="1"/>
      <w:r w:rsidRPr="00CB5ED7">
        <w:lastRenderedPageBreak/>
        <w:t>Možnosti využití IFN</w:t>
      </w:r>
      <w:bookmarkEnd w:id="15"/>
      <w:bookmarkEnd w:id="16"/>
      <w:bookmarkEnd w:id="17"/>
      <w:bookmarkEnd w:id="18"/>
      <w:bookmarkEnd w:id="19"/>
    </w:p>
    <w:p w:rsidR="00DA4E52" w:rsidRPr="00CB5ED7" w:rsidRDefault="00DA4E52" w:rsidP="00DA4E52">
      <w:pPr>
        <w:pStyle w:val="Nadpis2"/>
      </w:pPr>
      <w:bookmarkStart w:id="20" w:name="_Toc386460031"/>
      <w:bookmarkStart w:id="21" w:name="_Toc397701282"/>
      <w:bookmarkStart w:id="22" w:name="_Toc400570370"/>
      <w:bookmarkStart w:id="23" w:name="_Toc401150099"/>
      <w:bookmarkStart w:id="24" w:name="_Toc409797479"/>
      <w:bookmarkStart w:id="25" w:name="_Toc418767137"/>
      <w:r>
        <w:t>Inovativní f</w:t>
      </w:r>
      <w:r w:rsidRPr="00CB5ED7">
        <w:t>inanční nástroje</w:t>
      </w:r>
      <w:bookmarkEnd w:id="20"/>
      <w:bookmarkEnd w:id="21"/>
      <w:bookmarkEnd w:id="22"/>
      <w:bookmarkEnd w:id="23"/>
      <w:bookmarkEnd w:id="24"/>
      <w:bookmarkEnd w:id="25"/>
    </w:p>
    <w:p w:rsidR="00DA4E52" w:rsidRPr="00CB5ED7" w:rsidRDefault="00DA4E52" w:rsidP="00DA4E52">
      <w:pPr>
        <w:rPr>
          <w:szCs w:val="16"/>
        </w:rPr>
      </w:pPr>
      <w:r w:rsidRPr="00CB5ED7">
        <w:rPr>
          <w:b/>
          <w:szCs w:val="16"/>
        </w:rPr>
        <w:t xml:space="preserve">Pod pojmem </w:t>
      </w:r>
      <w:r>
        <w:rPr>
          <w:b/>
          <w:szCs w:val="16"/>
        </w:rPr>
        <w:t>inovativní finanční nástroje (dále také „IFN“)</w:t>
      </w:r>
      <w:r w:rsidRPr="00CB5ED7">
        <w:rPr>
          <w:b/>
          <w:szCs w:val="16"/>
        </w:rPr>
        <w:t xml:space="preserve"> se rozumí různé formy kapitálových</w:t>
      </w:r>
      <w:r>
        <w:rPr>
          <w:b/>
          <w:szCs w:val="16"/>
        </w:rPr>
        <w:t>, garančních</w:t>
      </w:r>
      <w:r w:rsidRPr="00CB5ED7">
        <w:rPr>
          <w:b/>
          <w:szCs w:val="16"/>
        </w:rPr>
        <w:t xml:space="preserve"> a dluhových nástrojů. Jedna z</w:t>
      </w:r>
      <w:r>
        <w:rPr>
          <w:b/>
          <w:szCs w:val="16"/>
        </w:rPr>
        <w:t xml:space="preserve"> </w:t>
      </w:r>
      <w:r w:rsidRPr="00CB5ED7">
        <w:rPr>
          <w:b/>
          <w:szCs w:val="16"/>
        </w:rPr>
        <w:t xml:space="preserve">hlavních výhod </w:t>
      </w:r>
      <w:r>
        <w:rPr>
          <w:b/>
          <w:szCs w:val="16"/>
        </w:rPr>
        <w:t>IFN</w:t>
      </w:r>
      <w:r w:rsidRPr="00CB5ED7">
        <w:rPr>
          <w:b/>
          <w:szCs w:val="16"/>
        </w:rPr>
        <w:t xml:space="preserve"> ve srovnání s</w:t>
      </w:r>
      <w:r>
        <w:rPr>
          <w:b/>
          <w:szCs w:val="16"/>
        </w:rPr>
        <w:t xml:space="preserve"> </w:t>
      </w:r>
      <w:r w:rsidRPr="00CB5ED7">
        <w:rPr>
          <w:b/>
          <w:szCs w:val="16"/>
        </w:rPr>
        <w:t>grantovým financováním</w:t>
      </w:r>
      <w:r w:rsidRPr="00CB5ED7">
        <w:rPr>
          <w:szCs w:val="16"/>
        </w:rPr>
        <w:t xml:space="preserve"> spočívá v </w:t>
      </w:r>
      <w:r w:rsidRPr="00CB5ED7">
        <w:rPr>
          <w:b/>
          <w:szCs w:val="16"/>
        </w:rPr>
        <w:t>návratnosti finančních prostředků</w:t>
      </w:r>
      <w:r w:rsidRPr="00CB5ED7">
        <w:rPr>
          <w:szCs w:val="16"/>
        </w:rPr>
        <w:t xml:space="preserve">. Díky uvažované konstrukci </w:t>
      </w:r>
      <w:r w:rsidRPr="00CB5ED7">
        <w:rPr>
          <w:b/>
          <w:szCs w:val="16"/>
        </w:rPr>
        <w:t>umožňující navrácení použitých prostředků</w:t>
      </w:r>
      <w:r w:rsidRPr="00CB5ED7">
        <w:rPr>
          <w:szCs w:val="16"/>
        </w:rPr>
        <w:t xml:space="preserve"> ve formě splátek jistin a úroků z poskytnutých úvěrů, dividendových a úrokových výnosů z</w:t>
      </w:r>
      <w:r>
        <w:rPr>
          <w:szCs w:val="16"/>
        </w:rPr>
        <w:t xml:space="preserve"> </w:t>
      </w:r>
      <w:r w:rsidRPr="00CB5ED7">
        <w:rPr>
          <w:szCs w:val="16"/>
        </w:rPr>
        <w:t>investic do vlastního a</w:t>
      </w:r>
      <w:r>
        <w:rPr>
          <w:szCs w:val="16"/>
        </w:rPr>
        <w:t xml:space="preserve"> </w:t>
      </w:r>
      <w:r w:rsidRPr="00D85013">
        <w:rPr>
          <w:szCs w:val="16"/>
        </w:rPr>
        <w:t>kvazivlastního kapitálu, jako i v</w:t>
      </w:r>
      <w:r>
        <w:rPr>
          <w:szCs w:val="16"/>
        </w:rPr>
        <w:t xml:space="preserve"> </w:t>
      </w:r>
      <w:r w:rsidRPr="00D85013">
        <w:rPr>
          <w:szCs w:val="16"/>
        </w:rPr>
        <w:t>podobě splátek jistin podřízeného dluhu a příjmů z</w:t>
      </w:r>
      <w:r>
        <w:rPr>
          <w:szCs w:val="16"/>
        </w:rPr>
        <w:t xml:space="preserve"> </w:t>
      </w:r>
      <w:r w:rsidRPr="00D85013">
        <w:rPr>
          <w:szCs w:val="16"/>
        </w:rPr>
        <w:t>odprodeje části</w:t>
      </w:r>
      <w:r w:rsidRPr="00CB5ED7">
        <w:rPr>
          <w:szCs w:val="16"/>
        </w:rPr>
        <w:t xml:space="preserve"> nebo celého podílu na projektu. Již jednou využité prostředky mohou být opětovně využity ve stejném </w:t>
      </w:r>
      <w:r>
        <w:rPr>
          <w:szCs w:val="16"/>
        </w:rPr>
        <w:t>či</w:t>
      </w:r>
      <w:r w:rsidRPr="00CB5ED7">
        <w:rPr>
          <w:szCs w:val="16"/>
        </w:rPr>
        <w:t xml:space="preserve"> rozdílném </w:t>
      </w:r>
      <w:r>
        <w:rPr>
          <w:szCs w:val="16"/>
        </w:rPr>
        <w:t>IFN.</w:t>
      </w:r>
    </w:p>
    <w:p w:rsidR="00DA4E52" w:rsidRPr="00CB5ED7" w:rsidRDefault="00DA4E52" w:rsidP="00DA4E52">
      <w:r>
        <w:rPr>
          <w:b/>
        </w:rPr>
        <w:t>IFN</w:t>
      </w:r>
      <w:r w:rsidRPr="00D85013">
        <w:rPr>
          <w:b/>
        </w:rPr>
        <w:t xml:space="preserve"> jsou vhodnější formou podpory těch projekt</w:t>
      </w:r>
      <w:r w:rsidRPr="00CB5ED7">
        <w:rPr>
          <w:b/>
        </w:rPr>
        <w:t>ů a oblastí</w:t>
      </w:r>
      <w:r w:rsidRPr="00CB5ED7">
        <w:t xml:space="preserve">, v nichž je </w:t>
      </w:r>
      <w:r w:rsidRPr="00CB5ED7">
        <w:rPr>
          <w:b/>
        </w:rPr>
        <w:t>dosažena alespoň nějaká finanční návratnost</w:t>
      </w:r>
      <w:r w:rsidRPr="00CB5ED7">
        <w:t xml:space="preserve">, resp. úspora. Samotné </w:t>
      </w:r>
      <w:r>
        <w:t>granty</w:t>
      </w:r>
      <w:r w:rsidRPr="00CB5ED7">
        <w:t xml:space="preserve"> deformují trh a to tím způsobem, že vybraným subjektům poskytnou nejenom komparativní, nýbrž absolutní výhodu ve srovnání s</w:t>
      </w:r>
      <w:r>
        <w:t xml:space="preserve"> </w:t>
      </w:r>
      <w:r w:rsidRPr="00CB5ED7">
        <w:t xml:space="preserve">konkurencí. Poskytnutím </w:t>
      </w:r>
      <w:r>
        <w:t>grantu</w:t>
      </w:r>
      <w:r w:rsidRPr="00CB5ED7">
        <w:t xml:space="preserve"> dochází k</w:t>
      </w:r>
      <w:r>
        <w:t xml:space="preserve"> </w:t>
      </w:r>
      <w:r w:rsidRPr="00CB5ED7">
        <w:t>faktickému dotování zisku (resp. přebytku finančních prostředků) jednotlivých subjektů, což nemotivuje tyto subjekty k</w:t>
      </w:r>
      <w:r>
        <w:t xml:space="preserve"> </w:t>
      </w:r>
      <w:r w:rsidRPr="00CB5ED7">
        <w:t xml:space="preserve">efektivnímu a hospodárnému vynakládání prostředků. Návratnost </w:t>
      </w:r>
      <w:r>
        <w:t>IFN</w:t>
      </w:r>
      <w:r w:rsidRPr="00CB5ED7">
        <w:t xml:space="preserve"> by měla tuto deformaci snižovat, motivovat subjekty k</w:t>
      </w:r>
      <w:r>
        <w:t xml:space="preserve"> </w:t>
      </w:r>
      <w:r w:rsidRPr="00CB5ED7">
        <w:t xml:space="preserve">tržnímu chování a tím zvyšovat konkurenceschopnost. </w:t>
      </w:r>
    </w:p>
    <w:p w:rsidR="00DA4E52" w:rsidRPr="00CB5ED7" w:rsidRDefault="00DA4E52" w:rsidP="00DA4E52">
      <w:pPr>
        <w:pStyle w:val="Highlight3"/>
      </w:pPr>
      <w:r w:rsidRPr="00CB5ED7">
        <w:t xml:space="preserve">Využití </w:t>
      </w:r>
      <w:r>
        <w:t>IFN</w:t>
      </w:r>
      <w:r w:rsidRPr="00CB5ED7">
        <w:t xml:space="preserve"> v</w:t>
      </w:r>
      <w:r>
        <w:t xml:space="preserve"> </w:t>
      </w:r>
      <w:r w:rsidRPr="00CB5ED7">
        <w:t>rámci ČR</w:t>
      </w:r>
    </w:p>
    <w:p w:rsidR="00DA4E52" w:rsidRDefault="00DA4E52" w:rsidP="00DA4E52">
      <w:r>
        <w:t xml:space="preserve">V </w:t>
      </w:r>
      <w:r w:rsidRPr="00CB5ED7">
        <w:t xml:space="preserve">rámci programového období </w:t>
      </w:r>
      <w:r>
        <w:t>2007-2013 byla nejčastějším příkladem využití finančních nástrojů implementace programu JESSICA - společné</w:t>
      </w:r>
      <w:r w:rsidRPr="00CD06E0">
        <w:t xml:space="preserve"> evropsk</w:t>
      </w:r>
      <w:r>
        <w:t>é</w:t>
      </w:r>
      <w:r w:rsidRPr="00CD06E0">
        <w:t xml:space="preserve"> podpor</w:t>
      </w:r>
      <w:r>
        <w:t>y</w:t>
      </w:r>
      <w:r w:rsidRPr="00CD06E0">
        <w:t xml:space="preserve"> udržitelných investic do městských oblastí</w:t>
      </w:r>
      <w:r>
        <w:t>. Vybrané řídící orgány převedly část prostředků operačního programu na zřízené fondy městského rozvoje, které investují</w:t>
      </w:r>
      <w:r w:rsidRPr="00CD06E0">
        <w:t xml:space="preserve"> do partnerství veřejného a soukromého sektoru nebo jiných projektů obsažených v integrovaném plánu udržitelného městského rozvoje</w:t>
      </w:r>
      <w:r>
        <w:t xml:space="preserve"> (dále také IPRM). Využití tohoto nástroje v českých podmínkách znamenalo poskytování zvýhodněných úvěrů způsobilým projektům, a to ve dvou konkrétních případech:</w:t>
      </w:r>
    </w:p>
    <w:p w:rsidR="00DA4E52" w:rsidRPr="00CD06E0" w:rsidRDefault="00DA4E52" w:rsidP="002D2639">
      <w:pPr>
        <w:pStyle w:val="Odstavecseseznamem"/>
        <w:numPr>
          <w:ilvl w:val="0"/>
          <w:numId w:val="41"/>
        </w:numPr>
        <w:contextualSpacing w:val="0"/>
        <w:rPr>
          <w:szCs w:val="16"/>
        </w:rPr>
      </w:pPr>
      <w:r>
        <w:rPr>
          <w:szCs w:val="16"/>
        </w:rPr>
        <w:t xml:space="preserve">V rámci </w:t>
      </w:r>
      <w:r w:rsidRPr="00A757FE">
        <w:rPr>
          <w:b/>
          <w:szCs w:val="16"/>
        </w:rPr>
        <w:t>Integrovaného operačního programu</w:t>
      </w:r>
      <w:r>
        <w:rPr>
          <w:szCs w:val="16"/>
        </w:rPr>
        <w:t xml:space="preserve"> došlo k vyčlenění části alokace určené na podporu bytové politiky a regenerace deprivovaných zón na </w:t>
      </w:r>
      <w:r w:rsidRPr="00A757FE">
        <w:rPr>
          <w:b/>
          <w:szCs w:val="16"/>
        </w:rPr>
        <w:t>holdingový fond</w:t>
      </w:r>
      <w:r>
        <w:rPr>
          <w:b/>
          <w:szCs w:val="16"/>
        </w:rPr>
        <w:t xml:space="preserve"> (myšleno FN Jessica)</w:t>
      </w:r>
      <w:r w:rsidRPr="00A757FE">
        <w:rPr>
          <w:b/>
          <w:szCs w:val="16"/>
        </w:rPr>
        <w:t xml:space="preserve"> </w:t>
      </w:r>
      <w:r>
        <w:rPr>
          <w:b/>
          <w:szCs w:val="16"/>
        </w:rPr>
        <w:t>z</w:t>
      </w:r>
      <w:r w:rsidRPr="00A757FE">
        <w:rPr>
          <w:b/>
          <w:szCs w:val="16"/>
        </w:rPr>
        <w:t>řízený</w:t>
      </w:r>
      <w:r>
        <w:rPr>
          <w:b/>
          <w:szCs w:val="16"/>
        </w:rPr>
        <w:t>m</w:t>
      </w:r>
      <w:r w:rsidRPr="00A757FE">
        <w:rPr>
          <w:b/>
          <w:szCs w:val="16"/>
        </w:rPr>
        <w:t xml:space="preserve"> Státním fondem rozvoje bydlení</w:t>
      </w:r>
      <w:r>
        <w:rPr>
          <w:b/>
          <w:szCs w:val="16"/>
        </w:rPr>
        <w:t xml:space="preserve"> </w:t>
      </w:r>
      <w:r>
        <w:rPr>
          <w:szCs w:val="16"/>
        </w:rPr>
        <w:t xml:space="preserve">(dále také SFRB), který </w:t>
      </w:r>
      <w:r>
        <w:rPr>
          <w:b/>
          <w:szCs w:val="16"/>
        </w:rPr>
        <w:t xml:space="preserve">poskytuje </w:t>
      </w:r>
      <w:r w:rsidRPr="00A757FE">
        <w:rPr>
          <w:b/>
          <w:szCs w:val="16"/>
        </w:rPr>
        <w:t>dlouhodobé nízkoúročené úvěry na revitalizaci bytového fondu v deprivovaných zónách ve městech s</w:t>
      </w:r>
      <w:r>
        <w:rPr>
          <w:b/>
          <w:szCs w:val="16"/>
        </w:rPr>
        <w:t> </w:t>
      </w:r>
      <w:r w:rsidRPr="00A757FE">
        <w:rPr>
          <w:b/>
          <w:szCs w:val="16"/>
        </w:rPr>
        <w:t>IPRM</w:t>
      </w:r>
      <w:r>
        <w:rPr>
          <w:b/>
          <w:szCs w:val="16"/>
        </w:rPr>
        <w:t>.</w:t>
      </w:r>
      <w:r w:rsidRPr="00A757FE">
        <w:t xml:space="preserve"> </w:t>
      </w:r>
      <w:r w:rsidRPr="00A757FE">
        <w:rPr>
          <w:szCs w:val="16"/>
        </w:rPr>
        <w:t>Úvěry lze použít na rekonstrukce a modernizace obvodového pláště a společných částí bytových domů nebo na zřízení či rekonstrukci sociálního bydlení. Příjem žádostí o úvěry byl zahájen v lednu 2014.</w:t>
      </w:r>
      <w:r w:rsidRPr="00A757FE">
        <w:t xml:space="preserve"> </w:t>
      </w:r>
      <w:r w:rsidRPr="00A757FE">
        <w:rPr>
          <w:szCs w:val="16"/>
        </w:rPr>
        <w:t>Administraci a poskytování úvěrů z Programu JESSICA zajišťuje Správce Fondu rozvoje měst, kterým se na základě výsledků výběrového řízení stala Komerční banka, a.s.</w:t>
      </w:r>
      <w:r w:rsidRPr="00A757FE">
        <w:t xml:space="preserve"> </w:t>
      </w:r>
      <w:r w:rsidRPr="00A757FE">
        <w:rPr>
          <w:szCs w:val="16"/>
        </w:rPr>
        <w:t>Limit celkové alokace, která je rozdělována mezi jednotlivé příjemce zv</w:t>
      </w:r>
      <w:r>
        <w:rPr>
          <w:szCs w:val="16"/>
        </w:rPr>
        <w:t xml:space="preserve">ýhodněných úvěrů, byl nastaven </w:t>
      </w:r>
      <w:r w:rsidRPr="00A757FE">
        <w:rPr>
          <w:szCs w:val="16"/>
        </w:rPr>
        <w:t xml:space="preserve">na 570 </w:t>
      </w:r>
      <w:r>
        <w:rPr>
          <w:szCs w:val="16"/>
        </w:rPr>
        <w:t>mil.</w:t>
      </w:r>
      <w:r w:rsidRPr="00A757FE">
        <w:rPr>
          <w:szCs w:val="16"/>
        </w:rPr>
        <w:t xml:space="preserve"> Kč</w:t>
      </w:r>
      <w:r>
        <w:rPr>
          <w:szCs w:val="16"/>
        </w:rPr>
        <w:t>.</w:t>
      </w:r>
    </w:p>
    <w:p w:rsidR="00DA4E52" w:rsidRPr="00CD06E0" w:rsidRDefault="00DA4E52" w:rsidP="002D2639">
      <w:pPr>
        <w:pStyle w:val="Odstavecseseznamem"/>
        <w:numPr>
          <w:ilvl w:val="0"/>
          <w:numId w:val="41"/>
        </w:numPr>
        <w:contextualSpacing w:val="0"/>
        <w:rPr>
          <w:szCs w:val="16"/>
        </w:rPr>
      </w:pPr>
      <w:r w:rsidRPr="00CD06E0">
        <w:rPr>
          <w:szCs w:val="16"/>
        </w:rPr>
        <w:t xml:space="preserve">V rámci </w:t>
      </w:r>
      <w:r w:rsidRPr="00CD06E0">
        <w:rPr>
          <w:b/>
          <w:szCs w:val="16"/>
        </w:rPr>
        <w:t>Regionálního operačního programu Moravskoslezského kraje byly zřízeny dva fondy rozvoje měst</w:t>
      </w:r>
      <w:r w:rsidRPr="00CD06E0">
        <w:rPr>
          <w:szCs w:val="16"/>
        </w:rPr>
        <w:t>,</w:t>
      </w:r>
      <w:r w:rsidRPr="00CB5ED7">
        <w:rPr>
          <w:szCs w:val="16"/>
        </w:rPr>
        <w:t xml:space="preserve"> s</w:t>
      </w:r>
      <w:r>
        <w:rPr>
          <w:szCs w:val="16"/>
        </w:rPr>
        <w:t xml:space="preserve"> </w:t>
      </w:r>
      <w:r w:rsidRPr="00CB5ED7">
        <w:rPr>
          <w:szCs w:val="16"/>
        </w:rPr>
        <w:t xml:space="preserve">cílem investic do městských oblastí a zajištění návratnosti investovaných prostředků. Celkový </w:t>
      </w:r>
      <w:r w:rsidRPr="00CD06E0">
        <w:rPr>
          <w:szCs w:val="16"/>
        </w:rPr>
        <w:t>objem</w:t>
      </w:r>
      <w:r w:rsidRPr="00CB5ED7">
        <w:rPr>
          <w:szCs w:val="16"/>
        </w:rPr>
        <w:t xml:space="preserve"> takto investovaných </w:t>
      </w:r>
      <w:r w:rsidRPr="00CD06E0">
        <w:rPr>
          <w:szCs w:val="16"/>
        </w:rPr>
        <w:t xml:space="preserve">prostředků </w:t>
      </w:r>
      <w:r w:rsidRPr="00CB5ED7">
        <w:rPr>
          <w:szCs w:val="16"/>
        </w:rPr>
        <w:t>by měl dosáhnout na</w:t>
      </w:r>
      <w:r>
        <w:rPr>
          <w:szCs w:val="16"/>
        </w:rPr>
        <w:t xml:space="preserve"> </w:t>
      </w:r>
      <w:r w:rsidRPr="00CB5ED7">
        <w:rPr>
          <w:szCs w:val="16"/>
        </w:rPr>
        <w:t>základě podep</w:t>
      </w:r>
      <w:r>
        <w:rPr>
          <w:szCs w:val="16"/>
        </w:rPr>
        <w:t>s</w:t>
      </w:r>
      <w:r w:rsidRPr="00D85013">
        <w:rPr>
          <w:szCs w:val="16"/>
        </w:rPr>
        <w:t xml:space="preserve">ané dohody o financování částky </w:t>
      </w:r>
      <w:r w:rsidRPr="00CD06E0">
        <w:rPr>
          <w:szCs w:val="16"/>
        </w:rPr>
        <w:t>20 mil. eur, tedy cca 507 mil. Kč</w:t>
      </w:r>
      <w:r>
        <w:rPr>
          <w:szCs w:val="16"/>
        </w:rPr>
        <w:t>.</w:t>
      </w:r>
    </w:p>
    <w:p w:rsidR="00DA4E52" w:rsidRDefault="00DA4E52" w:rsidP="002D2639">
      <w:pPr>
        <w:pStyle w:val="Odstavecseseznamem"/>
        <w:numPr>
          <w:ilvl w:val="0"/>
          <w:numId w:val="41"/>
        </w:numPr>
        <w:contextualSpacing w:val="0"/>
        <w:rPr>
          <w:szCs w:val="16"/>
        </w:rPr>
      </w:pPr>
      <w:r>
        <w:rPr>
          <w:b/>
          <w:szCs w:val="16"/>
        </w:rPr>
        <w:t>V rámci hl. města Prahy byly vyvíjeny snahy k využití nástroje JESSICA</w:t>
      </w:r>
      <w:r>
        <w:rPr>
          <w:szCs w:val="16"/>
        </w:rPr>
        <w:t xml:space="preserve"> v rámci Operačního programu Praha Konkurenceschopnost, nicméně </w:t>
      </w:r>
      <w:r w:rsidRPr="00635EF2">
        <w:rPr>
          <w:b/>
          <w:szCs w:val="16"/>
        </w:rPr>
        <w:t>nástroj nebyl v</w:t>
      </w:r>
      <w:r>
        <w:rPr>
          <w:b/>
          <w:szCs w:val="16"/>
        </w:rPr>
        <w:t xml:space="preserve"> Operačním programu</w:t>
      </w:r>
      <w:r w:rsidRPr="00635EF2">
        <w:rPr>
          <w:b/>
          <w:szCs w:val="16"/>
        </w:rPr>
        <w:t xml:space="preserve"> </w:t>
      </w:r>
      <w:r>
        <w:rPr>
          <w:b/>
          <w:szCs w:val="16"/>
        </w:rPr>
        <w:t xml:space="preserve">Praha Konkurenceschopnost </w:t>
      </w:r>
      <w:r w:rsidRPr="00635EF2">
        <w:rPr>
          <w:b/>
          <w:szCs w:val="16"/>
        </w:rPr>
        <w:t>realizován z důvodu problémů s výběrovým řízením na správce fondu</w:t>
      </w:r>
      <w:r w:rsidRPr="00635EF2">
        <w:rPr>
          <w:szCs w:val="16"/>
        </w:rPr>
        <w:t>, které muselo být zrušeno a nové se již s ohledem na blížící se konec programovéh</w:t>
      </w:r>
      <w:r>
        <w:rPr>
          <w:szCs w:val="16"/>
        </w:rPr>
        <w:t xml:space="preserve">o období nepodařilo zrealizovat. Obdobně byla vyvíjena snaha zřídit program JESSICA v rámci </w:t>
      </w:r>
      <w:r w:rsidRPr="00D12FFB">
        <w:rPr>
          <w:b/>
          <w:szCs w:val="16"/>
        </w:rPr>
        <w:t>Regionálního operačního programu Střední Morava</w:t>
      </w:r>
      <w:r>
        <w:rPr>
          <w:szCs w:val="16"/>
        </w:rPr>
        <w:t xml:space="preserve">, nicméně po několika kolech odkladů zřízení a spuštění </w:t>
      </w:r>
      <w:r w:rsidRPr="00D12FFB">
        <w:rPr>
          <w:b/>
          <w:szCs w:val="16"/>
        </w:rPr>
        <w:t>nebyl finanční nástroj nakonec implementován</w:t>
      </w:r>
      <w:r>
        <w:rPr>
          <w:szCs w:val="16"/>
        </w:rPr>
        <w:t>.</w:t>
      </w:r>
    </w:p>
    <w:p w:rsidR="00DA4E52" w:rsidRPr="00A757FE" w:rsidRDefault="00DA4E52" w:rsidP="00DA4E52">
      <w:pPr>
        <w:rPr>
          <w:szCs w:val="16"/>
        </w:rPr>
      </w:pPr>
      <w:r>
        <w:rPr>
          <w:szCs w:val="16"/>
        </w:rPr>
        <w:t>Kromě finanční</w:t>
      </w:r>
      <w:r w:rsidR="00A62142">
        <w:rPr>
          <w:szCs w:val="16"/>
        </w:rPr>
        <w:t>ch</w:t>
      </w:r>
      <w:r>
        <w:rPr>
          <w:szCs w:val="16"/>
        </w:rPr>
        <w:t xml:space="preserve"> nástrojů využívaných skrze implementaci </w:t>
      </w:r>
      <w:r w:rsidR="00A62142">
        <w:rPr>
          <w:szCs w:val="16"/>
        </w:rPr>
        <w:t xml:space="preserve">programu </w:t>
      </w:r>
      <w:r>
        <w:rPr>
          <w:szCs w:val="16"/>
        </w:rPr>
        <w:t>JESSICA bylo ve sledované oblasti v období 2007 – 2013 aktivní i Ministerstvo průmyslu a obchodu, řídící orgán Operačního programu Podnikání a inovace (dále také OPPI), s následujícími výsledky:</w:t>
      </w:r>
    </w:p>
    <w:p w:rsidR="00DA4E52" w:rsidRDefault="00DA4E52" w:rsidP="002D2639">
      <w:pPr>
        <w:pStyle w:val="Odstavecseseznamem"/>
        <w:numPr>
          <w:ilvl w:val="0"/>
          <w:numId w:val="41"/>
        </w:numPr>
        <w:contextualSpacing w:val="0"/>
        <w:rPr>
          <w:szCs w:val="16"/>
        </w:rPr>
      </w:pPr>
      <w:r>
        <w:rPr>
          <w:szCs w:val="16"/>
        </w:rPr>
        <w:lastRenderedPageBreak/>
        <w:t xml:space="preserve">Operační program podnikání a inovace vyčlenil část své alokace pro </w:t>
      </w:r>
      <w:r w:rsidRPr="005F382F">
        <w:rPr>
          <w:b/>
          <w:szCs w:val="16"/>
        </w:rPr>
        <w:t>programy ZÁRUKA A PROGRES</w:t>
      </w:r>
      <w:r>
        <w:rPr>
          <w:szCs w:val="16"/>
        </w:rPr>
        <w:t xml:space="preserve">, které fungovaly na bázi finančního nástroje – sloužily k poskytování zvýhodněných úvěrů a garancí podnikům splňující vybrané podmínky. Jako správce nástroje byla využita </w:t>
      </w:r>
      <w:r w:rsidRPr="00B56019">
        <w:rPr>
          <w:b/>
          <w:szCs w:val="16"/>
        </w:rPr>
        <w:t>Č</w:t>
      </w:r>
      <w:r>
        <w:rPr>
          <w:b/>
          <w:szCs w:val="16"/>
        </w:rPr>
        <w:t>eskomoravská záruční a rozvojová banka</w:t>
      </w:r>
      <w:r>
        <w:rPr>
          <w:szCs w:val="16"/>
        </w:rPr>
        <w:t xml:space="preserve"> – nastavení implementační struktury bylo rozporováno ze strany Evropské komise a </w:t>
      </w:r>
      <w:r w:rsidRPr="005F382F">
        <w:rPr>
          <w:b/>
          <w:szCs w:val="16"/>
        </w:rPr>
        <w:t>sledovaný nástroj byl následně pozastaven pro podezření na nesrovnalosti</w:t>
      </w:r>
      <w:r>
        <w:rPr>
          <w:szCs w:val="16"/>
        </w:rPr>
        <w:t>.</w:t>
      </w:r>
    </w:p>
    <w:p w:rsidR="00DA4E52" w:rsidRPr="00CB5ED7" w:rsidRDefault="00DA4E52" w:rsidP="002D2639">
      <w:pPr>
        <w:pStyle w:val="Odstavecseseznamem"/>
        <w:numPr>
          <w:ilvl w:val="0"/>
          <w:numId w:val="41"/>
        </w:numPr>
        <w:ind w:left="714" w:hanging="357"/>
        <w:contextualSpacing w:val="0"/>
        <w:rPr>
          <w:szCs w:val="16"/>
        </w:rPr>
      </w:pPr>
      <w:r>
        <w:rPr>
          <w:szCs w:val="16"/>
        </w:rPr>
        <w:t xml:space="preserve">Mezi cíli OPPI bylo i zřízení tzv. Seed fondu, za tímto účelem </w:t>
      </w:r>
      <w:r w:rsidRPr="00CB5ED7">
        <w:rPr>
          <w:szCs w:val="16"/>
        </w:rPr>
        <w:t>došlo k</w:t>
      </w:r>
      <w:r>
        <w:rPr>
          <w:szCs w:val="16"/>
        </w:rPr>
        <w:t xml:space="preserve"> </w:t>
      </w:r>
      <w:r w:rsidRPr="00CB5ED7">
        <w:rPr>
          <w:szCs w:val="16"/>
        </w:rPr>
        <w:t xml:space="preserve">založení </w:t>
      </w:r>
      <w:r>
        <w:rPr>
          <w:szCs w:val="16"/>
        </w:rPr>
        <w:t>Českého</w:t>
      </w:r>
      <w:r w:rsidRPr="00CB5ED7">
        <w:rPr>
          <w:szCs w:val="16"/>
        </w:rPr>
        <w:t xml:space="preserve"> rozvojov</w:t>
      </w:r>
      <w:r>
        <w:rPr>
          <w:szCs w:val="16"/>
        </w:rPr>
        <w:t>ého</w:t>
      </w:r>
      <w:r w:rsidRPr="00CB5ED7">
        <w:rPr>
          <w:szCs w:val="16"/>
        </w:rPr>
        <w:t xml:space="preserve"> uzavřen</w:t>
      </w:r>
      <w:r>
        <w:rPr>
          <w:szCs w:val="16"/>
        </w:rPr>
        <w:t>ého</w:t>
      </w:r>
      <w:r w:rsidRPr="00CB5ED7">
        <w:rPr>
          <w:szCs w:val="16"/>
        </w:rPr>
        <w:t xml:space="preserve"> investiční</w:t>
      </w:r>
      <w:r>
        <w:rPr>
          <w:szCs w:val="16"/>
        </w:rPr>
        <w:t>ho</w:t>
      </w:r>
      <w:r w:rsidRPr="00CB5ED7">
        <w:rPr>
          <w:szCs w:val="16"/>
        </w:rPr>
        <w:t xml:space="preserve"> fond</w:t>
      </w:r>
      <w:r>
        <w:rPr>
          <w:szCs w:val="16"/>
        </w:rPr>
        <w:t>u</w:t>
      </w:r>
      <w:r w:rsidRPr="00CB5ED7">
        <w:rPr>
          <w:szCs w:val="16"/>
        </w:rPr>
        <w:t xml:space="preserve"> (</w:t>
      </w:r>
      <w:r>
        <w:rPr>
          <w:szCs w:val="16"/>
        </w:rPr>
        <w:t xml:space="preserve">dále jen </w:t>
      </w:r>
      <w:r>
        <w:rPr>
          <w:rFonts w:cs="Arial"/>
          <w:szCs w:val="16"/>
        </w:rPr>
        <w:t>„</w:t>
      </w:r>
      <w:r w:rsidRPr="009401E2">
        <w:rPr>
          <w:szCs w:val="16"/>
        </w:rPr>
        <w:t>ČRUIF</w:t>
      </w:r>
      <w:r>
        <w:rPr>
          <w:rFonts w:cs="Arial"/>
          <w:b/>
          <w:szCs w:val="16"/>
        </w:rPr>
        <w:t>“</w:t>
      </w:r>
      <w:r w:rsidRPr="00CB5ED7">
        <w:rPr>
          <w:szCs w:val="16"/>
        </w:rPr>
        <w:t xml:space="preserve">), jehož cílem bylo </w:t>
      </w:r>
      <w:r w:rsidRPr="002332E4">
        <w:rPr>
          <w:b/>
          <w:szCs w:val="16"/>
        </w:rPr>
        <w:t>i</w:t>
      </w:r>
      <w:r w:rsidRPr="00CB5ED7">
        <w:rPr>
          <w:b/>
          <w:szCs w:val="16"/>
        </w:rPr>
        <w:t xml:space="preserve">nvestovat rizikový kapitál do </w:t>
      </w:r>
      <w:r>
        <w:rPr>
          <w:b/>
          <w:szCs w:val="16"/>
        </w:rPr>
        <w:t>MSP</w:t>
      </w:r>
      <w:r w:rsidRPr="00D85013">
        <w:rPr>
          <w:b/>
          <w:szCs w:val="16"/>
        </w:rPr>
        <w:t xml:space="preserve"> zejména v</w:t>
      </w:r>
      <w:r>
        <w:rPr>
          <w:b/>
          <w:szCs w:val="16"/>
        </w:rPr>
        <w:t xml:space="preserve"> </w:t>
      </w:r>
      <w:r w:rsidRPr="00D85013">
        <w:rPr>
          <w:b/>
          <w:szCs w:val="16"/>
        </w:rPr>
        <w:t>podobě kapitálových a</w:t>
      </w:r>
      <w:r>
        <w:rPr>
          <w:b/>
          <w:szCs w:val="16"/>
        </w:rPr>
        <w:t xml:space="preserve"> </w:t>
      </w:r>
      <w:r w:rsidRPr="00D85013">
        <w:rPr>
          <w:b/>
          <w:szCs w:val="16"/>
        </w:rPr>
        <w:t>kvazi</w:t>
      </w:r>
      <w:r>
        <w:rPr>
          <w:b/>
          <w:szCs w:val="16"/>
        </w:rPr>
        <w:t>-</w:t>
      </w:r>
      <w:r w:rsidRPr="00D85013">
        <w:rPr>
          <w:b/>
          <w:szCs w:val="16"/>
        </w:rPr>
        <w:t xml:space="preserve">kapitálových </w:t>
      </w:r>
      <w:r w:rsidRPr="00CB5ED7">
        <w:rPr>
          <w:b/>
          <w:szCs w:val="16"/>
        </w:rPr>
        <w:t>nástrojů</w:t>
      </w:r>
      <w:r w:rsidRPr="00CB5ED7">
        <w:rPr>
          <w:szCs w:val="16"/>
        </w:rPr>
        <w:t xml:space="preserve"> jako i dalších forem podpory. Prostředky pro realizaci ČRUIF byly vyčleněny z</w:t>
      </w:r>
      <w:r>
        <w:rPr>
          <w:szCs w:val="16"/>
        </w:rPr>
        <w:t xml:space="preserve"> </w:t>
      </w:r>
      <w:r w:rsidRPr="00CB5ED7">
        <w:rPr>
          <w:szCs w:val="16"/>
        </w:rPr>
        <w:t>O</w:t>
      </w:r>
      <w:r>
        <w:rPr>
          <w:szCs w:val="16"/>
        </w:rPr>
        <w:t>peračního programu Podnikání a inovace</w:t>
      </w:r>
      <w:r w:rsidRPr="00CB5ED7">
        <w:rPr>
          <w:szCs w:val="16"/>
        </w:rPr>
        <w:t xml:space="preserve">, </w:t>
      </w:r>
      <w:r w:rsidRPr="00CB5ED7">
        <w:rPr>
          <w:b/>
          <w:szCs w:val="16"/>
        </w:rPr>
        <w:t>celková alokace měla dosáhnout cca 53 mil. eur</w:t>
      </w:r>
      <w:r w:rsidRPr="00CB5ED7">
        <w:rPr>
          <w:szCs w:val="16"/>
        </w:rPr>
        <w:t>. Z</w:t>
      </w:r>
      <w:r>
        <w:rPr>
          <w:szCs w:val="16"/>
        </w:rPr>
        <w:t xml:space="preserve"> </w:t>
      </w:r>
      <w:r w:rsidRPr="00CB5ED7">
        <w:rPr>
          <w:szCs w:val="16"/>
        </w:rPr>
        <w:t>důvodů průtahů v</w:t>
      </w:r>
      <w:r>
        <w:rPr>
          <w:szCs w:val="16"/>
        </w:rPr>
        <w:t xml:space="preserve"> </w:t>
      </w:r>
      <w:r w:rsidRPr="00CB5ED7">
        <w:rPr>
          <w:szCs w:val="16"/>
        </w:rPr>
        <w:t xml:space="preserve">rámci výběrového řízení </w:t>
      </w:r>
      <w:r w:rsidRPr="00CB5ED7">
        <w:rPr>
          <w:b/>
          <w:szCs w:val="16"/>
        </w:rPr>
        <w:t>nebyla k</w:t>
      </w:r>
      <w:r>
        <w:rPr>
          <w:b/>
          <w:szCs w:val="16"/>
        </w:rPr>
        <w:t> </w:t>
      </w:r>
      <w:r w:rsidRPr="00CB5ED7">
        <w:rPr>
          <w:b/>
          <w:szCs w:val="16"/>
        </w:rPr>
        <w:t>dnešnímu dni činnost ČRUIF zahájena</w:t>
      </w:r>
      <w:r>
        <w:rPr>
          <w:szCs w:val="16"/>
        </w:rPr>
        <w:t>.</w:t>
      </w:r>
    </w:p>
    <w:p w:rsidR="00DA4E52" w:rsidRPr="00CB5ED7" w:rsidRDefault="00DA4E52" w:rsidP="00DA4E52">
      <w:r w:rsidRPr="00CB5ED7">
        <w:rPr>
          <w:b/>
        </w:rPr>
        <w:t xml:space="preserve">Využití </w:t>
      </w:r>
      <w:r>
        <w:rPr>
          <w:b/>
        </w:rPr>
        <w:t>IFN</w:t>
      </w:r>
      <w:r w:rsidRPr="00CB5ED7">
        <w:rPr>
          <w:b/>
        </w:rPr>
        <w:t xml:space="preserve"> v programovém období</w:t>
      </w:r>
      <w:r w:rsidRPr="00CB5ED7">
        <w:t xml:space="preserve"> </w:t>
      </w:r>
      <w:r w:rsidRPr="00BD05F1">
        <w:rPr>
          <w:b/>
        </w:rPr>
        <w:t>2007-2013</w:t>
      </w:r>
      <w:r>
        <w:t xml:space="preserve"> </w:t>
      </w:r>
      <w:r w:rsidRPr="00CB5ED7">
        <w:t>je obecně možné považovat ve srovnání s</w:t>
      </w:r>
      <w:r>
        <w:t xml:space="preserve"> </w:t>
      </w:r>
      <w:r w:rsidRPr="00CB5ED7">
        <w:t>celkovým objemem prostředků z</w:t>
      </w:r>
      <w:r>
        <w:t xml:space="preserve"> </w:t>
      </w:r>
      <w:r w:rsidRPr="00CB5ED7">
        <w:t xml:space="preserve">fondů EU za </w:t>
      </w:r>
      <w:r w:rsidRPr="00CB5ED7">
        <w:rPr>
          <w:b/>
        </w:rPr>
        <w:t>okrajové</w:t>
      </w:r>
      <w:r w:rsidRPr="00CB5ED7">
        <w:rPr>
          <w:rStyle w:val="Znakapoznpodarou"/>
          <w:b/>
        </w:rPr>
        <w:footnoteReference w:id="1"/>
      </w:r>
      <w:r w:rsidRPr="00CB5ED7">
        <w:t xml:space="preserve">, což vyplývá </w:t>
      </w:r>
      <w:r>
        <w:t>ja</w:t>
      </w:r>
      <w:r w:rsidRPr="00CB5ED7">
        <w:t>k z</w:t>
      </w:r>
      <w:r>
        <w:t xml:space="preserve"> </w:t>
      </w:r>
      <w:r w:rsidRPr="00CB5ED7">
        <w:t xml:space="preserve">jejich poměrné složitosti, </w:t>
      </w:r>
      <w:r>
        <w:t>tak</w:t>
      </w:r>
      <w:r w:rsidRPr="00CB5ED7">
        <w:t xml:space="preserve"> z</w:t>
      </w:r>
      <w:r>
        <w:t xml:space="preserve"> </w:t>
      </w:r>
      <w:r w:rsidRPr="00CB5ED7">
        <w:t xml:space="preserve">malé propagace ze strany veřejných subjektů. Navíc se </w:t>
      </w:r>
      <w:r w:rsidRPr="00CB5ED7">
        <w:rPr>
          <w:b/>
        </w:rPr>
        <w:t>téměř výlučně</w:t>
      </w:r>
      <w:r w:rsidRPr="00CB5ED7">
        <w:t xml:space="preserve"> jedná o </w:t>
      </w:r>
      <w:r>
        <w:t>IFN</w:t>
      </w:r>
      <w:r w:rsidRPr="00CB5ED7">
        <w:t xml:space="preserve"> </w:t>
      </w:r>
      <w:r w:rsidRPr="00CB5ED7">
        <w:rPr>
          <w:b/>
        </w:rPr>
        <w:t>v</w:t>
      </w:r>
      <w:r>
        <w:rPr>
          <w:b/>
        </w:rPr>
        <w:t xml:space="preserve"> </w:t>
      </w:r>
      <w:r w:rsidRPr="00CB5ED7">
        <w:rPr>
          <w:b/>
        </w:rPr>
        <w:t xml:space="preserve">podobě poskytnutých </w:t>
      </w:r>
      <w:r>
        <w:rPr>
          <w:b/>
        </w:rPr>
        <w:t>ú</w:t>
      </w:r>
      <w:r w:rsidRPr="00D85013">
        <w:rPr>
          <w:b/>
        </w:rPr>
        <w:t>věrů a garancí</w:t>
      </w:r>
      <w:r w:rsidRPr="00CB5ED7">
        <w:rPr>
          <w:b/>
        </w:rPr>
        <w:t>.</w:t>
      </w:r>
      <w:r w:rsidRPr="00CB5ED7">
        <w:t xml:space="preserve"> </w:t>
      </w:r>
    </w:p>
    <w:p w:rsidR="00DA4E52" w:rsidRPr="00CB5ED7" w:rsidRDefault="00DA4E52" w:rsidP="00DA4E52">
      <w:pPr>
        <w:pStyle w:val="Nadpis2"/>
      </w:pPr>
      <w:bookmarkStart w:id="26" w:name="_Toc386460035"/>
      <w:bookmarkStart w:id="27" w:name="_Toc397701286"/>
      <w:bookmarkStart w:id="28" w:name="_Toc400570374"/>
      <w:bookmarkStart w:id="29" w:name="_Toc401150103"/>
      <w:bookmarkStart w:id="30" w:name="_Toc409797480"/>
      <w:bookmarkStart w:id="31" w:name="_Toc418767138"/>
      <w:r w:rsidRPr="00CB5ED7">
        <w:t xml:space="preserve">Srovnání </w:t>
      </w:r>
      <w:r>
        <w:t>IFN</w:t>
      </w:r>
      <w:r w:rsidRPr="00CB5ED7">
        <w:t xml:space="preserve"> s</w:t>
      </w:r>
      <w:r>
        <w:t xml:space="preserve"> </w:t>
      </w:r>
      <w:r w:rsidRPr="00CB5ED7">
        <w:t>grantovým financováním</w:t>
      </w:r>
      <w:bookmarkEnd w:id="26"/>
      <w:bookmarkEnd w:id="27"/>
      <w:bookmarkEnd w:id="28"/>
      <w:bookmarkEnd w:id="29"/>
      <w:bookmarkEnd w:id="30"/>
      <w:bookmarkEnd w:id="31"/>
    </w:p>
    <w:p w:rsidR="00DA4E52" w:rsidRPr="00CB5ED7" w:rsidRDefault="00DA4E52" w:rsidP="00DA4E52">
      <w:r>
        <w:rPr>
          <w:b/>
        </w:rPr>
        <w:t>IFN</w:t>
      </w:r>
      <w:r w:rsidRPr="00D85013">
        <w:rPr>
          <w:b/>
        </w:rPr>
        <w:t xml:space="preserve"> ve srovnání s</w:t>
      </w:r>
      <w:r>
        <w:rPr>
          <w:b/>
        </w:rPr>
        <w:t xml:space="preserve"> </w:t>
      </w:r>
      <w:r w:rsidRPr="00D85013">
        <w:rPr>
          <w:b/>
        </w:rPr>
        <w:t>grantovým financováním vykazují řadu podstatných odlišností</w:t>
      </w:r>
      <w:r w:rsidRPr="00D85013">
        <w:t>, přičemž mezi nejvýzna</w:t>
      </w:r>
      <w:r w:rsidRPr="00CB5ED7">
        <w:t>mnější se řadí zejména následující:</w:t>
      </w:r>
    </w:p>
    <w:p w:rsidR="00DA4E52" w:rsidRPr="00CB5ED7" w:rsidRDefault="00DA4E52" w:rsidP="002D2639">
      <w:pPr>
        <w:pStyle w:val="Odstavecseseznamem"/>
        <w:numPr>
          <w:ilvl w:val="0"/>
          <w:numId w:val="41"/>
        </w:numPr>
        <w:contextualSpacing w:val="0"/>
        <w:rPr>
          <w:b/>
          <w:szCs w:val="16"/>
        </w:rPr>
      </w:pPr>
      <w:r w:rsidRPr="00CB5ED7">
        <w:rPr>
          <w:b/>
          <w:szCs w:val="16"/>
        </w:rPr>
        <w:t xml:space="preserve">Návratnost zdrojů </w:t>
      </w:r>
      <w:r w:rsidRPr="002332E4">
        <w:rPr>
          <w:szCs w:val="16"/>
        </w:rPr>
        <w:t>–</w:t>
      </w:r>
      <w:r w:rsidRPr="00CB5ED7">
        <w:rPr>
          <w:b/>
          <w:szCs w:val="16"/>
        </w:rPr>
        <w:t xml:space="preserve"> </w:t>
      </w:r>
      <w:r w:rsidRPr="00CB5ED7">
        <w:rPr>
          <w:szCs w:val="16"/>
        </w:rPr>
        <w:t>s</w:t>
      </w:r>
      <w:r>
        <w:rPr>
          <w:szCs w:val="16"/>
        </w:rPr>
        <w:t xml:space="preserve"> </w:t>
      </w:r>
      <w:r w:rsidRPr="00CB5ED7">
        <w:rPr>
          <w:szCs w:val="16"/>
        </w:rPr>
        <w:t xml:space="preserve">ohledem na návratný charakter jednotlivých </w:t>
      </w:r>
      <w:r>
        <w:rPr>
          <w:szCs w:val="16"/>
        </w:rPr>
        <w:t>IFN</w:t>
      </w:r>
      <w:r w:rsidRPr="00CB5ED7">
        <w:rPr>
          <w:szCs w:val="16"/>
        </w:rPr>
        <w:t xml:space="preserve"> je možné takt</w:t>
      </w:r>
      <w:r w:rsidRPr="00115B6B">
        <w:rPr>
          <w:szCs w:val="16"/>
        </w:rPr>
        <w:t>o alokované prostředky v</w:t>
      </w:r>
      <w:r>
        <w:rPr>
          <w:szCs w:val="16"/>
        </w:rPr>
        <w:t xml:space="preserve"> </w:t>
      </w:r>
      <w:r w:rsidRPr="00115B6B">
        <w:rPr>
          <w:szCs w:val="16"/>
        </w:rPr>
        <w:t xml:space="preserve">budoucnu opětovně použít pro financování vybraných oblastí a projektů. </w:t>
      </w:r>
      <w:r w:rsidRPr="00B56019">
        <w:rPr>
          <w:szCs w:val="16"/>
        </w:rPr>
        <w:t xml:space="preserve">Dle článku 45 </w:t>
      </w:r>
      <w:r w:rsidRPr="00CB5ED7">
        <w:rPr>
          <w:szCs w:val="16"/>
        </w:rPr>
        <w:t>obecného nařízení jsou členské státy povinné zajistit opětovné využití navrácených prostředků v souladu s</w:t>
      </w:r>
      <w:r>
        <w:rPr>
          <w:szCs w:val="16"/>
        </w:rPr>
        <w:t xml:space="preserve"> </w:t>
      </w:r>
      <w:r w:rsidRPr="00CB5ED7">
        <w:rPr>
          <w:szCs w:val="16"/>
        </w:rPr>
        <w:t>cíli programu nebo programů nejméně po dobu 8 let po</w:t>
      </w:r>
      <w:r>
        <w:rPr>
          <w:szCs w:val="16"/>
        </w:rPr>
        <w:t xml:space="preserve"> </w:t>
      </w:r>
      <w:r w:rsidRPr="00CB5ED7">
        <w:rPr>
          <w:szCs w:val="16"/>
        </w:rPr>
        <w:t xml:space="preserve">skončení období způsobilosti. Po uplynutí této doby je možné tyto prostředky využít i jiným způsobem. </w:t>
      </w:r>
      <w:r>
        <w:rPr>
          <w:szCs w:val="16"/>
        </w:rPr>
        <w:t>IFN</w:t>
      </w:r>
      <w:r w:rsidRPr="00CB5ED7">
        <w:rPr>
          <w:szCs w:val="16"/>
        </w:rPr>
        <w:t xml:space="preserve"> tak přispívají dlouhodobě ke</w:t>
      </w:r>
      <w:r>
        <w:rPr>
          <w:szCs w:val="16"/>
        </w:rPr>
        <w:t xml:space="preserve"> stimulaci ekonomické aktivity.</w:t>
      </w:r>
    </w:p>
    <w:p w:rsidR="00DA4E52" w:rsidRPr="00CB5ED7" w:rsidRDefault="00DA4E52" w:rsidP="002D2639">
      <w:pPr>
        <w:pStyle w:val="Odstavecseseznamem"/>
        <w:numPr>
          <w:ilvl w:val="0"/>
          <w:numId w:val="41"/>
        </w:numPr>
        <w:contextualSpacing w:val="0"/>
        <w:rPr>
          <w:b/>
          <w:szCs w:val="16"/>
        </w:rPr>
      </w:pPr>
      <w:r w:rsidRPr="00115B6B">
        <w:rPr>
          <w:b/>
          <w:szCs w:val="16"/>
        </w:rPr>
        <w:t xml:space="preserve">Pákový efekt </w:t>
      </w:r>
      <w:r w:rsidRPr="002332E4">
        <w:rPr>
          <w:szCs w:val="16"/>
        </w:rPr>
        <w:t>–</w:t>
      </w:r>
      <w:r w:rsidRPr="00CB5ED7">
        <w:rPr>
          <w:b/>
          <w:szCs w:val="16"/>
        </w:rPr>
        <w:t xml:space="preserve"> </w:t>
      </w:r>
      <w:r w:rsidRPr="00CB5ED7">
        <w:rPr>
          <w:szCs w:val="16"/>
        </w:rPr>
        <w:t xml:space="preserve">jedním ze základních předpokladů implementace </w:t>
      </w:r>
      <w:r>
        <w:rPr>
          <w:szCs w:val="16"/>
        </w:rPr>
        <w:t>IFN</w:t>
      </w:r>
      <w:r w:rsidRPr="00CB5ED7">
        <w:rPr>
          <w:szCs w:val="16"/>
        </w:rPr>
        <w:t xml:space="preserve"> je využití pákového efektu, tedy zapojení dodatečných zdrojů pro financování vybraných oblastí/projektů. Tyto zdroje mohou pocházet jak z</w:t>
      </w:r>
      <w:r>
        <w:rPr>
          <w:szCs w:val="16"/>
        </w:rPr>
        <w:t xml:space="preserve"> </w:t>
      </w:r>
      <w:r w:rsidRPr="00CB5ED7">
        <w:rPr>
          <w:szCs w:val="16"/>
        </w:rPr>
        <w:t>veřejných zdrojů, tak ze zdrojů soukromých. Zejména zapojení soukromých zdrojů je preferováno</w:t>
      </w:r>
      <w:r>
        <w:rPr>
          <w:szCs w:val="16"/>
        </w:rPr>
        <w:t>,</w:t>
      </w:r>
      <w:r w:rsidRPr="00CB5ED7">
        <w:rPr>
          <w:szCs w:val="16"/>
        </w:rPr>
        <w:t xml:space="preserve"> a to z</w:t>
      </w:r>
      <w:r>
        <w:rPr>
          <w:szCs w:val="16"/>
        </w:rPr>
        <w:t xml:space="preserve"> </w:t>
      </w:r>
      <w:r w:rsidRPr="00CB5ED7">
        <w:rPr>
          <w:szCs w:val="16"/>
        </w:rPr>
        <w:t>titulu posílení a rozvoje finančních a kapitálových trhů jednotlivých členských zemí. Pro zapojení soukromých zdrojů je nezbytné implementovat mechanismus, který bude pro</w:t>
      </w:r>
      <w:r w:rsidRPr="00115B6B">
        <w:rPr>
          <w:szCs w:val="16"/>
        </w:rPr>
        <w:t> </w:t>
      </w:r>
      <w:r w:rsidRPr="00D85013">
        <w:rPr>
          <w:szCs w:val="16"/>
        </w:rPr>
        <w:t>tyto investory atraktivní, tedy bude snižovat riziko soukromého investora</w:t>
      </w:r>
      <w:r w:rsidRPr="00CB5ED7">
        <w:rPr>
          <w:szCs w:val="16"/>
        </w:rPr>
        <w:t xml:space="preserve"> nebo zvyšovat jeho výnos, případně se bude jednat o jejich kombinaci. Realizací pákového efektu je možné zvýšit celkový objem investic do ekonomiky, přispět k</w:t>
      </w:r>
      <w:r>
        <w:rPr>
          <w:szCs w:val="16"/>
        </w:rPr>
        <w:t xml:space="preserve"> </w:t>
      </w:r>
      <w:r w:rsidRPr="00CB5ED7">
        <w:rPr>
          <w:szCs w:val="16"/>
        </w:rPr>
        <w:t>efektivní alokaci kapitálu</w:t>
      </w:r>
      <w:r>
        <w:rPr>
          <w:szCs w:val="16"/>
        </w:rPr>
        <w:t>.</w:t>
      </w:r>
    </w:p>
    <w:p w:rsidR="00DA4E52" w:rsidRPr="00D64861" w:rsidRDefault="00DA4E52" w:rsidP="002D2639">
      <w:pPr>
        <w:pStyle w:val="Odstavecseseznamem"/>
        <w:numPr>
          <w:ilvl w:val="0"/>
          <w:numId w:val="41"/>
        </w:numPr>
        <w:contextualSpacing w:val="0"/>
        <w:rPr>
          <w:b/>
          <w:szCs w:val="16"/>
        </w:rPr>
      </w:pPr>
      <w:r w:rsidRPr="00CB5ED7">
        <w:rPr>
          <w:b/>
          <w:szCs w:val="16"/>
        </w:rPr>
        <w:t>Kombinovatelnost s</w:t>
      </w:r>
      <w:r>
        <w:rPr>
          <w:b/>
          <w:szCs w:val="16"/>
        </w:rPr>
        <w:t xml:space="preserve"> </w:t>
      </w:r>
      <w:r w:rsidRPr="00CB5ED7">
        <w:rPr>
          <w:b/>
          <w:szCs w:val="16"/>
        </w:rPr>
        <w:t xml:space="preserve">jinými formami podpory </w:t>
      </w:r>
      <w:r w:rsidRPr="002332E4">
        <w:rPr>
          <w:szCs w:val="16"/>
        </w:rPr>
        <w:t>–</w:t>
      </w:r>
      <w:r w:rsidRPr="00CB5ED7">
        <w:rPr>
          <w:b/>
          <w:szCs w:val="16"/>
        </w:rPr>
        <w:t xml:space="preserve"> </w:t>
      </w:r>
      <w:r w:rsidRPr="00CB5ED7">
        <w:rPr>
          <w:szCs w:val="16"/>
        </w:rPr>
        <w:t>v</w:t>
      </w:r>
      <w:r>
        <w:rPr>
          <w:szCs w:val="16"/>
        </w:rPr>
        <w:t xml:space="preserve"> </w:t>
      </w:r>
      <w:r w:rsidRPr="00CB5ED7">
        <w:rPr>
          <w:szCs w:val="16"/>
        </w:rPr>
        <w:t xml:space="preserve">rámci programového období </w:t>
      </w:r>
      <w:r>
        <w:rPr>
          <w:szCs w:val="16"/>
        </w:rPr>
        <w:t xml:space="preserve">2014 - 2020 </w:t>
      </w:r>
      <w:r w:rsidRPr="00CB5ED7">
        <w:rPr>
          <w:szCs w:val="16"/>
        </w:rPr>
        <w:t xml:space="preserve">je možné </w:t>
      </w:r>
      <w:r>
        <w:rPr>
          <w:szCs w:val="16"/>
        </w:rPr>
        <w:t>IFN</w:t>
      </w:r>
      <w:r w:rsidRPr="00CB5ED7">
        <w:rPr>
          <w:szCs w:val="16"/>
        </w:rPr>
        <w:t xml:space="preserve"> vzájemně kombinovat a rovněž je možné </w:t>
      </w:r>
      <w:r>
        <w:rPr>
          <w:szCs w:val="16"/>
        </w:rPr>
        <w:t>IFN</w:t>
      </w:r>
      <w:r w:rsidRPr="00CB5ED7">
        <w:rPr>
          <w:szCs w:val="16"/>
        </w:rPr>
        <w:t xml:space="preserve"> kombinovat s</w:t>
      </w:r>
      <w:r>
        <w:rPr>
          <w:szCs w:val="16"/>
        </w:rPr>
        <w:t xml:space="preserve"> </w:t>
      </w:r>
      <w:r w:rsidRPr="00CB5ED7">
        <w:rPr>
          <w:szCs w:val="16"/>
        </w:rPr>
        <w:t>granty, subvencemi úrokových sazeb a se subvencemi poplatků za záruky. V</w:t>
      </w:r>
      <w:r>
        <w:rPr>
          <w:szCs w:val="16"/>
        </w:rPr>
        <w:t xml:space="preserve"> </w:t>
      </w:r>
      <w:r w:rsidRPr="00CB5ED7">
        <w:rPr>
          <w:szCs w:val="16"/>
        </w:rPr>
        <w:t xml:space="preserve">případě poskytnutí podpory kombinací </w:t>
      </w:r>
      <w:r>
        <w:rPr>
          <w:szCs w:val="16"/>
        </w:rPr>
        <w:t>IFN</w:t>
      </w:r>
      <w:r w:rsidRPr="00CB5ED7">
        <w:rPr>
          <w:szCs w:val="16"/>
        </w:rPr>
        <w:t xml:space="preserve"> s</w:t>
      </w:r>
      <w:r>
        <w:rPr>
          <w:szCs w:val="16"/>
        </w:rPr>
        <w:t xml:space="preserve"> </w:t>
      </w:r>
      <w:r w:rsidRPr="00CB5ED7">
        <w:rPr>
          <w:szCs w:val="16"/>
        </w:rPr>
        <w:t>dalšími formami podpory (včetně technické pomoci) přímo souvisejícími s</w:t>
      </w:r>
      <w:r>
        <w:rPr>
          <w:szCs w:val="16"/>
        </w:rPr>
        <w:t xml:space="preserve"> IFN</w:t>
      </w:r>
      <w:r w:rsidRPr="00B56019">
        <w:rPr>
          <w:szCs w:val="16"/>
        </w:rPr>
        <w:t xml:space="preserve"> ve vztahu ke stejným příjemcům, uplatní se na všechny formy podpory ustanovení použitelná pro </w:t>
      </w:r>
      <w:r>
        <w:rPr>
          <w:szCs w:val="16"/>
        </w:rPr>
        <w:t>IFN.</w:t>
      </w:r>
    </w:p>
    <w:p w:rsidR="00DA4E52" w:rsidRPr="0085756F" w:rsidRDefault="00DA4E52" w:rsidP="002D2639">
      <w:pPr>
        <w:pStyle w:val="Odstavecseseznamem"/>
        <w:numPr>
          <w:ilvl w:val="0"/>
          <w:numId w:val="41"/>
        </w:numPr>
        <w:contextualSpacing w:val="0"/>
        <w:rPr>
          <w:b/>
          <w:szCs w:val="16"/>
        </w:rPr>
      </w:pPr>
      <w:r w:rsidRPr="0085756F">
        <w:rPr>
          <w:b/>
          <w:szCs w:val="16"/>
        </w:rPr>
        <w:t>Flexibilita</w:t>
      </w:r>
      <w:r w:rsidRPr="0085756F">
        <w:rPr>
          <w:szCs w:val="16"/>
        </w:rPr>
        <w:t xml:space="preserve"> – při využití finančních nástrojů je možné každému projektu zasmluvnit podmínky tzv</w:t>
      </w:r>
      <w:r w:rsidRPr="0085756F">
        <w:rPr>
          <w:i/>
          <w:szCs w:val="16"/>
        </w:rPr>
        <w:t>.</w:t>
      </w:r>
      <w:r>
        <w:rPr>
          <w:i/>
          <w:szCs w:val="16"/>
        </w:rPr>
        <w:t> </w:t>
      </w:r>
      <w:r w:rsidRPr="0085756F">
        <w:rPr>
          <w:i/>
          <w:szCs w:val="16"/>
        </w:rPr>
        <w:t>na míru</w:t>
      </w:r>
      <w:r w:rsidRPr="0085756F">
        <w:rPr>
          <w:szCs w:val="16"/>
        </w:rPr>
        <w:t>, aby bylo dosaženo co možná nejlepšího nastavení pro dosažení žádoucích cílů jak z pohledu poskytovatele, tak případného spolufinancujícího subjekt</w:t>
      </w:r>
      <w:r>
        <w:rPr>
          <w:szCs w:val="16"/>
        </w:rPr>
        <w:t>u</w:t>
      </w:r>
      <w:r w:rsidRPr="0085756F">
        <w:rPr>
          <w:szCs w:val="16"/>
        </w:rPr>
        <w:t xml:space="preserve">, tak příjemce. Oproti dotacím je pro </w:t>
      </w:r>
      <w:r>
        <w:rPr>
          <w:szCs w:val="16"/>
        </w:rPr>
        <w:t>IFN</w:t>
      </w:r>
      <w:r w:rsidRPr="0085756F">
        <w:rPr>
          <w:szCs w:val="16"/>
        </w:rPr>
        <w:t xml:space="preserve"> typická také nižší míra spojené administrativní zátěže</w:t>
      </w:r>
      <w:r w:rsidR="0022305A">
        <w:rPr>
          <w:szCs w:val="16"/>
        </w:rPr>
        <w:t xml:space="preserve"> pro žadatele/příjemce</w:t>
      </w:r>
      <w:r w:rsidRPr="0085756F">
        <w:rPr>
          <w:szCs w:val="16"/>
        </w:rPr>
        <w:t>, což umožňuje rychle a efektivně reagovat na potřeby</w:t>
      </w:r>
      <w:r>
        <w:rPr>
          <w:szCs w:val="16"/>
        </w:rPr>
        <w:t xml:space="preserve"> cílové skupiny, resp. příjemců podpory.</w:t>
      </w:r>
    </w:p>
    <w:p w:rsidR="00DA4E52" w:rsidRPr="00CB5ED7" w:rsidRDefault="00DA4E52" w:rsidP="002D2639">
      <w:pPr>
        <w:pStyle w:val="Odstavecseseznamem"/>
        <w:numPr>
          <w:ilvl w:val="0"/>
          <w:numId w:val="41"/>
        </w:numPr>
        <w:contextualSpacing w:val="0"/>
        <w:rPr>
          <w:b/>
          <w:szCs w:val="16"/>
        </w:rPr>
      </w:pPr>
      <w:r w:rsidRPr="00CB5ED7">
        <w:rPr>
          <w:b/>
          <w:szCs w:val="16"/>
        </w:rPr>
        <w:t xml:space="preserve">Vázanost a objem národních zdrojů </w:t>
      </w:r>
      <w:r w:rsidRPr="002332E4">
        <w:rPr>
          <w:szCs w:val="16"/>
        </w:rPr>
        <w:t>–</w:t>
      </w:r>
      <w:r w:rsidRPr="00CB5ED7">
        <w:rPr>
          <w:b/>
          <w:szCs w:val="16"/>
        </w:rPr>
        <w:t xml:space="preserve"> </w:t>
      </w:r>
      <w:r w:rsidRPr="00CB5ED7">
        <w:rPr>
          <w:szCs w:val="16"/>
        </w:rPr>
        <w:t>zatímco grantové financování z</w:t>
      </w:r>
      <w:r>
        <w:rPr>
          <w:szCs w:val="16"/>
        </w:rPr>
        <w:t xml:space="preserve"> </w:t>
      </w:r>
      <w:r w:rsidRPr="00CB5ED7">
        <w:rPr>
          <w:szCs w:val="16"/>
        </w:rPr>
        <w:t>titulu svého charakteru a</w:t>
      </w:r>
      <w:r>
        <w:rPr>
          <w:szCs w:val="16"/>
        </w:rPr>
        <w:t> </w:t>
      </w:r>
      <w:r w:rsidRPr="00CB5ED7">
        <w:rPr>
          <w:szCs w:val="16"/>
        </w:rPr>
        <w:t>procesního postupu vyžadovalo „předfinancování“ jednotlivých projektů z</w:t>
      </w:r>
      <w:r>
        <w:rPr>
          <w:szCs w:val="16"/>
        </w:rPr>
        <w:t xml:space="preserve"> </w:t>
      </w:r>
      <w:r w:rsidRPr="00CB5ED7">
        <w:rPr>
          <w:szCs w:val="16"/>
        </w:rPr>
        <w:t>národních zdrojů, finanční prostředky v</w:t>
      </w:r>
      <w:r>
        <w:rPr>
          <w:szCs w:val="16"/>
        </w:rPr>
        <w:t xml:space="preserve"> </w:t>
      </w:r>
      <w:r w:rsidRPr="00CB5ED7">
        <w:rPr>
          <w:szCs w:val="16"/>
        </w:rPr>
        <w:t xml:space="preserve">rámci </w:t>
      </w:r>
      <w:r>
        <w:rPr>
          <w:szCs w:val="16"/>
        </w:rPr>
        <w:t>IFN</w:t>
      </w:r>
      <w:r w:rsidRPr="00CB5ED7">
        <w:rPr>
          <w:szCs w:val="16"/>
        </w:rPr>
        <w:t xml:space="preserve"> jsou dostupné (certifikované) ještě před realizací jednotlivých projektů. Současně je pro spolufinancování prostředků z</w:t>
      </w:r>
      <w:r>
        <w:rPr>
          <w:szCs w:val="16"/>
        </w:rPr>
        <w:t xml:space="preserve"> </w:t>
      </w:r>
      <w:r w:rsidRPr="00CB5ED7">
        <w:rPr>
          <w:szCs w:val="16"/>
        </w:rPr>
        <w:t>fondů EU možné využít</w:t>
      </w:r>
      <w:r>
        <w:rPr>
          <w:szCs w:val="16"/>
        </w:rPr>
        <w:t xml:space="preserve"> také zdroje soukromého sektoru.</w:t>
      </w:r>
    </w:p>
    <w:p w:rsidR="00DA4E52" w:rsidRPr="00D96C1A" w:rsidRDefault="00DA4E52" w:rsidP="002D2639">
      <w:pPr>
        <w:pStyle w:val="Odstavecseseznamem"/>
        <w:numPr>
          <w:ilvl w:val="0"/>
          <w:numId w:val="41"/>
        </w:numPr>
        <w:contextualSpacing w:val="0"/>
        <w:rPr>
          <w:b/>
          <w:szCs w:val="16"/>
        </w:rPr>
      </w:pPr>
      <w:r w:rsidRPr="00CB5ED7">
        <w:rPr>
          <w:b/>
          <w:szCs w:val="16"/>
        </w:rPr>
        <w:lastRenderedPageBreak/>
        <w:t>Know</w:t>
      </w:r>
      <w:r>
        <w:rPr>
          <w:b/>
          <w:szCs w:val="16"/>
        </w:rPr>
        <w:t>-</w:t>
      </w:r>
      <w:r w:rsidRPr="00CB5ED7">
        <w:rPr>
          <w:b/>
          <w:szCs w:val="16"/>
        </w:rPr>
        <w:t>how soukromého sektoru</w:t>
      </w:r>
      <w:r w:rsidRPr="00115B6B">
        <w:rPr>
          <w:szCs w:val="16"/>
        </w:rPr>
        <w:t xml:space="preserve"> – veřejný sektor s</w:t>
      </w:r>
      <w:r>
        <w:rPr>
          <w:szCs w:val="16"/>
        </w:rPr>
        <w:t xml:space="preserve"> </w:t>
      </w:r>
      <w:r w:rsidRPr="00115B6B">
        <w:rPr>
          <w:szCs w:val="16"/>
        </w:rPr>
        <w:t xml:space="preserve">ohledem na své poslání nemá a ani nemůže mít znalost specifických oblastí a způsobů vhodného investování prostředků. Realizace </w:t>
      </w:r>
      <w:r>
        <w:rPr>
          <w:szCs w:val="16"/>
        </w:rPr>
        <w:t>IFN</w:t>
      </w:r>
      <w:r w:rsidRPr="00115B6B">
        <w:rPr>
          <w:szCs w:val="16"/>
        </w:rPr>
        <w:t xml:space="preserve"> umožňuje vy</w:t>
      </w:r>
      <w:r>
        <w:rPr>
          <w:szCs w:val="16"/>
        </w:rPr>
        <w:t>užít specifické znalosti a know-</w:t>
      </w:r>
      <w:r w:rsidRPr="00115B6B">
        <w:rPr>
          <w:szCs w:val="16"/>
        </w:rPr>
        <w:t>how soukromého sektoru v</w:t>
      </w:r>
      <w:r>
        <w:rPr>
          <w:szCs w:val="16"/>
        </w:rPr>
        <w:t xml:space="preserve"> rámci investičního procesu.</w:t>
      </w:r>
    </w:p>
    <w:p w:rsidR="00DA4E52" w:rsidRPr="00B56019" w:rsidRDefault="00DA4E52" w:rsidP="002D2639">
      <w:pPr>
        <w:pStyle w:val="Odstavecseseznamem"/>
        <w:numPr>
          <w:ilvl w:val="0"/>
          <w:numId w:val="41"/>
        </w:numPr>
        <w:contextualSpacing w:val="0"/>
        <w:rPr>
          <w:b/>
          <w:szCs w:val="16"/>
        </w:rPr>
      </w:pPr>
      <w:r>
        <w:rPr>
          <w:b/>
          <w:szCs w:val="16"/>
        </w:rPr>
        <w:t>Monitoring</w:t>
      </w:r>
      <w:r>
        <w:rPr>
          <w:szCs w:val="16"/>
        </w:rPr>
        <w:t xml:space="preserve"> – </w:t>
      </w:r>
      <w:r w:rsidRPr="00D96C1A">
        <w:rPr>
          <w:szCs w:val="16"/>
        </w:rPr>
        <w:t>návratné finanční nástroje budou na rozdíl od dotací sledovat na finanční bázi nejen vstupy, ale také výstupy, což povede k celkově většímu</w:t>
      </w:r>
      <w:r>
        <w:rPr>
          <w:szCs w:val="16"/>
        </w:rPr>
        <w:t>/vhodnějšímu</w:t>
      </w:r>
      <w:r w:rsidRPr="00D96C1A">
        <w:rPr>
          <w:szCs w:val="16"/>
        </w:rPr>
        <w:t xml:space="preserve"> monitoringu podpořených projektů (zejména uplatnitelnosti jejich výstupů)</w:t>
      </w:r>
      <w:r>
        <w:rPr>
          <w:szCs w:val="16"/>
        </w:rPr>
        <w:t>.</w:t>
      </w:r>
    </w:p>
    <w:p w:rsidR="00DA4E52" w:rsidRPr="00CB5ED7" w:rsidRDefault="00DA4E52" w:rsidP="002D2639">
      <w:pPr>
        <w:pStyle w:val="Odstavecseseznamem"/>
        <w:numPr>
          <w:ilvl w:val="0"/>
          <w:numId w:val="41"/>
        </w:numPr>
        <w:contextualSpacing w:val="0"/>
        <w:rPr>
          <w:b/>
          <w:szCs w:val="16"/>
        </w:rPr>
      </w:pPr>
      <w:r w:rsidRPr="00D85013">
        <w:rPr>
          <w:b/>
          <w:szCs w:val="16"/>
        </w:rPr>
        <w:t>Makroekonomické dopady</w:t>
      </w:r>
      <w:r w:rsidRPr="00D85013">
        <w:rPr>
          <w:szCs w:val="16"/>
        </w:rPr>
        <w:t xml:space="preserve"> </w:t>
      </w:r>
      <w:r w:rsidRPr="00CB5ED7">
        <w:rPr>
          <w:szCs w:val="16"/>
        </w:rPr>
        <w:t>– grantové financování, jak již bylo uvedeno výše, subvencuje zisk konečných příjemců</w:t>
      </w:r>
      <w:r w:rsidR="00B526E0">
        <w:rPr>
          <w:szCs w:val="16"/>
        </w:rPr>
        <w:t xml:space="preserve"> privátního sektoru</w:t>
      </w:r>
      <w:r w:rsidRPr="00CB5ED7">
        <w:rPr>
          <w:szCs w:val="16"/>
        </w:rPr>
        <w:t xml:space="preserve">. Na druhou stranu </w:t>
      </w:r>
      <w:r>
        <w:rPr>
          <w:szCs w:val="16"/>
        </w:rPr>
        <w:t>IFN</w:t>
      </w:r>
      <w:r w:rsidRPr="00CB5ED7">
        <w:rPr>
          <w:szCs w:val="16"/>
        </w:rPr>
        <w:t xml:space="preserve">, jakožto návratný zdroj, stimuluje konečné příjemce k minimalizaci nákladů a efektivnímu a hospodárnému vynakládání prostředků. Navíc </w:t>
      </w:r>
      <w:r>
        <w:rPr>
          <w:szCs w:val="16"/>
        </w:rPr>
        <w:t>IFN</w:t>
      </w:r>
      <w:r w:rsidRPr="00CB5ED7">
        <w:rPr>
          <w:szCs w:val="16"/>
        </w:rPr>
        <w:t xml:space="preserve"> podporují projekty, u nichž je dosažena alespoň minimální finanční návratnost. Z makroekonomického hlediska tak </w:t>
      </w:r>
      <w:r>
        <w:rPr>
          <w:szCs w:val="16"/>
        </w:rPr>
        <w:t>IFN</w:t>
      </w:r>
      <w:r w:rsidRPr="00CB5ED7">
        <w:rPr>
          <w:szCs w:val="16"/>
        </w:rPr>
        <w:t xml:space="preserve"> </w:t>
      </w:r>
      <w:r>
        <w:rPr>
          <w:szCs w:val="16"/>
        </w:rPr>
        <w:t xml:space="preserve">oproti grantovému financování </w:t>
      </w:r>
      <w:r w:rsidRPr="00CB5ED7">
        <w:rPr>
          <w:szCs w:val="16"/>
        </w:rPr>
        <w:t xml:space="preserve">méně deformují trh a lépe přispívají ke zvýšení ekonomické aktivity prostřednictvím multiplikačního efektu. </w:t>
      </w:r>
    </w:p>
    <w:p w:rsidR="00DA4E52" w:rsidRPr="00CB5ED7" w:rsidRDefault="00DA4E52" w:rsidP="00DA4E52">
      <w:pPr>
        <w:rPr>
          <w:b/>
        </w:rPr>
      </w:pPr>
      <w:r w:rsidRPr="00CB5ED7">
        <w:t xml:space="preserve">Na základě výše uvedeného je </w:t>
      </w:r>
      <w:r w:rsidRPr="002332E4">
        <w:rPr>
          <w:b/>
        </w:rPr>
        <w:t>m</w:t>
      </w:r>
      <w:r w:rsidRPr="00CB5ED7">
        <w:rPr>
          <w:b/>
        </w:rPr>
        <w:t xml:space="preserve">ožné konstatovat podstatnou výhodu </w:t>
      </w:r>
      <w:r>
        <w:rPr>
          <w:b/>
        </w:rPr>
        <w:t>IFN</w:t>
      </w:r>
      <w:r w:rsidRPr="00CB5ED7">
        <w:rPr>
          <w:b/>
        </w:rPr>
        <w:t xml:space="preserve"> ve</w:t>
      </w:r>
      <w:r>
        <w:rPr>
          <w:b/>
        </w:rPr>
        <w:t xml:space="preserve"> </w:t>
      </w:r>
      <w:r w:rsidRPr="00CB5ED7">
        <w:rPr>
          <w:b/>
        </w:rPr>
        <w:t>srovnání s</w:t>
      </w:r>
      <w:r>
        <w:rPr>
          <w:b/>
        </w:rPr>
        <w:t xml:space="preserve"> </w:t>
      </w:r>
      <w:r w:rsidRPr="00CB5ED7">
        <w:rPr>
          <w:b/>
        </w:rPr>
        <w:t>grantovým financováním</w:t>
      </w:r>
      <w:r w:rsidRPr="00CB5ED7">
        <w:t xml:space="preserve">. Kromě výše uvedeného může implementace </w:t>
      </w:r>
      <w:r>
        <w:t>IFN</w:t>
      </w:r>
      <w:r w:rsidRPr="00CB5ED7">
        <w:t xml:space="preserve"> přispět i k řadě dalších pozitivních efektů, jako např. zvýšení povědomí zahraničních investorů o ČR, </w:t>
      </w:r>
      <w:r w:rsidR="00A825E5">
        <w:t xml:space="preserve">propojení ČR na tzv. Junckerův balíček, </w:t>
      </w:r>
      <w:r w:rsidRPr="00CB5ED7">
        <w:t>rozvoj kapitálového trhu, rozvoj novýc</w:t>
      </w:r>
      <w:r w:rsidRPr="00115B6B">
        <w:t>h</w:t>
      </w:r>
      <w:r w:rsidRPr="00B56019">
        <w:t xml:space="preserve"> investičních nást</w:t>
      </w:r>
      <w:r>
        <w:t>r</w:t>
      </w:r>
      <w:r w:rsidRPr="00B56019">
        <w:t xml:space="preserve">ojů a další. </w:t>
      </w:r>
      <w:r w:rsidRPr="00D85013">
        <w:rPr>
          <w:b/>
        </w:rPr>
        <w:t>Cílem</w:t>
      </w:r>
      <w:r w:rsidRPr="00D85013">
        <w:t xml:space="preserve"> nejen</w:t>
      </w:r>
      <w:r w:rsidRPr="00CB5ED7">
        <w:t xml:space="preserve"> </w:t>
      </w:r>
      <w:r>
        <w:rPr>
          <w:b/>
        </w:rPr>
        <w:t>MMR</w:t>
      </w:r>
      <w:r w:rsidRPr="00CB5ED7">
        <w:t xml:space="preserve">, ale ČR obecně, by tak měla být </w:t>
      </w:r>
      <w:r w:rsidRPr="00CB5ED7">
        <w:rPr>
          <w:b/>
        </w:rPr>
        <w:t>snaha o</w:t>
      </w:r>
      <w:r>
        <w:rPr>
          <w:b/>
        </w:rPr>
        <w:t xml:space="preserve"> </w:t>
      </w:r>
      <w:r w:rsidRPr="00CB5ED7">
        <w:rPr>
          <w:b/>
        </w:rPr>
        <w:t xml:space="preserve">maximalizaci využití </w:t>
      </w:r>
      <w:r>
        <w:rPr>
          <w:b/>
        </w:rPr>
        <w:t>IFN</w:t>
      </w:r>
      <w:r w:rsidRPr="00CB5ED7">
        <w:rPr>
          <w:b/>
        </w:rPr>
        <w:t xml:space="preserve"> v</w:t>
      </w:r>
      <w:r>
        <w:rPr>
          <w:b/>
        </w:rPr>
        <w:t xml:space="preserve"> </w:t>
      </w:r>
      <w:r w:rsidRPr="00CB5ED7">
        <w:rPr>
          <w:b/>
        </w:rPr>
        <w:t>rámci nového programového období</w:t>
      </w:r>
      <w:r w:rsidRPr="00CB5ED7">
        <w:t>, a to kromě jiného i s</w:t>
      </w:r>
      <w:r>
        <w:t xml:space="preserve"> </w:t>
      </w:r>
      <w:r w:rsidRPr="00CB5ED7">
        <w:t>ohledem na</w:t>
      </w:r>
      <w:r>
        <w:t xml:space="preserve"> </w:t>
      </w:r>
      <w:r w:rsidRPr="00CB5ED7">
        <w:t xml:space="preserve">skutečnost, že </w:t>
      </w:r>
      <w:r w:rsidRPr="00CB5ED7">
        <w:rPr>
          <w:b/>
        </w:rPr>
        <w:t>celková alokace prostředků z</w:t>
      </w:r>
      <w:r>
        <w:rPr>
          <w:b/>
        </w:rPr>
        <w:t xml:space="preserve"> </w:t>
      </w:r>
      <w:r w:rsidRPr="00CB5ED7">
        <w:rPr>
          <w:b/>
        </w:rPr>
        <w:t>fondů EU bude v</w:t>
      </w:r>
      <w:r>
        <w:rPr>
          <w:b/>
        </w:rPr>
        <w:t xml:space="preserve"> </w:t>
      </w:r>
      <w:r w:rsidRPr="00CB5ED7">
        <w:rPr>
          <w:b/>
        </w:rPr>
        <w:t xml:space="preserve">dalších programových obdobích </w:t>
      </w:r>
      <w:r>
        <w:rPr>
          <w:b/>
        </w:rPr>
        <w:t xml:space="preserve">pravděpodobně </w:t>
      </w:r>
      <w:r w:rsidRPr="00CB5ED7">
        <w:rPr>
          <w:b/>
        </w:rPr>
        <w:t>klesat.</w:t>
      </w:r>
    </w:p>
    <w:p w:rsidR="00DA4E52" w:rsidRPr="00492465" w:rsidRDefault="00DA4E52" w:rsidP="00DA4E52">
      <w:pPr>
        <w:pStyle w:val="CaptionIntroductionparagraph"/>
        <w:sectPr w:rsidR="00DA4E52" w:rsidRPr="00492465" w:rsidSect="009F4CD7">
          <w:headerReference w:type="default" r:id="rId18"/>
          <w:pgSz w:w="11906" w:h="16838" w:code="9"/>
          <w:pgMar w:top="1418" w:right="1418" w:bottom="1418" w:left="1418" w:header="709" w:footer="709" w:gutter="0"/>
          <w:paperSrc w:first="15" w:other="15"/>
          <w:cols w:space="708"/>
          <w:docGrid w:linePitch="360"/>
        </w:sectPr>
      </w:pPr>
    </w:p>
    <w:p w:rsidR="00DA4E52" w:rsidRDefault="003E12DB" w:rsidP="00DA4E52">
      <w:pPr>
        <w:pStyle w:val="Nadpis1"/>
      </w:pPr>
      <w:bookmarkStart w:id="32" w:name="_Toc397701290"/>
      <w:bookmarkStart w:id="33" w:name="_Toc401150107"/>
      <w:bookmarkStart w:id="34" w:name="_Toc409797481"/>
      <w:bookmarkStart w:id="35" w:name="_Toc418767139"/>
      <w:r>
        <w:lastRenderedPageBreak/>
        <w:t xml:space="preserve">Blok A - </w:t>
      </w:r>
      <w:r w:rsidR="00DA4E52">
        <w:t>Mapování tržních charakteristik</w:t>
      </w:r>
      <w:bookmarkEnd w:id="32"/>
      <w:bookmarkEnd w:id="33"/>
      <w:bookmarkEnd w:id="34"/>
      <w:bookmarkEnd w:id="35"/>
    </w:p>
    <w:p w:rsidR="00DA4E52" w:rsidRPr="00984472" w:rsidRDefault="00DA4E52" w:rsidP="00460219">
      <w:pPr>
        <w:rPr>
          <w:rFonts w:asciiTheme="majorHAnsi" w:hAnsiTheme="majorHAnsi" w:cstheme="majorHAnsi"/>
        </w:rPr>
      </w:pPr>
      <w:r>
        <w:t>V následující kapitole jsou shrnuty závěry k okruhům 1-3 a okruhu 5 dle zadání Projektu, jak bylo potvrzeno v</w:t>
      </w:r>
      <w:r w:rsidR="00460219">
        <w:t xml:space="preserve">e Vstupní zprávě, zabývající se </w:t>
      </w:r>
      <w:bookmarkStart w:id="36" w:name="_Toc397701291"/>
      <w:bookmarkStart w:id="37" w:name="_Toc400570379"/>
      <w:bookmarkStart w:id="38" w:name="_Toc401150108"/>
      <w:r w:rsidR="00460219" w:rsidRPr="00460219">
        <w:rPr>
          <w:b/>
        </w:rPr>
        <w:t>a</w:t>
      </w:r>
      <w:r>
        <w:rPr>
          <w:rFonts w:asciiTheme="majorHAnsi" w:hAnsiTheme="majorHAnsi" w:cstheme="majorHAnsi"/>
          <w:b/>
          <w:spacing w:val="-2"/>
        </w:rPr>
        <w:t>nalýzou</w:t>
      </w:r>
      <w:r w:rsidRPr="00F30F8E">
        <w:rPr>
          <w:rFonts w:asciiTheme="majorHAnsi" w:hAnsiTheme="majorHAnsi" w:cstheme="majorHAnsi"/>
          <w:b/>
          <w:spacing w:val="-2"/>
        </w:rPr>
        <w:t xml:space="preserve"> selhání trhu, neoptimálních investičních situací, investičních potřeb</w:t>
      </w:r>
      <w:r w:rsidRPr="00460219">
        <w:rPr>
          <w:rFonts w:asciiTheme="majorHAnsi" w:hAnsiTheme="majorHAnsi" w:cstheme="majorHAnsi"/>
          <w:b/>
          <w:spacing w:val="-2"/>
        </w:rPr>
        <w:t>;</w:t>
      </w:r>
      <w:r w:rsidR="00460219" w:rsidRPr="00460219">
        <w:rPr>
          <w:rFonts w:asciiTheme="majorHAnsi" w:hAnsiTheme="majorHAnsi" w:cstheme="majorHAnsi"/>
          <w:b/>
          <w:spacing w:val="-2"/>
        </w:rPr>
        <w:t xml:space="preserve"> p</w:t>
      </w:r>
      <w:r w:rsidRPr="00984472">
        <w:rPr>
          <w:rFonts w:asciiTheme="majorHAnsi" w:hAnsiTheme="majorHAnsi" w:cstheme="majorHAnsi"/>
          <w:b/>
          <w:spacing w:val="-2"/>
        </w:rPr>
        <w:t>osouzení</w:t>
      </w:r>
      <w:r>
        <w:rPr>
          <w:rFonts w:asciiTheme="majorHAnsi" w:hAnsiTheme="majorHAnsi" w:cstheme="majorHAnsi"/>
          <w:b/>
          <w:spacing w:val="-2"/>
        </w:rPr>
        <w:t>m</w:t>
      </w:r>
      <w:r w:rsidRPr="00984472">
        <w:rPr>
          <w:rFonts w:asciiTheme="majorHAnsi" w:hAnsiTheme="majorHAnsi" w:cstheme="majorHAnsi"/>
          <w:b/>
          <w:spacing w:val="-2"/>
        </w:rPr>
        <w:t xml:space="preserve"> přidané hodnoty finančních </w:t>
      </w:r>
      <w:r w:rsidRPr="00460219">
        <w:rPr>
          <w:rFonts w:asciiTheme="majorHAnsi" w:hAnsiTheme="majorHAnsi" w:cstheme="majorHAnsi"/>
          <w:b/>
          <w:spacing w:val="-2"/>
        </w:rPr>
        <w:t>nástrojů</w:t>
      </w:r>
      <w:r w:rsidRPr="00460219">
        <w:rPr>
          <w:rFonts w:asciiTheme="majorHAnsi" w:hAnsiTheme="majorHAnsi" w:cstheme="majorHAnsi"/>
          <w:b/>
          <w:spacing w:val="-3"/>
        </w:rPr>
        <w:t>;</w:t>
      </w:r>
      <w:r w:rsidR="00460219" w:rsidRPr="00460219">
        <w:rPr>
          <w:rFonts w:asciiTheme="majorHAnsi" w:hAnsiTheme="majorHAnsi" w:cstheme="majorHAnsi"/>
          <w:b/>
          <w:spacing w:val="-3"/>
        </w:rPr>
        <w:t xml:space="preserve"> o</w:t>
      </w:r>
      <w:r w:rsidRPr="00460219">
        <w:rPr>
          <w:rFonts w:asciiTheme="majorHAnsi" w:hAnsiTheme="majorHAnsi" w:cstheme="majorHAnsi"/>
          <w:b/>
          <w:spacing w:val="-4"/>
        </w:rPr>
        <w:t>dhadem</w:t>
      </w:r>
      <w:r w:rsidRPr="0095433A">
        <w:rPr>
          <w:rFonts w:asciiTheme="majorHAnsi" w:hAnsiTheme="majorHAnsi" w:cstheme="majorHAnsi"/>
          <w:b/>
          <w:spacing w:val="-4"/>
        </w:rPr>
        <w:t xml:space="preserve"> dodatečných veřejných a soukromých </w:t>
      </w:r>
      <w:r w:rsidRPr="00460219">
        <w:rPr>
          <w:rFonts w:asciiTheme="majorHAnsi" w:hAnsiTheme="majorHAnsi" w:cstheme="majorHAnsi"/>
          <w:b/>
          <w:spacing w:val="-4"/>
        </w:rPr>
        <w:t>zdrojů</w:t>
      </w:r>
      <w:r w:rsidR="00460219" w:rsidRPr="00460219">
        <w:rPr>
          <w:rFonts w:asciiTheme="majorHAnsi" w:hAnsiTheme="majorHAnsi" w:cstheme="majorHAnsi"/>
          <w:b/>
          <w:spacing w:val="-4"/>
        </w:rPr>
        <w:t xml:space="preserve"> a s</w:t>
      </w:r>
      <w:r w:rsidRPr="00460219">
        <w:rPr>
          <w:rFonts w:asciiTheme="majorHAnsi" w:hAnsiTheme="majorHAnsi" w:cstheme="majorHAnsi"/>
          <w:b/>
        </w:rPr>
        <w:t>tručným</w:t>
      </w:r>
      <w:r w:rsidRPr="00984472">
        <w:rPr>
          <w:rFonts w:asciiTheme="majorHAnsi" w:hAnsiTheme="majorHAnsi" w:cstheme="majorHAnsi"/>
          <w:b/>
        </w:rPr>
        <w:t xml:space="preserve"> přehled</w:t>
      </w:r>
      <w:r>
        <w:rPr>
          <w:rFonts w:asciiTheme="majorHAnsi" w:hAnsiTheme="majorHAnsi" w:cstheme="majorHAnsi"/>
          <w:b/>
        </w:rPr>
        <w:t>em</w:t>
      </w:r>
      <w:r w:rsidRPr="00984472">
        <w:rPr>
          <w:rFonts w:asciiTheme="majorHAnsi" w:hAnsiTheme="majorHAnsi" w:cstheme="majorHAnsi"/>
          <w:b/>
        </w:rPr>
        <w:t xml:space="preserve"> dosavadních zkušeností s finančními nástroji</w:t>
      </w:r>
      <w:r w:rsidRPr="00984472">
        <w:rPr>
          <w:rFonts w:asciiTheme="majorHAnsi" w:hAnsiTheme="majorHAnsi" w:cstheme="majorHAnsi"/>
          <w:spacing w:val="-2"/>
        </w:rPr>
        <w:t>.</w:t>
      </w:r>
    </w:p>
    <w:p w:rsidR="00DA4E52" w:rsidRDefault="00DA4E52" w:rsidP="00DA4E52">
      <w:pPr>
        <w:pStyle w:val="Nadpis2"/>
      </w:pPr>
      <w:bookmarkStart w:id="39" w:name="_Toc409797482"/>
      <w:bookmarkStart w:id="40" w:name="_Toc418767140"/>
      <w:r>
        <w:t xml:space="preserve">Pre-screening oblastí podpory vhodných pro zapojení </w:t>
      </w:r>
      <w:bookmarkEnd w:id="36"/>
      <w:r>
        <w:t>IFN</w:t>
      </w:r>
      <w:bookmarkEnd w:id="37"/>
      <w:bookmarkEnd w:id="38"/>
      <w:bookmarkEnd w:id="39"/>
      <w:bookmarkEnd w:id="40"/>
    </w:p>
    <w:p w:rsidR="00460219" w:rsidRDefault="00DA4E52" w:rsidP="00DA4E52">
      <w:r>
        <w:t>Na základě programového dokumentu IROP bylo dodavatelem provedeno vstupní posouzení jednotlivých oblastí podpory, aby bylo z dalších kroků vyloučeno mapování oblastí, které nemají vhodné parametry pro možnost využití IFN.</w:t>
      </w:r>
      <w:r w:rsidR="00460219">
        <w:t xml:space="preserve"> </w:t>
      </w:r>
      <w:r>
        <w:t xml:space="preserve">Ke vstupnímu posouzení byl sestaven pre-screeningový dotazník, který obsahuje sedm atributů, které jsou obecně dobrou praxí považovány za klíčové při rámcovém posuzování potenciálu využití IFN. </w:t>
      </w:r>
    </w:p>
    <w:p w:rsidR="00460219" w:rsidRDefault="00460219" w:rsidP="00460219">
      <w:pPr>
        <w:jc w:val="center"/>
      </w:pPr>
      <w:r>
        <w:rPr>
          <w:noProof/>
          <w:lang w:eastAsia="cs-CZ"/>
        </w:rPr>
        <w:drawing>
          <wp:inline distT="0" distB="0" distL="0" distR="0" wp14:anchorId="5DDAD655" wp14:editId="2F5D7397">
            <wp:extent cx="6901132" cy="27676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1918" cy="2776025"/>
                    </a:xfrm>
                    <a:prstGeom prst="rect">
                      <a:avLst/>
                    </a:prstGeom>
                    <a:noFill/>
                  </pic:spPr>
                </pic:pic>
              </a:graphicData>
            </a:graphic>
          </wp:inline>
        </w:drawing>
      </w:r>
    </w:p>
    <w:p w:rsidR="00460219" w:rsidRDefault="00460219" w:rsidP="00460219">
      <w:pPr>
        <w:pStyle w:val="Titulek"/>
        <w:jc w:val="center"/>
      </w:pPr>
      <w:bookmarkStart w:id="41" w:name="_Toc417655515"/>
      <w:r>
        <w:t xml:space="preserve">Obrázek </w:t>
      </w:r>
      <w:r>
        <w:fldChar w:fldCharType="begin"/>
      </w:r>
      <w:r>
        <w:instrText xml:space="preserve"> SEQ Obrázek \* ARABIC </w:instrText>
      </w:r>
      <w:r>
        <w:fldChar w:fldCharType="separate"/>
      </w:r>
      <w:r w:rsidR="00186A76">
        <w:rPr>
          <w:noProof/>
        </w:rPr>
        <w:t>1</w:t>
      </w:r>
      <w:r>
        <w:fldChar w:fldCharType="end"/>
      </w:r>
      <w:r>
        <w:t>: Postup posuzování cílení IROP s logikou rozčlenění projektů na dotační, tržní a vhodné pro využití finančních nástrojů</w:t>
      </w:r>
      <w:bookmarkEnd w:id="41"/>
    </w:p>
    <w:p w:rsidR="00460219" w:rsidRDefault="00B27F59" w:rsidP="00460219">
      <w:r>
        <w:lastRenderedPageBreak/>
        <w:t>Cílem pre</w:t>
      </w:r>
      <w:r w:rsidR="00501419">
        <w:t>-</w:t>
      </w:r>
      <w:r>
        <w:t xml:space="preserve">screeningového hodnocení bylo nalézt specifické cíle či dílčí oblasti podpory, které vykazujíc charakteristiky vhodné pro zapojení finančního nástroje, jak je popisuje schéma výše. </w:t>
      </w:r>
      <w:r w:rsidR="00460219">
        <w:t>U každého atributu</w:t>
      </w:r>
      <w:r>
        <w:t xml:space="preserve"> šetření</w:t>
      </w:r>
      <w:r w:rsidR="00460219">
        <w:t xml:space="preserve"> bylo přisouzeno rozmezí hodnot 0-5 a jejich proporční váha v rozmezí 0-1 s ohledem na důležitost atributu, formát hodnocení je přiblížen v rámci legendy přímo v hodnotícím sešitu (příloha č. 1 této zprávy). Tato kapitola rekapituluje výsledky hodnocení týmem dodavatele, vybraných zástupců jednotlivých gestorů MMR a hodnocení zástupců o</w:t>
      </w:r>
      <w:r w:rsidR="00460219" w:rsidRPr="00C90444">
        <w:t>dbor</w:t>
      </w:r>
      <w:r w:rsidR="00460219">
        <w:t>u</w:t>
      </w:r>
      <w:r w:rsidR="00460219" w:rsidRPr="00C90444">
        <w:t xml:space="preserve"> řízení operačních programů</w:t>
      </w:r>
      <w:r w:rsidR="00460219">
        <w:t xml:space="preserve"> MMR. Závěry hodnocení jsou sumarizovány v tabulkách níže.</w:t>
      </w:r>
    </w:p>
    <w:p w:rsidR="00DA4E52" w:rsidRDefault="00DA4E52" w:rsidP="00DA4E52">
      <w:r>
        <w:t>Názvy podporovaných aktivit jsou uvedeny dle podoby programového dokumentu, verze k 15.12.2014.</w:t>
      </w:r>
    </w:p>
    <w:tbl>
      <w:tblPr>
        <w:tblW w:w="14040" w:type="dxa"/>
        <w:tblInd w:w="55" w:type="dxa"/>
        <w:tblLayout w:type="fixed"/>
        <w:tblCellMar>
          <w:left w:w="70" w:type="dxa"/>
          <w:right w:w="70" w:type="dxa"/>
        </w:tblCellMar>
        <w:tblLook w:val="04A0" w:firstRow="1" w:lastRow="0" w:firstColumn="1" w:lastColumn="0" w:noHBand="0" w:noVBand="1"/>
      </w:tblPr>
      <w:tblGrid>
        <w:gridCol w:w="400"/>
        <w:gridCol w:w="1175"/>
        <w:gridCol w:w="3827"/>
        <w:gridCol w:w="8080"/>
        <w:gridCol w:w="558"/>
      </w:tblGrid>
      <w:tr w:rsidR="00DA4E52" w:rsidRPr="0006774B" w:rsidTr="00B27F59">
        <w:trPr>
          <w:trHeight w:val="334"/>
        </w:trPr>
        <w:tc>
          <w:tcPr>
            <w:tcW w:w="400" w:type="dxa"/>
            <w:tcBorders>
              <w:top w:val="single" w:sz="4" w:space="0" w:color="00A1DE"/>
              <w:left w:val="single" w:sz="4" w:space="0" w:color="00A1DE"/>
              <w:bottom w:val="single" w:sz="4" w:space="0" w:color="00A1DE"/>
              <w:right w:val="single" w:sz="4" w:space="0" w:color="00A1DE"/>
            </w:tcBorders>
            <w:shd w:val="clear" w:color="000000" w:fill="DBFF88"/>
            <w:vAlign w:val="center"/>
            <w:hideMark/>
          </w:tcPr>
          <w:p w:rsidR="00DA4E52" w:rsidRPr="0006774B" w:rsidRDefault="00DA4E52" w:rsidP="00A16727">
            <w:pPr>
              <w:spacing w:after="0"/>
              <w:jc w:val="center"/>
              <w:rPr>
                <w:rFonts w:cs="Arial"/>
                <w:b/>
                <w:bCs/>
                <w:sz w:val="16"/>
                <w:szCs w:val="16"/>
                <w:lang w:eastAsia="cs-CZ"/>
              </w:rPr>
            </w:pPr>
            <w:r w:rsidRPr="0006774B">
              <w:rPr>
                <w:rFonts w:cs="Arial"/>
                <w:b/>
                <w:bCs/>
                <w:sz w:val="16"/>
                <w:szCs w:val="16"/>
                <w:lang w:eastAsia="cs-CZ"/>
              </w:rPr>
              <w:t>#</w:t>
            </w:r>
          </w:p>
        </w:tc>
        <w:tc>
          <w:tcPr>
            <w:tcW w:w="1175" w:type="dxa"/>
            <w:tcBorders>
              <w:top w:val="single" w:sz="4" w:space="0" w:color="00A1DE"/>
              <w:left w:val="nil"/>
              <w:bottom w:val="single" w:sz="4" w:space="0" w:color="00A1DE"/>
              <w:right w:val="single" w:sz="4" w:space="0" w:color="00A1DE"/>
            </w:tcBorders>
            <w:shd w:val="clear" w:color="000000" w:fill="DBFF88"/>
            <w:vAlign w:val="center"/>
            <w:hideMark/>
          </w:tcPr>
          <w:p w:rsidR="00DA4E52" w:rsidRPr="0006774B" w:rsidRDefault="00DA4E52" w:rsidP="00A16727">
            <w:pPr>
              <w:spacing w:after="0"/>
              <w:jc w:val="center"/>
              <w:rPr>
                <w:rFonts w:cs="Arial"/>
                <w:b/>
                <w:bCs/>
                <w:sz w:val="16"/>
                <w:szCs w:val="16"/>
                <w:lang w:eastAsia="cs-CZ"/>
              </w:rPr>
            </w:pPr>
            <w:r w:rsidRPr="0006774B">
              <w:rPr>
                <w:rFonts w:cs="Arial"/>
                <w:b/>
                <w:bCs/>
                <w:sz w:val="16"/>
                <w:szCs w:val="16"/>
                <w:lang w:eastAsia="cs-CZ"/>
              </w:rPr>
              <w:t>Atribut</w:t>
            </w:r>
          </w:p>
        </w:tc>
        <w:tc>
          <w:tcPr>
            <w:tcW w:w="3827" w:type="dxa"/>
            <w:tcBorders>
              <w:top w:val="single" w:sz="4" w:space="0" w:color="00A1DE"/>
              <w:left w:val="nil"/>
              <w:bottom w:val="single" w:sz="4" w:space="0" w:color="00A1DE"/>
              <w:right w:val="single" w:sz="4" w:space="0" w:color="00A1DE"/>
            </w:tcBorders>
            <w:shd w:val="clear" w:color="000000" w:fill="DBFF88"/>
            <w:vAlign w:val="center"/>
            <w:hideMark/>
          </w:tcPr>
          <w:p w:rsidR="00DA4E52" w:rsidRPr="0006774B" w:rsidRDefault="00DA4E52" w:rsidP="00A16727">
            <w:pPr>
              <w:spacing w:after="0"/>
              <w:jc w:val="center"/>
              <w:rPr>
                <w:rFonts w:cs="Arial"/>
                <w:b/>
                <w:bCs/>
                <w:sz w:val="16"/>
                <w:szCs w:val="16"/>
                <w:lang w:eastAsia="cs-CZ"/>
              </w:rPr>
            </w:pPr>
            <w:r w:rsidRPr="0006774B">
              <w:rPr>
                <w:rFonts w:cs="Arial"/>
                <w:b/>
                <w:bCs/>
                <w:sz w:val="16"/>
                <w:szCs w:val="16"/>
                <w:lang w:eastAsia="cs-CZ"/>
              </w:rPr>
              <w:t>Definice</w:t>
            </w:r>
          </w:p>
        </w:tc>
        <w:tc>
          <w:tcPr>
            <w:tcW w:w="8080" w:type="dxa"/>
            <w:tcBorders>
              <w:top w:val="single" w:sz="4" w:space="0" w:color="00A1DE"/>
              <w:left w:val="nil"/>
              <w:bottom w:val="single" w:sz="4" w:space="0" w:color="00A1DE"/>
              <w:right w:val="single" w:sz="4" w:space="0" w:color="00A1DE"/>
            </w:tcBorders>
            <w:shd w:val="clear" w:color="000000" w:fill="DBFF88"/>
            <w:vAlign w:val="center"/>
            <w:hideMark/>
          </w:tcPr>
          <w:p w:rsidR="00DA4E52" w:rsidRPr="0006774B" w:rsidRDefault="00DA4E52" w:rsidP="00A16727">
            <w:pPr>
              <w:spacing w:after="0"/>
              <w:jc w:val="center"/>
              <w:rPr>
                <w:rFonts w:cs="Arial"/>
                <w:b/>
                <w:bCs/>
                <w:sz w:val="16"/>
                <w:szCs w:val="16"/>
                <w:lang w:eastAsia="cs-CZ"/>
              </w:rPr>
            </w:pPr>
            <w:r w:rsidRPr="0006774B">
              <w:rPr>
                <w:rFonts w:cs="Arial"/>
                <w:b/>
                <w:bCs/>
                <w:sz w:val="16"/>
                <w:szCs w:val="16"/>
                <w:lang w:eastAsia="cs-CZ"/>
              </w:rPr>
              <w:t>Příklad hodnocení</w:t>
            </w:r>
          </w:p>
        </w:tc>
        <w:tc>
          <w:tcPr>
            <w:tcW w:w="558" w:type="dxa"/>
            <w:tcBorders>
              <w:top w:val="single" w:sz="4" w:space="0" w:color="00A1DE"/>
              <w:left w:val="nil"/>
              <w:bottom w:val="single" w:sz="4" w:space="0" w:color="00A1DE"/>
              <w:right w:val="single" w:sz="4" w:space="0" w:color="00A1DE"/>
            </w:tcBorders>
            <w:shd w:val="clear" w:color="000000" w:fill="DBFF88"/>
            <w:vAlign w:val="center"/>
            <w:hideMark/>
          </w:tcPr>
          <w:p w:rsidR="00DA4E52" w:rsidRPr="0006774B" w:rsidRDefault="00DA4E52" w:rsidP="00A16727">
            <w:pPr>
              <w:spacing w:after="0"/>
              <w:jc w:val="center"/>
              <w:rPr>
                <w:rFonts w:cs="Arial"/>
                <w:b/>
                <w:bCs/>
                <w:sz w:val="16"/>
                <w:szCs w:val="16"/>
                <w:lang w:eastAsia="cs-CZ"/>
              </w:rPr>
            </w:pPr>
            <w:r w:rsidRPr="0006774B">
              <w:rPr>
                <w:rFonts w:cs="Arial"/>
                <w:b/>
                <w:bCs/>
                <w:sz w:val="16"/>
                <w:szCs w:val="16"/>
                <w:lang w:eastAsia="cs-CZ"/>
              </w:rPr>
              <w:t>Váha</w:t>
            </w:r>
          </w:p>
        </w:tc>
      </w:tr>
      <w:tr w:rsidR="00DA4E52" w:rsidRPr="0006774B" w:rsidTr="00B27F59">
        <w:trPr>
          <w:trHeight w:val="1843"/>
        </w:trPr>
        <w:tc>
          <w:tcPr>
            <w:tcW w:w="400" w:type="dxa"/>
            <w:tcBorders>
              <w:top w:val="nil"/>
              <w:left w:val="single" w:sz="4" w:space="0" w:color="00A1DE"/>
              <w:bottom w:val="single" w:sz="4" w:space="0" w:color="00A1DE"/>
              <w:right w:val="single" w:sz="4" w:space="0" w:color="00A1DE"/>
            </w:tcBorders>
            <w:shd w:val="clear" w:color="000000" w:fill="FFF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P1</w:t>
            </w:r>
          </w:p>
        </w:tc>
        <w:tc>
          <w:tcPr>
            <w:tcW w:w="1175" w:type="dxa"/>
            <w:tcBorders>
              <w:top w:val="nil"/>
              <w:left w:val="nil"/>
              <w:bottom w:val="single" w:sz="4" w:space="0" w:color="00A1DE"/>
              <w:right w:val="single" w:sz="4" w:space="0" w:color="00A1DE"/>
            </w:tcBorders>
            <w:shd w:val="clear" w:color="000000" w:fill="FFF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Existence investiční mezery (Poptávka &gt; Nabídka zdrojů)</w:t>
            </w:r>
          </w:p>
        </w:tc>
        <w:tc>
          <w:tcPr>
            <w:tcW w:w="3827"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Posouzení míry potřebnosti samotné veřejné intervence, bodování na základě rámcového posouzení míry zamítnutých žádostí o dotace v období 2007-2013 (více jak dvojnásobný převis poptávky po alokaci se rovná 5 bodům v hodnocení). V případě, kdy není možné posoudit z důvodu nové aktivity nepodporované v prog. období 2007-2013 se jedná o odhad.</w:t>
            </w:r>
          </w:p>
        </w:tc>
        <w:tc>
          <w:tcPr>
            <w:tcW w:w="8080"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left"/>
              <w:rPr>
                <w:rFonts w:cs="Arial"/>
                <w:color w:val="000000"/>
                <w:sz w:val="16"/>
                <w:szCs w:val="16"/>
                <w:lang w:eastAsia="cs-CZ"/>
              </w:rPr>
            </w:pPr>
            <w:r w:rsidRPr="0006774B">
              <w:rPr>
                <w:rFonts w:cs="Arial"/>
                <w:color w:val="000000"/>
                <w:sz w:val="16"/>
                <w:szCs w:val="16"/>
                <w:lang w:eastAsia="cs-CZ"/>
              </w:rPr>
              <w:t>0 - nabídka prostředků významně převyšuje poptávku (dotační, běžná tržní), nedostatek kvalitních projektů</w:t>
            </w:r>
            <w:r w:rsidRPr="0006774B">
              <w:rPr>
                <w:rFonts w:cs="Arial"/>
                <w:color w:val="000000"/>
                <w:sz w:val="16"/>
                <w:szCs w:val="16"/>
                <w:lang w:eastAsia="cs-CZ"/>
              </w:rPr>
              <w:br/>
              <w:t>1 - tržní mechanismy dokáží plně a efektivně zabezpečit poptávku, nabídka mírně převyšuje poptávku</w:t>
            </w:r>
            <w:r w:rsidRPr="0006774B">
              <w:rPr>
                <w:rFonts w:cs="Arial"/>
                <w:color w:val="000000"/>
                <w:sz w:val="16"/>
                <w:szCs w:val="16"/>
                <w:lang w:eastAsia="cs-CZ"/>
              </w:rPr>
              <w:br/>
              <w:t>2 - trh je v rovnováze, není registrován převis poptávky po zdrojích financování</w:t>
            </w:r>
            <w:r w:rsidRPr="0006774B">
              <w:rPr>
                <w:rFonts w:cs="Arial"/>
                <w:color w:val="000000"/>
                <w:sz w:val="16"/>
                <w:szCs w:val="16"/>
                <w:lang w:eastAsia="cs-CZ"/>
              </w:rPr>
              <w:br/>
              <w:t>3 - menší počet projektů nemůže zabezpečit financování, převis poptávky po nedostupných zdrojích</w:t>
            </w:r>
            <w:r w:rsidRPr="0006774B">
              <w:rPr>
                <w:rFonts w:cs="Arial"/>
                <w:color w:val="000000"/>
                <w:sz w:val="16"/>
                <w:szCs w:val="16"/>
                <w:lang w:eastAsia="cs-CZ"/>
              </w:rPr>
              <w:br/>
              <w:t>4 - významný počet projektů nemůže zabezpečit financování, IROP významně doplňuje trh</w:t>
            </w:r>
            <w:r w:rsidRPr="0006774B">
              <w:rPr>
                <w:rFonts w:cs="Arial"/>
                <w:color w:val="000000"/>
                <w:sz w:val="16"/>
                <w:szCs w:val="16"/>
                <w:lang w:eastAsia="cs-CZ"/>
              </w:rPr>
              <w:br/>
              <w:t>5 - významný počet projektů nemůže zabezpečit financování, IROP nedokáže zabezpečit požadavky trhu</w:t>
            </w:r>
          </w:p>
        </w:tc>
        <w:tc>
          <w:tcPr>
            <w:tcW w:w="558"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center"/>
              <w:rPr>
                <w:rFonts w:cs="Arial"/>
                <w:color w:val="000000"/>
                <w:sz w:val="16"/>
                <w:szCs w:val="16"/>
                <w:lang w:eastAsia="cs-CZ"/>
              </w:rPr>
            </w:pPr>
            <w:r w:rsidRPr="0006774B">
              <w:rPr>
                <w:rFonts w:cs="Arial"/>
                <w:color w:val="000000"/>
                <w:sz w:val="16"/>
                <w:szCs w:val="16"/>
                <w:lang w:eastAsia="cs-CZ"/>
              </w:rPr>
              <w:t>1</w:t>
            </w:r>
          </w:p>
        </w:tc>
      </w:tr>
      <w:tr w:rsidR="00DA4E52" w:rsidRPr="0006774B" w:rsidTr="00B27F59">
        <w:trPr>
          <w:trHeight w:val="1840"/>
        </w:trPr>
        <w:tc>
          <w:tcPr>
            <w:tcW w:w="400" w:type="dxa"/>
            <w:tcBorders>
              <w:top w:val="nil"/>
              <w:left w:val="single" w:sz="4" w:space="0" w:color="00A1DE"/>
              <w:bottom w:val="single" w:sz="4" w:space="0" w:color="00A1DE"/>
              <w:right w:val="single" w:sz="4" w:space="0" w:color="00A1DE"/>
            </w:tcBorders>
            <w:shd w:val="clear" w:color="000000" w:fill="C4E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P2</w:t>
            </w:r>
          </w:p>
        </w:tc>
        <w:tc>
          <w:tcPr>
            <w:tcW w:w="1175" w:type="dxa"/>
            <w:tcBorders>
              <w:top w:val="nil"/>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Profitabilita projektu (kladná doba návratnosti)</w:t>
            </w:r>
          </w:p>
        </w:tc>
        <w:tc>
          <w:tcPr>
            <w:tcW w:w="3827"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Posouzení schopnosti typického projektu generovat provozní výnosy - existencí přímých příjmů projektu nebo realizací finančních úspor. Kladné body hodnocení jsou přiděleny pouze projektům, kde lze očekávat kladné roční provozní cash flow (bez započtení investice). Posuzování zohledňuje, do jaké míry má projekt potenciál být projektem ekonomicky rentabilním po dobu životnosti investice. Přímé příjmy a úspory jsou snadno a rychle vyčísleny (např. levnější vstupy do výroby, nižší spotřeba energie domu), nepřímé jsou vnějšímu pozorovateli typicky skryté a hůře se vyčíslují (kvalitnější výrobek díky nové technologii, rychlejší proces výroby, kvalitnější péče umožňující vyšší poplatek za službu, apod.).</w:t>
            </w:r>
          </w:p>
        </w:tc>
        <w:tc>
          <w:tcPr>
            <w:tcW w:w="8080"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0 - projekt nesplatí investici za dobu životnosti</w:t>
            </w:r>
            <w:r w:rsidRPr="0006774B">
              <w:rPr>
                <w:rFonts w:cs="Arial"/>
                <w:sz w:val="16"/>
                <w:szCs w:val="16"/>
                <w:lang w:eastAsia="cs-CZ"/>
              </w:rPr>
              <w:br/>
              <w:t>1 - projekt generuje především nepřímé příjmy a úspory, při jejich započtení projekt těsně (ne)splatí investici za dobu životnosti</w:t>
            </w:r>
            <w:r w:rsidRPr="0006774B">
              <w:rPr>
                <w:rFonts w:cs="Arial"/>
                <w:sz w:val="16"/>
                <w:szCs w:val="16"/>
                <w:lang w:eastAsia="cs-CZ"/>
              </w:rPr>
              <w:br/>
              <w:t>2 - projekt je přímo finančně návratný, doba návratnosti se pohybuje v oblasti 16 - 20 let</w:t>
            </w:r>
            <w:r w:rsidRPr="0006774B">
              <w:rPr>
                <w:rFonts w:cs="Arial"/>
                <w:sz w:val="16"/>
                <w:szCs w:val="16"/>
                <w:lang w:eastAsia="cs-CZ"/>
              </w:rPr>
              <w:br/>
              <w:t>3 - projekt je přímo finančně návratný, doba návratnosti se pohybuje v oblasti 11 - 15 let</w:t>
            </w:r>
            <w:r w:rsidRPr="0006774B">
              <w:rPr>
                <w:rFonts w:cs="Arial"/>
                <w:sz w:val="16"/>
                <w:szCs w:val="16"/>
                <w:lang w:eastAsia="cs-CZ"/>
              </w:rPr>
              <w:br/>
              <w:t>4 - projekt je přímo finančně návratný, doba návratnosti se pohybuje v oblasti 6 - 10 let</w:t>
            </w:r>
            <w:r w:rsidRPr="0006774B">
              <w:rPr>
                <w:rFonts w:cs="Arial"/>
                <w:sz w:val="16"/>
                <w:szCs w:val="16"/>
                <w:lang w:eastAsia="cs-CZ"/>
              </w:rPr>
              <w:br/>
              <w:t>5 - projekt je přímo finančně návratný, doba návratnosti se pohybuje v oblasti 1 - 5 let</w:t>
            </w:r>
          </w:p>
        </w:tc>
        <w:tc>
          <w:tcPr>
            <w:tcW w:w="558"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1</w:t>
            </w:r>
          </w:p>
        </w:tc>
      </w:tr>
      <w:tr w:rsidR="00DA4E52" w:rsidRPr="0006774B" w:rsidTr="00B27F59">
        <w:trPr>
          <w:trHeight w:val="1129"/>
        </w:trPr>
        <w:tc>
          <w:tcPr>
            <w:tcW w:w="400" w:type="dxa"/>
            <w:tcBorders>
              <w:top w:val="nil"/>
              <w:left w:val="single" w:sz="4" w:space="0" w:color="00A1DE"/>
              <w:bottom w:val="nil"/>
              <w:right w:val="single" w:sz="4" w:space="0" w:color="00A1DE"/>
            </w:tcBorders>
            <w:shd w:val="clear" w:color="000000" w:fill="FFFFFF"/>
            <w:vAlign w:val="center"/>
            <w:hideMark/>
          </w:tcPr>
          <w:p w:rsidR="00DA4E52" w:rsidRPr="0006774B" w:rsidRDefault="00DA4E52" w:rsidP="00A16727">
            <w:pPr>
              <w:spacing w:after="0"/>
              <w:jc w:val="center"/>
              <w:rPr>
                <w:rFonts w:cs="Arial"/>
                <w:color w:val="000000"/>
                <w:sz w:val="16"/>
                <w:szCs w:val="16"/>
                <w:lang w:eastAsia="cs-CZ"/>
              </w:rPr>
            </w:pPr>
            <w:r w:rsidRPr="0006774B">
              <w:rPr>
                <w:rFonts w:cs="Arial"/>
                <w:color w:val="000000"/>
                <w:sz w:val="16"/>
                <w:szCs w:val="16"/>
                <w:lang w:eastAsia="cs-CZ"/>
              </w:rPr>
              <w:t>P3</w:t>
            </w:r>
          </w:p>
        </w:tc>
        <w:tc>
          <w:tcPr>
            <w:tcW w:w="1175"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left"/>
              <w:rPr>
                <w:rFonts w:cs="Arial"/>
                <w:color w:val="000000"/>
                <w:sz w:val="16"/>
                <w:szCs w:val="16"/>
                <w:lang w:eastAsia="cs-CZ"/>
              </w:rPr>
            </w:pPr>
            <w:r w:rsidRPr="0006774B">
              <w:rPr>
                <w:rFonts w:cs="Arial"/>
                <w:color w:val="000000"/>
                <w:sz w:val="16"/>
                <w:szCs w:val="16"/>
                <w:lang w:eastAsia="cs-CZ"/>
              </w:rPr>
              <w:t>Velikost investice - s ohledem na transakční náklady</w:t>
            </w:r>
          </w:p>
        </w:tc>
        <w:tc>
          <w:tcPr>
            <w:tcW w:w="3827"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left"/>
              <w:rPr>
                <w:rFonts w:cs="Arial"/>
                <w:color w:val="000000"/>
                <w:sz w:val="16"/>
                <w:szCs w:val="16"/>
                <w:lang w:eastAsia="cs-CZ"/>
              </w:rPr>
            </w:pPr>
            <w:r w:rsidRPr="0006774B">
              <w:rPr>
                <w:rFonts w:cs="Arial"/>
                <w:color w:val="000000"/>
                <w:sz w:val="16"/>
                <w:szCs w:val="16"/>
                <w:lang w:eastAsia="cs-CZ"/>
              </w:rPr>
              <w:t>Posuzování zohledňuje dobrou praxi, kdy se projekty s rozpočtem nižším než 0,5</w:t>
            </w:r>
            <w:r w:rsidRPr="0006774B">
              <w:rPr>
                <w:rFonts w:cs="Arial"/>
                <w:sz w:val="16"/>
                <w:szCs w:val="16"/>
                <w:lang w:eastAsia="cs-CZ"/>
              </w:rPr>
              <w:t xml:space="preserve"> mil. Kč</w:t>
            </w:r>
            <w:r w:rsidRPr="0006774B">
              <w:rPr>
                <w:rFonts w:cs="Arial"/>
                <w:color w:val="000000"/>
                <w:sz w:val="16"/>
                <w:szCs w:val="16"/>
                <w:lang w:eastAsia="cs-CZ"/>
              </w:rPr>
              <w:t xml:space="preserve"> považují za méně vhodné pro podporu inovativními finančními nástroji (dále také "IFN"), a to z důvodu nízké efektivity ve vazbě na spojené administrativní náklady (kapacity řídícího orgánu, management fees spr</w:t>
            </w:r>
            <w:r w:rsidRPr="0006774B">
              <w:rPr>
                <w:rFonts w:cs="Arial"/>
                <w:sz w:val="16"/>
                <w:szCs w:val="16"/>
                <w:lang w:eastAsia="cs-CZ"/>
              </w:rPr>
              <w:t>ávci I</w:t>
            </w:r>
            <w:r w:rsidRPr="0006774B">
              <w:rPr>
                <w:rFonts w:cs="Arial"/>
                <w:color w:val="000000"/>
                <w:sz w:val="16"/>
                <w:szCs w:val="16"/>
                <w:lang w:eastAsia="cs-CZ"/>
              </w:rPr>
              <w:t>FN, apod.).</w:t>
            </w:r>
          </w:p>
        </w:tc>
        <w:tc>
          <w:tcPr>
            <w:tcW w:w="8080"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left"/>
              <w:rPr>
                <w:rFonts w:cs="Arial"/>
                <w:color w:val="000000"/>
                <w:sz w:val="16"/>
                <w:szCs w:val="16"/>
                <w:lang w:eastAsia="cs-CZ"/>
              </w:rPr>
            </w:pPr>
            <w:r w:rsidRPr="0006774B">
              <w:rPr>
                <w:rFonts w:cs="Arial"/>
                <w:color w:val="000000"/>
                <w:sz w:val="16"/>
                <w:szCs w:val="16"/>
                <w:lang w:eastAsia="cs-CZ"/>
              </w:rPr>
              <w:t>0 - investice nedosahuje výše 0,5 mil. Kč</w:t>
            </w:r>
            <w:r w:rsidRPr="0006774B">
              <w:rPr>
                <w:rFonts w:cs="Arial"/>
                <w:color w:val="000000"/>
                <w:sz w:val="16"/>
                <w:szCs w:val="16"/>
                <w:lang w:eastAsia="cs-CZ"/>
              </w:rPr>
              <w:br/>
              <w:t>1 - investice spadá do pásma 0,6 - 1 mil. Kč</w:t>
            </w:r>
            <w:r w:rsidRPr="0006774B">
              <w:rPr>
                <w:rFonts w:cs="Arial"/>
                <w:color w:val="000000"/>
                <w:sz w:val="16"/>
                <w:szCs w:val="16"/>
                <w:lang w:eastAsia="cs-CZ"/>
              </w:rPr>
              <w:br/>
              <w:t>2 - investice spadá do pásma 1,1 - 3 mil. Kč</w:t>
            </w:r>
            <w:r w:rsidRPr="0006774B">
              <w:rPr>
                <w:rFonts w:cs="Arial"/>
                <w:color w:val="000000"/>
                <w:sz w:val="16"/>
                <w:szCs w:val="16"/>
                <w:lang w:eastAsia="cs-CZ"/>
              </w:rPr>
              <w:br/>
              <w:t>3 - investice spadá do pásma 3,1 - 6 mil. Kč</w:t>
            </w:r>
            <w:r w:rsidRPr="0006774B">
              <w:rPr>
                <w:rFonts w:cs="Arial"/>
                <w:color w:val="000000"/>
                <w:sz w:val="16"/>
                <w:szCs w:val="16"/>
                <w:lang w:eastAsia="cs-CZ"/>
              </w:rPr>
              <w:br/>
              <w:t>4 - investice spadá do pásma 6,1 - 9,9 mil. Kč</w:t>
            </w:r>
            <w:r w:rsidRPr="0006774B">
              <w:rPr>
                <w:rFonts w:cs="Arial"/>
                <w:color w:val="000000"/>
                <w:sz w:val="16"/>
                <w:szCs w:val="16"/>
                <w:lang w:eastAsia="cs-CZ"/>
              </w:rPr>
              <w:br/>
              <w:t>5 - projekt přesahuje hranici investičních nákladů 10 mil. Kč</w:t>
            </w:r>
          </w:p>
        </w:tc>
        <w:tc>
          <w:tcPr>
            <w:tcW w:w="558"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center"/>
              <w:rPr>
                <w:rFonts w:cs="Arial"/>
                <w:color w:val="000000"/>
                <w:sz w:val="16"/>
                <w:szCs w:val="16"/>
                <w:lang w:eastAsia="cs-CZ"/>
              </w:rPr>
            </w:pPr>
            <w:r w:rsidRPr="0006774B">
              <w:rPr>
                <w:rFonts w:cs="Arial"/>
                <w:color w:val="000000"/>
                <w:sz w:val="16"/>
                <w:szCs w:val="16"/>
                <w:lang w:eastAsia="cs-CZ"/>
              </w:rPr>
              <w:t>1</w:t>
            </w:r>
          </w:p>
        </w:tc>
      </w:tr>
      <w:tr w:rsidR="00DA4E52" w:rsidRPr="0006774B" w:rsidTr="00B27F59">
        <w:trPr>
          <w:trHeight w:val="1118"/>
        </w:trPr>
        <w:tc>
          <w:tcPr>
            <w:tcW w:w="400" w:type="dxa"/>
            <w:tcBorders>
              <w:top w:val="single" w:sz="4" w:space="0" w:color="00A1DE"/>
              <w:left w:val="single" w:sz="4" w:space="0" w:color="00A1DE"/>
              <w:bottom w:val="single" w:sz="4" w:space="0" w:color="00A1DE"/>
              <w:right w:val="single" w:sz="4" w:space="0" w:color="00A1DE"/>
            </w:tcBorders>
            <w:shd w:val="clear" w:color="000000" w:fill="C4E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lastRenderedPageBreak/>
              <w:t>P4</w:t>
            </w:r>
          </w:p>
        </w:tc>
        <w:tc>
          <w:tcPr>
            <w:tcW w:w="1175"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Výše alokace specifického cíle</w:t>
            </w:r>
            <w:r>
              <w:rPr>
                <w:rStyle w:val="Znakapoznpodarou"/>
                <w:rFonts w:cs="Arial"/>
                <w:szCs w:val="16"/>
                <w:lang w:eastAsia="cs-CZ"/>
              </w:rPr>
              <w:footnoteReference w:id="2"/>
            </w:r>
          </w:p>
        </w:tc>
        <w:tc>
          <w:tcPr>
            <w:tcW w:w="3827"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Posouzení dodržení principu materiality - návrh zapojení IFN tak, aby zřízení potřebných implementačních struktur a zabezpečení kapacit bylo efektivní vzhledem k proporci alokace vyčleněné na sledovanou oblast podpory.</w:t>
            </w:r>
          </w:p>
        </w:tc>
        <w:tc>
          <w:tcPr>
            <w:tcW w:w="8080"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0 - specifický cíl má vyčleněnu alokaci, která nedosahuje výše 1 mld. Kč</w:t>
            </w:r>
            <w:r w:rsidRPr="0006774B">
              <w:rPr>
                <w:rFonts w:cs="Arial"/>
                <w:sz w:val="16"/>
                <w:szCs w:val="16"/>
                <w:lang w:eastAsia="cs-CZ"/>
              </w:rPr>
              <w:br/>
              <w:t>1 - specifický cíl má vyčleněnu alokaci, která spadá do pásma 1,1 - 2 mld. Kč</w:t>
            </w:r>
            <w:r w:rsidRPr="0006774B">
              <w:rPr>
                <w:rFonts w:cs="Arial"/>
                <w:sz w:val="16"/>
                <w:szCs w:val="16"/>
                <w:lang w:eastAsia="cs-CZ"/>
              </w:rPr>
              <w:br/>
              <w:t>2 - specifický cíl má vyčleněnu alokaci, která spadá do pásma 2,1 - 3 mld. Kč</w:t>
            </w:r>
            <w:r w:rsidRPr="0006774B">
              <w:rPr>
                <w:rFonts w:cs="Arial"/>
                <w:sz w:val="16"/>
                <w:szCs w:val="16"/>
                <w:lang w:eastAsia="cs-CZ"/>
              </w:rPr>
              <w:br/>
              <w:t>3 - specifický cíl má vyčleněnu alokaci, která spadá do pásma 3,1 - 4 mld. Kč</w:t>
            </w:r>
            <w:r w:rsidRPr="0006774B">
              <w:rPr>
                <w:rFonts w:cs="Arial"/>
                <w:sz w:val="16"/>
                <w:szCs w:val="16"/>
                <w:lang w:eastAsia="cs-CZ"/>
              </w:rPr>
              <w:br/>
              <w:t>4 - specifický cíl má vyčleněnu alokaci, která spadá do pásma 4,1 - 5 mld. Kč</w:t>
            </w:r>
            <w:r w:rsidRPr="0006774B">
              <w:rPr>
                <w:rFonts w:cs="Arial"/>
                <w:sz w:val="16"/>
                <w:szCs w:val="16"/>
                <w:lang w:eastAsia="cs-CZ"/>
              </w:rPr>
              <w:br/>
              <w:t>5 - specifický cíl má vyčleněnu alokaci, která přesahuje výši 5,1 mld. Kč</w:t>
            </w:r>
          </w:p>
        </w:tc>
        <w:tc>
          <w:tcPr>
            <w:tcW w:w="558"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1</w:t>
            </w:r>
          </w:p>
        </w:tc>
      </w:tr>
      <w:tr w:rsidR="00DA4E52" w:rsidRPr="0006774B" w:rsidTr="00B27F59">
        <w:trPr>
          <w:trHeight w:val="192"/>
        </w:trPr>
        <w:tc>
          <w:tcPr>
            <w:tcW w:w="400" w:type="dxa"/>
            <w:tcBorders>
              <w:top w:val="nil"/>
              <w:left w:val="single" w:sz="4" w:space="0" w:color="00A1DE"/>
              <w:bottom w:val="nil"/>
              <w:right w:val="single" w:sz="4" w:space="0" w:color="00A1DE"/>
            </w:tcBorders>
            <w:shd w:val="clear" w:color="000000" w:fill="FFFFFF"/>
            <w:vAlign w:val="center"/>
            <w:hideMark/>
          </w:tcPr>
          <w:p w:rsidR="00DA4E52" w:rsidRPr="0006774B" w:rsidRDefault="00DA4E52" w:rsidP="00A16727">
            <w:pPr>
              <w:spacing w:after="0"/>
              <w:jc w:val="center"/>
              <w:rPr>
                <w:rFonts w:cs="Arial"/>
                <w:color w:val="000000"/>
                <w:sz w:val="16"/>
                <w:szCs w:val="16"/>
                <w:lang w:eastAsia="cs-CZ"/>
              </w:rPr>
            </w:pPr>
            <w:r w:rsidRPr="0006774B">
              <w:rPr>
                <w:rFonts w:cs="Arial"/>
                <w:color w:val="000000"/>
                <w:sz w:val="16"/>
                <w:szCs w:val="16"/>
                <w:lang w:eastAsia="cs-CZ"/>
              </w:rPr>
              <w:t>P5</w:t>
            </w:r>
          </w:p>
        </w:tc>
        <w:tc>
          <w:tcPr>
            <w:tcW w:w="1175"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left"/>
              <w:rPr>
                <w:rFonts w:cs="Arial"/>
                <w:color w:val="000000"/>
                <w:sz w:val="16"/>
                <w:szCs w:val="16"/>
                <w:lang w:eastAsia="cs-CZ"/>
              </w:rPr>
            </w:pPr>
            <w:r w:rsidRPr="0006774B">
              <w:rPr>
                <w:rFonts w:cs="Arial"/>
                <w:color w:val="000000"/>
                <w:sz w:val="16"/>
                <w:szCs w:val="16"/>
                <w:lang w:eastAsia="cs-CZ"/>
              </w:rPr>
              <w:t>Schopnost zabezpečit spolufinancování, právní forma, finanční zdraví, historie příjemce</w:t>
            </w:r>
          </w:p>
        </w:tc>
        <w:tc>
          <w:tcPr>
            <w:tcW w:w="3827"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left"/>
              <w:rPr>
                <w:rFonts w:cs="Arial"/>
                <w:color w:val="000000"/>
                <w:sz w:val="16"/>
                <w:szCs w:val="16"/>
                <w:lang w:eastAsia="cs-CZ"/>
              </w:rPr>
            </w:pPr>
            <w:r w:rsidRPr="0006774B">
              <w:rPr>
                <w:rFonts w:cs="Arial"/>
                <w:color w:val="000000"/>
                <w:sz w:val="16"/>
                <w:szCs w:val="16"/>
                <w:lang w:eastAsia="cs-CZ"/>
              </w:rPr>
              <w:t>Posouzení důvěryhodnosti, spolehlivosti a stability nositele projektu dle standardních analytik finančního trhu - tzn. zda je on samotný a jeho projekt zajímavý pro bankovní sektor za standardních podmínek bez veřejné intervence, zda lze v dané oblasti očekávat spíše projekty s vyšším tržním rizikem (nedokončení investice, chybovost během procesu posuzování a samotné realizace, riziko platební neschopnosti či nedosažení plánované doby návratnosti, apod.)</w:t>
            </w:r>
          </w:p>
        </w:tc>
        <w:tc>
          <w:tcPr>
            <w:tcW w:w="8080" w:type="dxa"/>
            <w:tcBorders>
              <w:top w:val="nil"/>
              <w:left w:val="nil"/>
              <w:bottom w:val="nil"/>
              <w:right w:val="single" w:sz="4" w:space="0" w:color="00A1DE"/>
            </w:tcBorders>
            <w:shd w:val="clear" w:color="000000" w:fill="FFFFFF"/>
            <w:vAlign w:val="center"/>
            <w:hideMark/>
          </w:tcPr>
          <w:p w:rsidR="00DA4E52" w:rsidRPr="0006774B" w:rsidRDefault="00DA4E52" w:rsidP="00B27F59">
            <w:pPr>
              <w:spacing w:after="0"/>
              <w:jc w:val="left"/>
              <w:rPr>
                <w:rFonts w:cs="Arial"/>
                <w:color w:val="000000"/>
                <w:sz w:val="16"/>
                <w:szCs w:val="16"/>
                <w:lang w:eastAsia="cs-CZ"/>
              </w:rPr>
            </w:pPr>
            <w:r w:rsidRPr="0006774B">
              <w:rPr>
                <w:rFonts w:cs="Arial"/>
                <w:color w:val="000000"/>
                <w:sz w:val="16"/>
                <w:szCs w:val="16"/>
                <w:lang w:eastAsia="cs-CZ"/>
              </w:rPr>
              <w:t>0 - potenciální žadatel a/nebo plánovaný projekt jsou vysoce rizikové, bankovní trh nenabízí financování, vysoké riziko nesplacení</w:t>
            </w:r>
            <w:r w:rsidRPr="0006774B">
              <w:rPr>
                <w:rFonts w:cs="Arial"/>
                <w:color w:val="000000"/>
                <w:sz w:val="16"/>
                <w:szCs w:val="16"/>
                <w:lang w:eastAsia="cs-CZ"/>
              </w:rPr>
              <w:br/>
              <w:t>1 - potenciální žadatel a/nebo plánovaný projekt jsou vysoce rizikové, bankovní trh nabízí velmi přísné podmínky financování</w:t>
            </w:r>
            <w:r w:rsidRPr="0006774B">
              <w:rPr>
                <w:rFonts w:cs="Arial"/>
                <w:color w:val="000000"/>
                <w:sz w:val="16"/>
                <w:szCs w:val="16"/>
                <w:lang w:eastAsia="cs-CZ"/>
              </w:rPr>
              <w:br/>
              <w:t>2 - potenciální žadatel a/nebo plánovaný projekt jsou rizikové, bankovní trh nabízí přísnější podmínky financování</w:t>
            </w:r>
            <w:r w:rsidRPr="0006774B">
              <w:rPr>
                <w:rFonts w:cs="Arial"/>
                <w:color w:val="000000"/>
                <w:sz w:val="16"/>
                <w:szCs w:val="16"/>
                <w:lang w:eastAsia="cs-CZ"/>
              </w:rPr>
              <w:br/>
              <w:t>3 - potenciální žadatel a/nebo plánovaný projekt jsou rizikové standardně, zdroje lze zabezpečit tržně</w:t>
            </w:r>
            <w:r w:rsidRPr="0006774B">
              <w:rPr>
                <w:rFonts w:cs="Arial"/>
                <w:color w:val="000000"/>
                <w:sz w:val="16"/>
                <w:szCs w:val="16"/>
                <w:lang w:eastAsia="cs-CZ"/>
              </w:rPr>
              <w:br/>
              <w:t>4 - potenciální žadatel a/nebo plánovaný projekt nejsou příliš rizikové  zdroje lze zabezpečit snadno tržně</w:t>
            </w:r>
            <w:r w:rsidRPr="0006774B">
              <w:rPr>
                <w:rFonts w:cs="Arial"/>
                <w:color w:val="000000"/>
                <w:sz w:val="16"/>
                <w:szCs w:val="16"/>
                <w:lang w:eastAsia="cs-CZ"/>
              </w:rPr>
              <w:br/>
              <w:t>5 - potenciální žadatel a/nebo plánovaný projekt nejsou rizikové</w:t>
            </w:r>
          </w:p>
        </w:tc>
        <w:tc>
          <w:tcPr>
            <w:tcW w:w="558"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center"/>
              <w:rPr>
                <w:rFonts w:cs="Arial"/>
                <w:color w:val="000000"/>
                <w:sz w:val="16"/>
                <w:szCs w:val="16"/>
                <w:lang w:eastAsia="cs-CZ"/>
              </w:rPr>
            </w:pPr>
            <w:r w:rsidRPr="0006774B">
              <w:rPr>
                <w:rFonts w:cs="Arial"/>
                <w:color w:val="000000"/>
                <w:sz w:val="16"/>
                <w:szCs w:val="16"/>
                <w:lang w:eastAsia="cs-CZ"/>
              </w:rPr>
              <w:t>0,5</w:t>
            </w:r>
          </w:p>
        </w:tc>
      </w:tr>
      <w:tr w:rsidR="00DA4E52" w:rsidRPr="0006774B" w:rsidTr="00B27F59">
        <w:trPr>
          <w:trHeight w:val="1711"/>
        </w:trPr>
        <w:tc>
          <w:tcPr>
            <w:tcW w:w="400" w:type="dxa"/>
            <w:tcBorders>
              <w:top w:val="single" w:sz="4" w:space="0" w:color="00A1DE"/>
              <w:left w:val="single" w:sz="4" w:space="0" w:color="00A1DE"/>
              <w:bottom w:val="single" w:sz="4" w:space="0" w:color="00A1DE"/>
              <w:right w:val="single" w:sz="4" w:space="0" w:color="00A1DE"/>
            </w:tcBorders>
            <w:shd w:val="clear" w:color="000000" w:fill="C4E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P6</w:t>
            </w:r>
          </w:p>
        </w:tc>
        <w:tc>
          <w:tcPr>
            <w:tcW w:w="1175"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Existence bariér - právní a politická rizika</w:t>
            </w:r>
          </w:p>
        </w:tc>
        <w:tc>
          <w:tcPr>
            <w:tcW w:w="3827"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B27F59">
            <w:pPr>
              <w:spacing w:after="0"/>
              <w:jc w:val="left"/>
              <w:rPr>
                <w:rFonts w:cs="Arial"/>
                <w:sz w:val="16"/>
                <w:szCs w:val="16"/>
                <w:lang w:eastAsia="cs-CZ"/>
              </w:rPr>
            </w:pPr>
            <w:r w:rsidRPr="0006774B">
              <w:rPr>
                <w:rFonts w:cs="Arial"/>
                <w:sz w:val="16"/>
                <w:szCs w:val="16"/>
                <w:lang w:eastAsia="cs-CZ"/>
              </w:rPr>
              <w:t xml:space="preserve">Posouzení, zda oblast nepodléhá specifické právní úpravě, která neumožňuje zapojení IFN, zhodnocení možných politických rizik - např. specifický cíl míří do oblasti, které chybí dlouhodobá strategie, kde jsou nedořešeny předběžné podmínky pro možnost zahájení čerpání 2014-2020, podléhá častým legislativním (podstatným) změnám, hrozí zpřísněný dohled EK během období čerpání, oblast bude čerpána skrze (neozkoušené) integrované strategie, jedná se o novou oblast, v minulosti byl </w:t>
            </w:r>
            <w:r w:rsidR="00B27F59">
              <w:rPr>
                <w:rFonts w:cs="Arial"/>
                <w:sz w:val="16"/>
                <w:szCs w:val="16"/>
                <w:lang w:eastAsia="cs-CZ"/>
              </w:rPr>
              <w:t>v</w:t>
            </w:r>
            <w:r w:rsidRPr="0006774B">
              <w:rPr>
                <w:rFonts w:cs="Arial"/>
                <w:sz w:val="16"/>
                <w:szCs w:val="16"/>
                <w:lang w:eastAsia="cs-CZ"/>
              </w:rPr>
              <w:t>ýskyt podvodů, apod.</w:t>
            </w:r>
          </w:p>
        </w:tc>
        <w:tc>
          <w:tcPr>
            <w:tcW w:w="8080"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B27F59">
            <w:pPr>
              <w:spacing w:after="0"/>
              <w:jc w:val="left"/>
              <w:rPr>
                <w:rFonts w:cs="Arial"/>
                <w:sz w:val="16"/>
                <w:szCs w:val="16"/>
                <w:lang w:eastAsia="cs-CZ"/>
              </w:rPr>
            </w:pPr>
            <w:r w:rsidRPr="0006774B">
              <w:rPr>
                <w:rFonts w:cs="Arial"/>
                <w:sz w:val="16"/>
                <w:szCs w:val="16"/>
                <w:lang w:eastAsia="cs-CZ"/>
              </w:rPr>
              <w:t>0 - specifický cíl vykazuje velké množství bariér/rizik/nevyjasněných či sporných oblastí, které mohou komplikovat průběh čerpání</w:t>
            </w:r>
            <w:r w:rsidRPr="0006774B">
              <w:rPr>
                <w:rFonts w:cs="Arial"/>
                <w:sz w:val="16"/>
                <w:szCs w:val="16"/>
                <w:lang w:eastAsia="cs-CZ"/>
              </w:rPr>
              <w:br/>
              <w:t>1 - specifický cíl vykazuje řadu bariér/rizik/nevyjasněných či sporných oblastí, které mohou komplikovat průběh čerpání</w:t>
            </w:r>
            <w:r w:rsidRPr="0006774B">
              <w:rPr>
                <w:rFonts w:cs="Arial"/>
                <w:sz w:val="16"/>
                <w:szCs w:val="16"/>
                <w:lang w:eastAsia="cs-CZ"/>
              </w:rPr>
              <w:br/>
              <w:t>2 - specifický cíl vykazuje problematické či sporné oblasti, které budou pravděpodobně vyřešeny s minimálním dopadem na čerpání</w:t>
            </w:r>
            <w:r w:rsidRPr="0006774B">
              <w:rPr>
                <w:rFonts w:cs="Arial"/>
                <w:sz w:val="16"/>
                <w:szCs w:val="16"/>
                <w:lang w:eastAsia="cs-CZ"/>
              </w:rPr>
              <w:br/>
              <w:t>3 - speci</w:t>
            </w:r>
            <w:r w:rsidR="00B27F59">
              <w:rPr>
                <w:rFonts w:cs="Arial"/>
                <w:sz w:val="16"/>
                <w:szCs w:val="16"/>
                <w:lang w:eastAsia="cs-CZ"/>
              </w:rPr>
              <w:t>fický cíl vykazuje probl.</w:t>
            </w:r>
            <w:r w:rsidRPr="0006774B">
              <w:rPr>
                <w:rFonts w:cs="Arial"/>
                <w:sz w:val="16"/>
                <w:szCs w:val="16"/>
                <w:lang w:eastAsia="cs-CZ"/>
              </w:rPr>
              <w:t xml:space="preserve"> či sporné oblasti, které budou pravděpodobně vyřešeny bez dopadu na čerpání</w:t>
            </w:r>
            <w:r w:rsidRPr="0006774B">
              <w:rPr>
                <w:rFonts w:cs="Arial"/>
                <w:sz w:val="16"/>
                <w:szCs w:val="16"/>
                <w:lang w:eastAsia="cs-CZ"/>
              </w:rPr>
              <w:br/>
              <w:t>4 - spec</w:t>
            </w:r>
            <w:r w:rsidR="00B27F59">
              <w:rPr>
                <w:rFonts w:cs="Arial"/>
                <w:sz w:val="16"/>
                <w:szCs w:val="16"/>
                <w:lang w:eastAsia="cs-CZ"/>
              </w:rPr>
              <w:t>ifický cíl vykazuje probl.</w:t>
            </w:r>
            <w:r w:rsidRPr="0006774B">
              <w:rPr>
                <w:rFonts w:cs="Arial"/>
                <w:sz w:val="16"/>
                <w:szCs w:val="16"/>
                <w:lang w:eastAsia="cs-CZ"/>
              </w:rPr>
              <w:t xml:space="preserve"> či sporné oblasti, většina je aktivně řešena, neočekává se dopad na čerpání</w:t>
            </w:r>
            <w:r w:rsidRPr="0006774B">
              <w:rPr>
                <w:rFonts w:cs="Arial"/>
                <w:sz w:val="16"/>
                <w:szCs w:val="16"/>
                <w:lang w:eastAsia="cs-CZ"/>
              </w:rPr>
              <w:br/>
              <w:t>5 - specifický cíl nevykazuje problematické či sporné oblasti, které by mohly ovlivnit náběh a průběh čerpání</w:t>
            </w:r>
          </w:p>
        </w:tc>
        <w:tc>
          <w:tcPr>
            <w:tcW w:w="558"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0,3</w:t>
            </w:r>
          </w:p>
        </w:tc>
      </w:tr>
      <w:tr w:rsidR="00DA4E52" w:rsidRPr="0006774B" w:rsidTr="00B27F59">
        <w:trPr>
          <w:trHeight w:val="1472"/>
        </w:trPr>
        <w:tc>
          <w:tcPr>
            <w:tcW w:w="400" w:type="dxa"/>
            <w:tcBorders>
              <w:top w:val="nil"/>
              <w:left w:val="single" w:sz="4" w:space="0" w:color="00A1DE"/>
              <w:bottom w:val="single" w:sz="4" w:space="0" w:color="00A1DE"/>
              <w:right w:val="single" w:sz="4" w:space="0" w:color="00A1DE"/>
            </w:tcBorders>
            <w:shd w:val="clear" w:color="000000" w:fill="FFF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P7</w:t>
            </w:r>
          </w:p>
        </w:tc>
        <w:tc>
          <w:tcPr>
            <w:tcW w:w="1175" w:type="dxa"/>
            <w:tcBorders>
              <w:top w:val="nil"/>
              <w:left w:val="nil"/>
              <w:bottom w:val="single" w:sz="4" w:space="0" w:color="00A1DE"/>
              <w:right w:val="single" w:sz="4" w:space="0" w:color="00A1DE"/>
            </w:tcBorders>
            <w:shd w:val="clear" w:color="000000" w:fill="FFF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Překryv / komplementarita / synergie s jinými programy</w:t>
            </w:r>
          </w:p>
        </w:tc>
        <w:tc>
          <w:tcPr>
            <w:tcW w:w="3827" w:type="dxa"/>
            <w:tcBorders>
              <w:top w:val="nil"/>
              <w:left w:val="nil"/>
              <w:bottom w:val="single" w:sz="4" w:space="0" w:color="00A1DE"/>
              <w:right w:val="single" w:sz="4" w:space="0" w:color="00A1DE"/>
            </w:tcBorders>
            <w:shd w:val="clear" w:color="000000" w:fill="FFF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Posouzení, zda oblast nebude čelit potenciálnímu odlivu konečných příjemců z důvodu:</w:t>
            </w:r>
            <w:r w:rsidRPr="0006774B">
              <w:rPr>
                <w:rFonts w:cs="Arial"/>
                <w:sz w:val="16"/>
                <w:szCs w:val="16"/>
                <w:lang w:eastAsia="cs-CZ"/>
              </w:rPr>
              <w:br/>
              <w:t>1. Blízkého vymezení obdobné podpory tematickým operačním programem nevyužívajícího IFN</w:t>
            </w:r>
            <w:r w:rsidRPr="0006774B">
              <w:rPr>
                <w:rFonts w:cs="Arial"/>
                <w:sz w:val="16"/>
                <w:szCs w:val="16"/>
                <w:lang w:eastAsia="cs-CZ"/>
              </w:rPr>
              <w:br/>
              <w:t>2. Existujícího nebo připravovaného národního programu</w:t>
            </w:r>
            <w:r w:rsidRPr="0006774B">
              <w:rPr>
                <w:rFonts w:cs="Arial"/>
                <w:sz w:val="16"/>
                <w:szCs w:val="16"/>
                <w:lang w:eastAsia="cs-CZ"/>
              </w:rPr>
              <w:br/>
              <w:t>3. Programu či nástroji nadnárodní úrovně (např. program Life, půjčky Evropské investiční banky skrze privátní banku apod.)</w:t>
            </w:r>
          </w:p>
        </w:tc>
        <w:tc>
          <w:tcPr>
            <w:tcW w:w="8080" w:type="dxa"/>
            <w:tcBorders>
              <w:top w:val="nil"/>
              <w:left w:val="nil"/>
              <w:bottom w:val="single" w:sz="4" w:space="0" w:color="00A1DE"/>
              <w:right w:val="single" w:sz="4" w:space="0" w:color="00A1DE"/>
            </w:tcBorders>
            <w:shd w:val="clear" w:color="000000" w:fill="FFF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0 - specifický cíl vykazuje velké množství nedořešených třecích ploch, které mohou významně ovlivnit absorpční kapacitu a čerpání</w:t>
            </w:r>
            <w:r w:rsidRPr="0006774B">
              <w:rPr>
                <w:rFonts w:cs="Arial"/>
                <w:sz w:val="16"/>
                <w:szCs w:val="16"/>
                <w:lang w:eastAsia="cs-CZ"/>
              </w:rPr>
              <w:br/>
              <w:t>1 - specifický cíl vykazuje řadu nedořešených třecích ploch, které mohou ovlivnit absorpční kapacitu a čerpání</w:t>
            </w:r>
            <w:r w:rsidRPr="0006774B">
              <w:rPr>
                <w:rFonts w:cs="Arial"/>
                <w:sz w:val="16"/>
                <w:szCs w:val="16"/>
                <w:lang w:eastAsia="cs-CZ"/>
              </w:rPr>
              <w:br/>
              <w:t>2 - specifický cíl vykazuje problematické či sporné třecí plochy, které budou pravděpodobně vyřešeny s minimálním dopadem na čerpání</w:t>
            </w:r>
            <w:r w:rsidRPr="0006774B">
              <w:rPr>
                <w:rFonts w:cs="Arial"/>
                <w:sz w:val="16"/>
                <w:szCs w:val="16"/>
                <w:lang w:eastAsia="cs-CZ"/>
              </w:rPr>
              <w:br/>
              <w:t>3 - specifický cíl vykazuje problematické či sporné třecí plochy, které budou pravděpodobně vyřešeny bez dopadu na čerpání</w:t>
            </w:r>
            <w:r w:rsidRPr="0006774B">
              <w:rPr>
                <w:rFonts w:cs="Arial"/>
                <w:sz w:val="16"/>
                <w:szCs w:val="16"/>
                <w:lang w:eastAsia="cs-CZ"/>
              </w:rPr>
              <w:br/>
              <w:t>4 - specifický cíl vykazuje problematické či sporné třecí plochy, většina je však aktivně řešena, neočekává se dopad na čerpání</w:t>
            </w:r>
            <w:r w:rsidRPr="0006774B">
              <w:rPr>
                <w:rFonts w:cs="Arial"/>
                <w:sz w:val="16"/>
                <w:szCs w:val="16"/>
                <w:lang w:eastAsia="cs-CZ"/>
              </w:rPr>
              <w:br/>
              <w:t>5 - specifický cíl nevykazuje problematické či sporné třecí plochy, které by mohly ovlivnit náběh a průběh čerpání</w:t>
            </w:r>
          </w:p>
        </w:tc>
        <w:tc>
          <w:tcPr>
            <w:tcW w:w="558" w:type="dxa"/>
            <w:tcBorders>
              <w:top w:val="nil"/>
              <w:left w:val="nil"/>
              <w:bottom w:val="single" w:sz="4" w:space="0" w:color="00A1DE"/>
              <w:right w:val="single" w:sz="4" w:space="0" w:color="00A1DE"/>
            </w:tcBorders>
            <w:shd w:val="clear" w:color="000000" w:fill="FFF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0,3</w:t>
            </w:r>
          </w:p>
        </w:tc>
      </w:tr>
    </w:tbl>
    <w:p w:rsidR="00DA4E52" w:rsidRDefault="00DA4E52" w:rsidP="00DA4E52">
      <w:pPr>
        <w:pStyle w:val="Titulek"/>
      </w:pPr>
      <w:bookmarkStart w:id="42" w:name="_Toc400358138"/>
      <w:bookmarkStart w:id="43" w:name="_Toc409795562"/>
      <w:bookmarkStart w:id="44" w:name="_Toc417655500"/>
      <w:r>
        <w:t xml:space="preserve">Tabulka </w:t>
      </w:r>
      <w:r>
        <w:fldChar w:fldCharType="begin"/>
      </w:r>
      <w:r>
        <w:instrText xml:space="preserve"> SEQ Tabulka \* ARABIC </w:instrText>
      </w:r>
      <w:r>
        <w:fldChar w:fldCharType="separate"/>
      </w:r>
      <w:r w:rsidR="007813A3">
        <w:rPr>
          <w:noProof/>
        </w:rPr>
        <w:t>2</w:t>
      </w:r>
      <w:r>
        <w:fldChar w:fldCharType="end"/>
      </w:r>
      <w:r>
        <w:t>: Definice atributů pro provedení pre-screeningového hodnocení</w:t>
      </w:r>
      <w:bookmarkEnd w:id="42"/>
      <w:bookmarkEnd w:id="43"/>
      <w:bookmarkEnd w:id="44"/>
    </w:p>
    <w:p w:rsidR="00DA4E52" w:rsidRDefault="00DA4E52" w:rsidP="00DA4E52">
      <w:r>
        <w:lastRenderedPageBreak/>
        <w:t>V souladu s d</w:t>
      </w:r>
      <w:r w:rsidRPr="000A7EC9">
        <w:t xml:space="preserve">obrou praxí </w:t>
      </w:r>
      <w:r>
        <w:t>Deloitte přistoupil</w:t>
      </w:r>
      <w:r w:rsidRPr="000A7EC9">
        <w:t xml:space="preserve"> k detailní analýze vhodnosti využití </w:t>
      </w:r>
      <w:r>
        <w:t>IFN</w:t>
      </w:r>
      <w:r w:rsidRPr="000A7EC9">
        <w:t xml:space="preserve"> pouze u oblastí, </w:t>
      </w:r>
      <w:r>
        <w:t>u kterých</w:t>
      </w:r>
      <w:r w:rsidRPr="000A7EC9">
        <w:t xml:space="preserve"> výsledné průměrné skóre potenciálu dosahuje hodnoty tři a výše</w:t>
      </w:r>
      <w:r>
        <w:t>. U</w:t>
      </w:r>
      <w:r w:rsidRPr="00D851B5">
        <w:t>vedené pravidlo není aplikováno v případě, že hodnocená oblast dosahuje nulové hodnoty v atributu P2 Profitabilita - jedná se o binární vylučující kritérium.</w:t>
      </w:r>
      <w:r>
        <w:t xml:space="preserve"> Níže předkládáme hodnocení za jednotlivé oblasti podpory.</w:t>
      </w:r>
    </w:p>
    <w:p w:rsidR="00DA4E52" w:rsidRDefault="00AB5AF4" w:rsidP="00DA4E52">
      <w:r w:rsidRPr="00AB5AF4">
        <w:rPr>
          <w:noProof/>
          <w:lang w:eastAsia="cs-CZ"/>
        </w:rPr>
        <w:drawing>
          <wp:inline distT="0" distB="0" distL="0" distR="0" wp14:anchorId="2F28333C" wp14:editId="3442544C">
            <wp:extent cx="8738559" cy="483941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45883" cy="4843475"/>
                    </a:xfrm>
                    <a:prstGeom prst="rect">
                      <a:avLst/>
                    </a:prstGeom>
                    <a:noFill/>
                    <a:ln>
                      <a:noFill/>
                    </a:ln>
                  </pic:spPr>
                </pic:pic>
              </a:graphicData>
            </a:graphic>
          </wp:inline>
        </w:drawing>
      </w:r>
    </w:p>
    <w:p w:rsidR="00DA4E52" w:rsidRDefault="00DA4E52" w:rsidP="00DA4E52">
      <w:r w:rsidRPr="00630F55">
        <w:rPr>
          <w:noProof/>
          <w:lang w:eastAsia="cs-CZ"/>
        </w:rPr>
        <w:lastRenderedPageBreak/>
        <w:drawing>
          <wp:inline distT="0" distB="0" distL="0" distR="0" wp14:anchorId="6FA8B6BB" wp14:editId="36771CF2">
            <wp:extent cx="8891270" cy="5217231"/>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1270" cy="5217231"/>
                    </a:xfrm>
                    <a:prstGeom prst="rect">
                      <a:avLst/>
                    </a:prstGeom>
                    <a:noFill/>
                    <a:ln>
                      <a:noFill/>
                    </a:ln>
                  </pic:spPr>
                </pic:pic>
              </a:graphicData>
            </a:graphic>
          </wp:inline>
        </w:drawing>
      </w:r>
    </w:p>
    <w:p w:rsidR="00DA4E52" w:rsidRDefault="00DA4E52" w:rsidP="00DA4E52">
      <w:r w:rsidRPr="00630F55">
        <w:rPr>
          <w:noProof/>
          <w:lang w:eastAsia="cs-CZ"/>
        </w:rPr>
        <w:lastRenderedPageBreak/>
        <w:drawing>
          <wp:inline distT="0" distB="0" distL="0" distR="0" wp14:anchorId="129E30E1" wp14:editId="59C5EDB8">
            <wp:extent cx="8891270" cy="255815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1270" cy="2558152"/>
                    </a:xfrm>
                    <a:prstGeom prst="rect">
                      <a:avLst/>
                    </a:prstGeom>
                    <a:noFill/>
                    <a:ln>
                      <a:noFill/>
                    </a:ln>
                  </pic:spPr>
                </pic:pic>
              </a:graphicData>
            </a:graphic>
          </wp:inline>
        </w:drawing>
      </w:r>
    </w:p>
    <w:p w:rsidR="00DA4E52" w:rsidRDefault="00DA4E52" w:rsidP="00DA4E52">
      <w:pPr>
        <w:pStyle w:val="Titulek"/>
        <w:spacing w:after="0" w:afterAutospacing="0"/>
      </w:pPr>
      <w:bookmarkStart w:id="45" w:name="_Toc400358140"/>
      <w:bookmarkStart w:id="46" w:name="_Toc409795563"/>
      <w:bookmarkStart w:id="47" w:name="_Toc417655501"/>
      <w:r>
        <w:t xml:space="preserve">Tabulka </w:t>
      </w:r>
      <w:r>
        <w:fldChar w:fldCharType="begin"/>
      </w:r>
      <w:r>
        <w:instrText xml:space="preserve"> SEQ Tabulka \* ARABIC </w:instrText>
      </w:r>
      <w:r>
        <w:fldChar w:fldCharType="separate"/>
      </w:r>
      <w:r w:rsidR="007813A3">
        <w:rPr>
          <w:noProof/>
        </w:rPr>
        <w:t>3</w:t>
      </w:r>
      <w:r>
        <w:fldChar w:fldCharType="end"/>
      </w:r>
      <w:r>
        <w:t xml:space="preserve">: Hodnocení potenciálu využití IFN v IROP 2014 – 2020 dle jednotlivých </w:t>
      </w:r>
      <w:bookmarkEnd w:id="45"/>
      <w:r>
        <w:t>podporovaných aktivit</w:t>
      </w:r>
      <w:bookmarkEnd w:id="46"/>
      <w:bookmarkEnd w:id="47"/>
    </w:p>
    <w:p w:rsidR="00DA4E52" w:rsidRPr="003F42D3" w:rsidRDefault="00DA4E52" w:rsidP="00DA4E52">
      <w:pPr>
        <w:rPr>
          <w:sz w:val="2"/>
        </w:rPr>
      </w:pPr>
    </w:p>
    <w:p w:rsidR="00DA4E52" w:rsidRDefault="00DA4E52" w:rsidP="00DA4E52">
      <w:pPr>
        <w:ind w:left="54"/>
      </w:pPr>
      <w:r>
        <w:t>Závěrem vstupního zhodnocení lze konstatovat, že:</w:t>
      </w:r>
    </w:p>
    <w:p w:rsidR="00DA4E52" w:rsidRDefault="00DA4E52" w:rsidP="002D2639">
      <w:pPr>
        <w:pStyle w:val="Odstavecseseznamem"/>
        <w:numPr>
          <w:ilvl w:val="0"/>
          <w:numId w:val="52"/>
        </w:numPr>
      </w:pPr>
      <w:r w:rsidRPr="00630F55">
        <w:rPr>
          <w:b/>
        </w:rPr>
        <w:t xml:space="preserve">významný potenciál pro využití finančních nástrojů vykazuje specifický cíl 2.5 </w:t>
      </w:r>
      <w:r w:rsidRPr="00630F55">
        <w:rPr>
          <w:b/>
          <w:bCs/>
        </w:rPr>
        <w:t>Snížení energetické náročnosti v sektoru bydlení</w:t>
      </w:r>
      <w:r>
        <w:t>;</w:t>
      </w:r>
    </w:p>
    <w:p w:rsidR="00DA4E52" w:rsidRDefault="00DA4E52" w:rsidP="002D2639">
      <w:pPr>
        <w:pStyle w:val="Odstavecseseznamem"/>
        <w:numPr>
          <w:ilvl w:val="0"/>
          <w:numId w:val="52"/>
        </w:numPr>
      </w:pPr>
      <w:r>
        <w:t xml:space="preserve">je vhodné pokračovat v hodnocení specifického cíle 2.1 </w:t>
      </w:r>
      <w:r w:rsidRPr="00630F55">
        <w:rPr>
          <w:bCs/>
        </w:rPr>
        <w:t xml:space="preserve">Zvýšení kvality a dostupnosti služeb vedoucí k sociální inkluzi, a to konkrétně </w:t>
      </w:r>
      <w:r w:rsidRPr="00630F55">
        <w:rPr>
          <w:b/>
        </w:rPr>
        <w:t>oblasti podpory pořízení bytů a bytových domů pro sociální bydlení</w:t>
      </w:r>
      <w:r>
        <w:t>.</w:t>
      </w:r>
    </w:p>
    <w:p w:rsidR="00DA4E52" w:rsidRDefault="00DA4E52" w:rsidP="00DA4E52">
      <w:pPr>
        <w:ind w:left="54"/>
        <w:rPr>
          <w:rFonts w:ascii="Times New Roman" w:hAnsi="Times New Roman"/>
          <w:sz w:val="22"/>
          <w:szCs w:val="22"/>
        </w:rPr>
      </w:pPr>
      <w:r>
        <w:t xml:space="preserve">Další analytické závěry a návrhy nastavení konkrétních IFN, ohledně mapování tržních selhání a kvantifikace potenciální přidané hodnoty a pákového efektu zapojení IFN, jsou vztaženy již pouze na tyto vybrané oblasti. </w:t>
      </w:r>
    </w:p>
    <w:p w:rsidR="00DA4E52" w:rsidRDefault="00DA4E52" w:rsidP="00DA4E52">
      <w:pPr>
        <w:sectPr w:rsidR="00DA4E52" w:rsidSect="000A7EC9">
          <w:pgSz w:w="16838" w:h="11906" w:orient="landscape" w:code="9"/>
          <w:pgMar w:top="1418" w:right="1418" w:bottom="1418" w:left="1418" w:header="709" w:footer="709" w:gutter="0"/>
          <w:paperSrc w:first="15" w:other="15"/>
          <w:cols w:space="708"/>
          <w:docGrid w:linePitch="360"/>
        </w:sectPr>
      </w:pPr>
    </w:p>
    <w:p w:rsidR="00DA4E52" w:rsidRDefault="00DA4E52" w:rsidP="00DA4E52">
      <w:pPr>
        <w:pStyle w:val="Nadpis2"/>
      </w:pPr>
      <w:bookmarkStart w:id="48" w:name="_Toc393879196"/>
      <w:bookmarkStart w:id="49" w:name="_Toc397701292"/>
      <w:bookmarkStart w:id="50" w:name="_Toc400570380"/>
      <w:bookmarkStart w:id="51" w:name="_Toc401150109"/>
      <w:bookmarkStart w:id="52" w:name="_Toc409797483"/>
      <w:bookmarkStart w:id="53" w:name="_Toc418767141"/>
      <w:r>
        <w:lastRenderedPageBreak/>
        <w:t>Analýza selhání trhu</w:t>
      </w:r>
      <w:bookmarkEnd w:id="48"/>
      <w:r>
        <w:t xml:space="preserve"> a neoptimálních investičních situací</w:t>
      </w:r>
      <w:bookmarkEnd w:id="49"/>
      <w:bookmarkEnd w:id="50"/>
      <w:bookmarkEnd w:id="51"/>
      <w:bookmarkEnd w:id="52"/>
      <w:bookmarkEnd w:id="53"/>
      <w:r>
        <w:t xml:space="preserve"> </w:t>
      </w:r>
    </w:p>
    <w:p w:rsidR="00DA4E52" w:rsidRDefault="00DA4E52" w:rsidP="00DA4E52">
      <w:pPr>
        <w:pStyle w:val="Nadpis3"/>
      </w:pPr>
      <w:bookmarkStart w:id="54" w:name="_Toc409797484"/>
      <w:bookmarkStart w:id="55" w:name="_Toc418767142"/>
      <w:r>
        <w:t xml:space="preserve">Specifický cíl 2.1: </w:t>
      </w:r>
      <w:r w:rsidRPr="00F96983">
        <w:t>Zvýšení kvality a dostupnosti služeb vedoucí k sociální inkluzi</w:t>
      </w:r>
      <w:bookmarkEnd w:id="54"/>
      <w:bookmarkEnd w:id="55"/>
    </w:p>
    <w:p w:rsidR="00DA4E52" w:rsidRDefault="00DA4E52" w:rsidP="006C01B3">
      <w:pPr>
        <w:pStyle w:val="Nadpis4"/>
      </w:pPr>
      <w:r>
        <w:t>Výběr podporovaných aktivit SC 2.1 s potenciálem pro IFN</w:t>
      </w:r>
    </w:p>
    <w:p w:rsidR="00DA4E52" w:rsidRDefault="00DA4E52" w:rsidP="00DA4E52">
      <w:pPr>
        <w:rPr>
          <w:szCs w:val="16"/>
        </w:rPr>
      </w:pPr>
      <w:r>
        <w:rPr>
          <w:szCs w:val="16"/>
        </w:rPr>
        <w:t>V souladu se závěry pre-screeningového šetření byly další analýze podrobeny aktivity podpory sociálního bydlení.</w:t>
      </w:r>
    </w:p>
    <w:p w:rsidR="00DA4E52" w:rsidRDefault="00DA4E52" w:rsidP="00DA4E52">
      <w:r>
        <w:t xml:space="preserve">Příjemci mohou být nestátní neziskové organizace, organizační složky státu, příspěvkové organizace organizačních složek státu, kraje, </w:t>
      </w:r>
      <w:r>
        <w:tab/>
        <w:t>organizace zřizované nebo zakládané kraji, obce, organizace zřizované nebo zakládané obcemi, dobrovolné svazky obcí, organizace zřizované nebo zakládané dobrovolnými svazky obcí, církve, církevní organizace.</w:t>
      </w:r>
    </w:p>
    <w:p w:rsidR="00DA4E52" w:rsidRPr="00353014" w:rsidRDefault="00DA4E52" w:rsidP="006C01B3">
      <w:pPr>
        <w:pStyle w:val="Nadpis4"/>
      </w:pPr>
      <w:r w:rsidRPr="00353014">
        <w:t>Obecná charakteristika tržního prostředí</w:t>
      </w:r>
    </w:p>
    <w:p w:rsidR="00DA4E52" w:rsidRDefault="00DA4E52" w:rsidP="00DA4E52">
      <w:r>
        <w:t xml:space="preserve">Koncept sociálního bydlení se neomezuje pouze na skupiny lidí, kteří mají nedostatečný nebo žádný příjem, ale cílí též na skupiny lidí, kteří by byli schopni nájemné hradit, avšak z nějakého důvodu s nimi pronajímatelé nejsou ochotní uzavřít nájemní smlouvu. Pokud se tak stane, často je smlouva časově omezená a nezřídka je podmínkou jejího prodloužení výrazné zvýšení nájmu. Jedná se často o klienty, kteří jsou schopni platit nájemné, ale představuje pro ně problém jednorázový výdaj v podobě kauce, atd. </w:t>
      </w:r>
    </w:p>
    <w:p w:rsidR="00DA4E52" w:rsidRDefault="00DA4E52" w:rsidP="00DA4E52">
      <w:r>
        <w:t>Systém azylových domů a ubytoven nabízí pouze krátkodobá řešení a navíc je velmi často zneužíván. Stát pak platí za nájemce ceny, které převyšují tržní, v bytech, které jsou často absolutně nevyhovující z hlediska základních hygienických nároků. Tímto způsobem jsou neefektivně ze státního rozpočtu vypláceny vysoké částky doplatků na úhradu nepřiměřeně vysokého nájemného v nemovitostech neodpovídajících základním kvalitativním standardům.</w:t>
      </w:r>
    </w:p>
    <w:p w:rsidR="00DA4E52" w:rsidRDefault="00DA4E52" w:rsidP="00DA4E52">
      <w:r>
        <w:t>Jednou z variant možného řešení problematiky je podpora investiční aktivity obcí ve věci výstavby nových bytových jednotek, rekonstrukce současného bytového fondu či odkupu vhodných bytů od soukromých vlastníků, které jsou následně poskytovány vymezeným cílovým žadatelům s popsanou tíživou životní situací, co se příjmů týká. Tento typ podpory plánuje svojí vyčleněnou alokací podporovat právě IROP, a to především z důvodu, že obce jsou v současnosti bez zapojení veřejné intervence ve sledované oblasti velmi pasivní (a to i přes existenci dílčí veřejné podpory) a problematice nepřisuzují adekvátní pozornost, s ohledem na šíři problému, viz odhad investiční potřeby níže.</w:t>
      </w:r>
    </w:p>
    <w:p w:rsidR="00DA4E52" w:rsidRPr="00835491" w:rsidRDefault="00DA4E52" w:rsidP="00DA4E52">
      <w:r>
        <w:t xml:space="preserve">Uspokojivé řešení problematiky sociálního bydlení značně komplikuje skutečnost, že neexistuje jasné vymezení státní koncepce ve sledované oblasti, resp. s ohledem na absenci zákonné úpravy, která by problematiku komplexně upravovala. Současná vláda deklaruje snahu koncepci i zákonnou úpravu připravit a schválit v následujících dvou letech s tím, že budou jasně vymezeny priority (nové bytové jednotky, podpora ubytoven, podpora sociálních programů zaměřujících se na prevenci vzniku problému, apod.). </w:t>
      </w:r>
      <w:r w:rsidRPr="00835491">
        <w:rPr>
          <w:b/>
        </w:rPr>
        <w:t>Za této situace, kdy není jasné, zda bude prioritizována podpora rozšiřování obecních bytových fondů, případně zda dojde k uzákonění určité povinné kvóty pro obce pro zabezpečení sociálních bytů, není možné činit jasné doporučení ohledně využití dotační podpory či finančních nástrojů.</w:t>
      </w:r>
      <w:r>
        <w:t xml:space="preserve"> Další informace uváděné v rámci této kapitoly se zaměřují pouze na mapování stavu podpory investic do budování kapacit sociálního bydlení, není zaměřen na ubytovny ani na nástroje neinvestičního charakteru, typicky realizované v gesci Ministerstva práce a sociálních věcí.</w:t>
      </w:r>
    </w:p>
    <w:p w:rsidR="00DA4E52" w:rsidRDefault="00DA4E52" w:rsidP="006C01B3">
      <w:pPr>
        <w:pStyle w:val="Nadpis4"/>
      </w:pPr>
      <w:r>
        <w:t>Charakter strany nabídky</w:t>
      </w:r>
    </w:p>
    <w:p w:rsidR="00DA4E52" w:rsidRDefault="00DA4E52" w:rsidP="00DA4E52">
      <w:r>
        <w:t xml:space="preserve">V současném programovém období 2007 – 2013 byla umožněna podpora oprav bytového fondu využívaného pro sociální bydlení skrze část alokace </w:t>
      </w:r>
      <w:r>
        <w:rPr>
          <w:b/>
        </w:rPr>
        <w:t>oblasti intervence</w:t>
      </w:r>
      <w:r w:rsidRPr="00967A43">
        <w:rPr>
          <w:b/>
        </w:rPr>
        <w:t xml:space="preserve"> 5.2 Integrovaného operačního programu</w:t>
      </w:r>
      <w:r>
        <w:t xml:space="preserve">, s možností čerpat dotační podporu ve výši 40-60% způsobilých výdajů. Dle materiálů předaných zadavatelem </w:t>
      </w:r>
      <w:r w:rsidRPr="00967A43">
        <w:rPr>
          <w:b/>
        </w:rPr>
        <w:t xml:space="preserve">bylo realizováno osm projektů s celkovou výší čerpané podpory 75 mil. Kč. </w:t>
      </w:r>
    </w:p>
    <w:p w:rsidR="00DA4E52" w:rsidRDefault="00DA4E52" w:rsidP="00DA4E52">
      <w:r>
        <w:t xml:space="preserve">Sledovaná oblast byla se vznikem programu JESSICA vyčleněna do podpory poskytované formou zvýhodněného úvěru, obdobně tento program </w:t>
      </w:r>
      <w:r w:rsidRPr="004F69A3">
        <w:t xml:space="preserve">také </w:t>
      </w:r>
      <w:r>
        <w:t xml:space="preserve">byl </w:t>
      </w:r>
      <w:r w:rsidRPr="004F69A3">
        <w:t>určen pro vznik sociálního bydlení formou rekonstrukcí nebytových prostor nebo modernizací bytových domů.</w:t>
      </w:r>
      <w:r>
        <w:t xml:space="preserve"> </w:t>
      </w:r>
      <w:r w:rsidRPr="00967A43">
        <w:rPr>
          <w:b/>
        </w:rPr>
        <w:t xml:space="preserve">Z alokace JESSICA byly na tento typ </w:t>
      </w:r>
      <w:r w:rsidRPr="00967A43">
        <w:rPr>
          <w:b/>
        </w:rPr>
        <w:lastRenderedPageBreak/>
        <w:t>podpory v</w:t>
      </w:r>
      <w:r w:rsidR="00A825E5">
        <w:rPr>
          <w:b/>
        </w:rPr>
        <w:t>y</w:t>
      </w:r>
      <w:r w:rsidRPr="00967A43">
        <w:rPr>
          <w:b/>
        </w:rPr>
        <w:t>členěny prostředky ve výši 50 mil. Kč, nicméně doposud byla podána pouze jedna žádost o podporu, která je nyní v procesu hodnocení</w:t>
      </w:r>
      <w:r>
        <w:t>.</w:t>
      </w:r>
    </w:p>
    <w:p w:rsidR="00DA4E52" w:rsidRDefault="00DA4E52" w:rsidP="00DA4E52">
      <w:r>
        <w:t xml:space="preserve">Pro podporu investičních projektů v oblasti sociálního bydlení dále funguje </w:t>
      </w:r>
      <w:r w:rsidRPr="00967A43">
        <w:rPr>
          <w:b/>
        </w:rPr>
        <w:t>samostatný program Státního fondu rozvoje bydlení, financovaný z národních zdrojů</w:t>
      </w:r>
      <w:r>
        <w:t xml:space="preserve">, zřízený v souladu s nařízením vlády č. 284/2011 Sb. Podporovány jsou byty o rozloze 25-90 m2, u kterých jsou poskytovány úvěry až do výše 70% způsobilých nákladů za fixní sazbu od 2% p.a. podle ratingu žadatele se splatností až 30 let. </w:t>
      </w:r>
      <w:r w:rsidRPr="00967A43">
        <w:rPr>
          <w:b/>
        </w:rPr>
        <w:t xml:space="preserve">Za roky 2013 a 2014 bylo uzavřeno celkem </w:t>
      </w:r>
      <w:r w:rsidR="005B3B1F">
        <w:rPr>
          <w:b/>
        </w:rPr>
        <w:t>8</w:t>
      </w:r>
      <w:r w:rsidRPr="00967A43">
        <w:rPr>
          <w:b/>
        </w:rPr>
        <w:t xml:space="preserve"> smluv o souhrnné jistině </w:t>
      </w:r>
      <w:r w:rsidR="005B3B1F">
        <w:rPr>
          <w:b/>
        </w:rPr>
        <w:t>320,7</w:t>
      </w:r>
      <w:r w:rsidRPr="00967A43">
        <w:rPr>
          <w:b/>
        </w:rPr>
        <w:t xml:space="preserve"> mil. Kč</w:t>
      </w:r>
      <w:r>
        <w:t xml:space="preserve"> s průměrnou úrokovou sazbou 2,42%. Podpora umožnila výstavbu či rekonstrukci 244 bytů. Zdroje na dofinancování musí zajistit žadatel, přičemž nemůže nabídnout zástavu nemovitosti, na kterou má výlučné právo SFRB.</w:t>
      </w:r>
    </w:p>
    <w:p w:rsidR="00DA4E52" w:rsidRDefault="00DA4E52" w:rsidP="00DA4E52">
      <w:r>
        <w:t xml:space="preserve">Od roku 2003 je dále aktivní podobně vymezený národní program Podpora výstavby podporovaných bytů, který nabízí </w:t>
      </w:r>
      <w:r w:rsidR="00025E39">
        <w:rPr>
          <w:rFonts w:cs="Arial"/>
          <w:sz w:val="20"/>
          <w:szCs w:val="20"/>
        </w:rPr>
        <w:t xml:space="preserve">v případě výstavby či rekonstrukcí  “vstupních bytů“ </w:t>
      </w:r>
      <w:r>
        <w:t xml:space="preserve">finanční podporu </w:t>
      </w:r>
      <w:r w:rsidR="00025E39">
        <w:t xml:space="preserve">do výše </w:t>
      </w:r>
      <w:r w:rsidR="00025E39">
        <w:rPr>
          <w:rFonts w:cs="Arial"/>
          <w:sz w:val="20"/>
          <w:szCs w:val="20"/>
        </w:rPr>
        <w:t>600 tis. Kč. V případě koupě „vstupního bytu“ maximálně 400 tis. Kč. </w:t>
      </w:r>
      <w:r>
        <w:t xml:space="preserve">Tento program je otevřen i soukromým investorům a má celoplošnou působnost. </w:t>
      </w:r>
    </w:p>
    <w:p w:rsidR="00093ED5" w:rsidRDefault="00093ED5" w:rsidP="00DA4E52">
      <w:r w:rsidRPr="00093ED5">
        <w:t xml:space="preserve">Bytů určených cílové skupině předpokládané </w:t>
      </w:r>
      <w:r>
        <w:t xml:space="preserve">v SC 2.1 (tedy bez bytů </w:t>
      </w:r>
      <w:r w:rsidRPr="00093ED5">
        <w:t>určených pro seniory) bylo od roku 2003</w:t>
      </w:r>
      <w:r>
        <w:t xml:space="preserve"> z uvedeného programu pořízeno </w:t>
      </w:r>
      <w:r w:rsidRPr="00093ED5">
        <w:t xml:space="preserve">11 794. Osoby spadající do cílové skupiny pro tyto byty nesmějí mít byt ve </w:t>
      </w:r>
      <w:r>
        <w:t>vlastnictví či spoluvlastnictví</w:t>
      </w:r>
      <w:r w:rsidRPr="00093ED5">
        <w:t xml:space="preserve"> a jejich př</w:t>
      </w:r>
      <w:r>
        <w:t>íjem je omezen.  Současně jsou u</w:t>
      </w:r>
      <w:r w:rsidRPr="00093ED5">
        <w:t xml:space="preserve"> těchto osob přítomny další sociální hendikepy: Osoba doposud žila nebo žije v sociálně vyloučené romské lokalitě, nebo její rodině hrozí nebo již bylo provedeno odebrání dítěte do ústavní výchovy z důvodu nevyhovujícího bydlení nebo z důvodu jeho ztráty, nebo žije v jiné tíživé sociální situaci -  jako např. ukončuje nebo ukončila výkon trestu, dosáhla plnoletosti a opouští ústavní výchovné zařízení nebo náhradní rodinnou péči, opouští ústav sociální péče v rámci transformace sociálních zařízení, ukončila resocializační program a opouští azylový dům nebo dům na půl cesty, má statut uprchlíka a je účastníkem Státního integračního programu. Nájemné ve vstupních bytech je limitováno na nákladové úrovni.</w:t>
      </w:r>
    </w:p>
    <w:p w:rsidR="00DA4E52" w:rsidRDefault="00DA4E52" w:rsidP="006C01B3">
      <w:pPr>
        <w:pStyle w:val="Nadpis4"/>
      </w:pPr>
      <w:r>
        <w:t>Charakter strany poptávky</w:t>
      </w:r>
    </w:p>
    <w:p w:rsidR="00DA4E52" w:rsidRPr="00C8570D" w:rsidRDefault="00DA4E52" w:rsidP="00DA4E52">
      <w:pPr>
        <w:rPr>
          <w:rFonts w:cs="Arial"/>
          <w:szCs w:val="18"/>
        </w:rPr>
      </w:pPr>
      <w:r>
        <w:rPr>
          <w:rFonts w:cs="Arial"/>
          <w:szCs w:val="18"/>
        </w:rPr>
        <w:t xml:space="preserve">Z údajů uvedených v analýze strany nabídky je zřejmé, že v současné době nabídka různých forem podpory investic do budování bytových fondů využitelných pro řešení problematiky sociálního bydlení převyšuje aktivní poptávku ze strany způsobilých žadatelů. Na základě minulého čerpání této podpory nelze usuzovat potenciál absorpční kapacity, z uvedeného důvodu se pokusil dodavatel analyzovat </w:t>
      </w:r>
      <w:r>
        <w:rPr>
          <w:rFonts w:cs="Arial"/>
          <w:b/>
          <w:szCs w:val="18"/>
        </w:rPr>
        <w:t>celkovou investiční potřebu sociálního bydlení</w:t>
      </w:r>
      <w:r>
        <w:rPr>
          <w:rFonts w:cs="Arial"/>
          <w:szCs w:val="18"/>
        </w:rPr>
        <w:t>, která umožní rámcové posouzení potenciální poptávky – která však musí být vhodně aktivována.</w:t>
      </w:r>
    </w:p>
    <w:p w:rsidR="00DA4E52" w:rsidRPr="00E80979" w:rsidRDefault="00DA4E52" w:rsidP="00DA4E52">
      <w:pPr>
        <w:rPr>
          <w:rFonts w:cs="Arial"/>
          <w:szCs w:val="18"/>
        </w:rPr>
      </w:pPr>
      <w:r w:rsidRPr="00E80979">
        <w:rPr>
          <w:rFonts w:cs="Arial"/>
          <w:szCs w:val="18"/>
        </w:rPr>
        <w:t>Na základě</w:t>
      </w:r>
      <w:r>
        <w:rPr>
          <w:rFonts w:cs="Arial"/>
          <w:szCs w:val="18"/>
        </w:rPr>
        <w:t xml:space="preserve"> informací předaných od zadavatele vycházíme z expertního odhadu výše investiční potřeby sledované oblasti, který formulovala Agentura pro sociální začleňování. Dle dat </w:t>
      </w:r>
      <w:r w:rsidRPr="00E80979">
        <w:rPr>
          <w:rFonts w:cs="Arial"/>
          <w:szCs w:val="18"/>
        </w:rPr>
        <w:t>ze strategických plánů lokálních partnerství</w:t>
      </w:r>
      <w:r>
        <w:rPr>
          <w:rFonts w:cs="Arial"/>
          <w:szCs w:val="18"/>
        </w:rPr>
        <w:t xml:space="preserve"> a dalších podkladových informací agentura odhaduje, </w:t>
      </w:r>
      <w:r w:rsidRPr="00E80979">
        <w:rPr>
          <w:rFonts w:cs="Arial"/>
          <w:szCs w:val="18"/>
        </w:rPr>
        <w:t xml:space="preserve">že pro zajištění dostatečné kapacity sociálního nájemního bydlení by bylo </w:t>
      </w:r>
      <w:r w:rsidRPr="00656F98">
        <w:rPr>
          <w:rFonts w:cs="Arial"/>
          <w:b/>
          <w:szCs w:val="18"/>
        </w:rPr>
        <w:t>potřeba vybudovat/zrekonstruovat 9 350 bytů, což při průměrné ceně cca 1,25 mil. Kč odpovídá celkovým nákladům ve výši 11,7 mld. Kč</w:t>
      </w:r>
      <w:r w:rsidRPr="00E80979">
        <w:rPr>
          <w:rFonts w:cs="Arial"/>
          <w:szCs w:val="18"/>
        </w:rPr>
        <w:t xml:space="preserve">. </w:t>
      </w:r>
    </w:p>
    <w:p w:rsidR="00DA4E52" w:rsidRPr="00967A43" w:rsidRDefault="00DA4E52" w:rsidP="00DA4E52">
      <w:r>
        <w:t xml:space="preserve">Alternativní pohled na problematiku poskytuje výstup modelování zástupců odboru bytové politiky ministerstva místního rozvoje, který vychází především ze zkušenosti zájmu o podporu poskytovanou skrze existující dotační titul Vstupní byt, který podporuje financování sledovaných projektů již od roku 2003. Dle vlastních výpočtů je možné očekávat </w:t>
      </w:r>
      <w:r w:rsidRPr="00967A43">
        <w:rPr>
          <w:b/>
        </w:rPr>
        <w:t xml:space="preserve">potřebu zabezpečení cca 127 vstupních bytů ročně, při výše uvedených průměrných nákladech plyne absorpční kapacita </w:t>
      </w:r>
      <w:r w:rsidRPr="00585A3A">
        <w:t>(za roky 2015-2023)</w:t>
      </w:r>
      <w:r>
        <w:rPr>
          <w:b/>
        </w:rPr>
        <w:t xml:space="preserve"> </w:t>
      </w:r>
      <w:r w:rsidRPr="00967A43">
        <w:rPr>
          <w:b/>
        </w:rPr>
        <w:t>cca 1,43 mld. Kč.</w:t>
      </w:r>
      <w:r>
        <w:t xml:space="preserve"> </w:t>
      </w:r>
    </w:p>
    <w:p w:rsidR="00DA4E52" w:rsidRDefault="00DA4E52" w:rsidP="006C01B3">
      <w:pPr>
        <w:pStyle w:val="Nadpis4"/>
      </w:pPr>
      <w:r w:rsidRPr="005153EF">
        <w:t>Tržní selhání a neoptimální investiční situace</w:t>
      </w:r>
    </w:p>
    <w:p w:rsidR="00DA4E52" w:rsidRPr="00D40384" w:rsidRDefault="00DA4E52" w:rsidP="00DA4E52">
      <w:r w:rsidRPr="00734045">
        <w:t>Realizovanou analýzou nabídky a poptávky ve sledovaných specifických cílech dospěl dodavatel k závěru, že dochází k tržnímu selhání. Nedostatek vhodných nemovitostí k poskytování sociálního bydlení pociťují nejen sami žadatelé o pronájem, ale všichni obyvatelé, kteří jsou nedobrovolně vystavováni negativním důsledkům spojeným s neřešenou bytovou situací a sociálním vyloučením. Přestože se jedná o palčivý, politicky citlivý problém, územní samosprávy nejsou schopny výstavbu bytů financovat, ačkoli je na finanční výpomoc vyčleněno značné množství prostředků, které jsou ovšem distribuovány za pro potenciální žadatele neatraktivních podmínek.</w:t>
      </w:r>
    </w:p>
    <w:p w:rsidR="00DA4E52" w:rsidRPr="00734045" w:rsidRDefault="00DA4E52" w:rsidP="00DA4E52">
      <w:r w:rsidRPr="00734045">
        <w:t>Tržní selhání dle našeho mínění způsobují zejména:</w:t>
      </w:r>
    </w:p>
    <w:p w:rsidR="00DA4E52" w:rsidRPr="00077E2C" w:rsidRDefault="00DA4E52" w:rsidP="002D2639">
      <w:pPr>
        <w:pStyle w:val="Odstavecseseznamem"/>
        <w:numPr>
          <w:ilvl w:val="0"/>
          <w:numId w:val="47"/>
        </w:numPr>
      </w:pPr>
      <w:r w:rsidRPr="00077E2C">
        <w:t>Dlouhá doba návratnosti investice</w:t>
      </w:r>
      <w:r>
        <w:t>.</w:t>
      </w:r>
    </w:p>
    <w:p w:rsidR="00DA4E52" w:rsidRPr="00077E2C" w:rsidRDefault="00DA4E52" w:rsidP="002D2639">
      <w:pPr>
        <w:pStyle w:val="Odstavecseseznamem"/>
        <w:numPr>
          <w:ilvl w:val="0"/>
          <w:numId w:val="47"/>
        </w:numPr>
      </w:pPr>
      <w:r w:rsidRPr="00077E2C">
        <w:lastRenderedPageBreak/>
        <w:t xml:space="preserve">Nedostatečná úvěrová kapacita potenciálních příjemců – žadatel o </w:t>
      </w:r>
      <w:r>
        <w:t>(</w:t>
      </w:r>
      <w:r w:rsidRPr="00077E2C">
        <w:t>zvýhodněný</w:t>
      </w:r>
      <w:r>
        <w:t>)</w:t>
      </w:r>
      <w:r w:rsidRPr="00077E2C">
        <w:t xml:space="preserve"> úvěr musí dofinancovat zbytek investice ze svých zdrojů. Rozpočty obcí jsou často značně napjaté, a získání bankovního investičního financování je vzhledem k častému přeúvěrování obcí problematické</w:t>
      </w:r>
      <w:r>
        <w:t>.</w:t>
      </w:r>
    </w:p>
    <w:p w:rsidR="00DA4E52" w:rsidRPr="00077E2C" w:rsidRDefault="00DA4E52" w:rsidP="002D2639">
      <w:pPr>
        <w:pStyle w:val="Odstavecseseznamem"/>
        <w:numPr>
          <w:ilvl w:val="0"/>
          <w:numId w:val="47"/>
        </w:numPr>
      </w:pPr>
      <w:r w:rsidRPr="00077E2C">
        <w:t xml:space="preserve">Dlouhodobý závazek spojený s rizikem – </w:t>
      </w:r>
      <w:r>
        <w:t>obec</w:t>
      </w:r>
      <w:r w:rsidRPr="00077E2C">
        <w:t xml:space="preserve"> musí po celou dobu investice aktivně zabezpečovat její „provoz“. Vzhledem k nezakořeněným sociálním návykům potenciálních nájemníků je vysoké riziko ničení majetku a problémů s opravami nebo vystěhováváním, které může být hrazeno pojištěním, ale znamená pro obce a nemalou organizační zátěž</w:t>
      </w:r>
      <w:r>
        <w:t>.</w:t>
      </w:r>
    </w:p>
    <w:p w:rsidR="00DA4E52" w:rsidRPr="00077E2C" w:rsidRDefault="00DA4E52" w:rsidP="002D2639">
      <w:pPr>
        <w:pStyle w:val="Odstavecseseznamem"/>
        <w:numPr>
          <w:ilvl w:val="0"/>
          <w:numId w:val="47"/>
        </w:numPr>
      </w:pPr>
      <w:r w:rsidRPr="00077E2C">
        <w:t>Politické hledisko</w:t>
      </w:r>
      <w:r>
        <w:t xml:space="preserve"> - d</w:t>
      </w:r>
      <w:r w:rsidRPr="00077E2C">
        <w:t>oba trvání investice přesahuje délku vole</w:t>
      </w:r>
      <w:r>
        <w:t>bního období.</w:t>
      </w:r>
    </w:p>
    <w:p w:rsidR="00DA4E52" w:rsidRPr="00077E2C" w:rsidRDefault="00DA4E52" w:rsidP="002D2639">
      <w:pPr>
        <w:pStyle w:val="Odstavecseseznamem"/>
        <w:numPr>
          <w:ilvl w:val="0"/>
          <w:numId w:val="47"/>
        </w:numPr>
      </w:pPr>
      <w:r w:rsidRPr="00077E2C">
        <w:t>Zvýšená pracovní zátěž nad rámec „standardních povinností“ – s realizací projektu je spojena nadměrná zátěž, a to jak během přípravných prací, tak během realizace a udržitelnosti (nemluvě o administrativní zátěži spojené s čerpáním dotovaného úvěru či dotace z prostředků EU)</w:t>
      </w:r>
      <w:r>
        <w:t>.</w:t>
      </w:r>
    </w:p>
    <w:p w:rsidR="00DA4E52" w:rsidRDefault="00DA4E52" w:rsidP="002D2639">
      <w:pPr>
        <w:pStyle w:val="Odstavecseseznamem"/>
        <w:numPr>
          <w:ilvl w:val="0"/>
          <w:numId w:val="47"/>
        </w:numPr>
      </w:pPr>
      <w:r>
        <w:t>Absence k</w:t>
      </w:r>
      <w:r w:rsidRPr="007645EE">
        <w:t>omplexní</w:t>
      </w:r>
      <w:r>
        <w:t>ho</w:t>
      </w:r>
      <w:r w:rsidRPr="007645EE">
        <w:t xml:space="preserve"> zvážení přínosů a nákladů projekt</w:t>
      </w:r>
      <w:r>
        <w:t>ů</w:t>
      </w:r>
      <w:r w:rsidR="00966829">
        <w:t xml:space="preserve"> při plánování investice.</w:t>
      </w:r>
    </w:p>
    <w:p w:rsidR="00DA4E52" w:rsidRDefault="00DA4E52" w:rsidP="002D2639">
      <w:pPr>
        <w:pStyle w:val="Odstavecseseznamem"/>
        <w:numPr>
          <w:ilvl w:val="0"/>
          <w:numId w:val="47"/>
        </w:numPr>
      </w:pPr>
      <w:r>
        <w:t>Legislativní nejednoznačnost a absence komplexní koncepce státu ve sledované oblasti.</w:t>
      </w:r>
    </w:p>
    <w:p w:rsidR="00DA4E52" w:rsidRDefault="00DA4E52" w:rsidP="00DA4E52">
      <w:r>
        <w:t>Dodavatel konstatuje, že celá sledovaná oblast trpí zá</w:t>
      </w:r>
      <w:r w:rsidR="00501419">
        <w:t>važnými tržními selháními, která</w:t>
      </w:r>
      <w:r>
        <w:t xml:space="preserve"> znamenají nezájem potenciálních příjemců </w:t>
      </w:r>
      <w:r w:rsidR="0025661B">
        <w:t>tyto projekty realizovat.</w:t>
      </w:r>
    </w:p>
    <w:p w:rsidR="00DA4E52" w:rsidRDefault="00A81ACB" w:rsidP="00DA4E52">
      <w:r>
        <w:rPr>
          <w:b/>
        </w:rPr>
        <w:t>V souladu s metodikou je nutné po realizaci kvantitativní analýzy p</w:t>
      </w:r>
      <w:r w:rsidR="00A825E5">
        <w:rPr>
          <w:b/>
        </w:rPr>
        <w:t>rovést taky analýzu kvalitativní</w:t>
      </w:r>
      <w:r>
        <w:rPr>
          <w:b/>
        </w:rPr>
        <w:t xml:space="preserve">. </w:t>
      </w:r>
      <w:r w:rsidR="00A825E5">
        <w:rPr>
          <w:b/>
        </w:rPr>
        <w:t xml:space="preserve">V rámci kvalitativního hodnocení </w:t>
      </w:r>
      <w:r>
        <w:rPr>
          <w:b/>
        </w:rPr>
        <w:t>je tedy nutné upozornit na fakt, že n</w:t>
      </w:r>
      <w:r w:rsidR="00DA4E52" w:rsidRPr="00A21A47">
        <w:rPr>
          <w:b/>
        </w:rPr>
        <w:t>elze zaměňovat pojmy investiční potřeba a poptávka po veřejné podpoře IROP, je zřejmé, že disponibilní poptávka je řádově menší, než sama investiční potřeba</w:t>
      </w:r>
      <w:r w:rsidR="00DA4E52">
        <w:t xml:space="preserve"> – tuto skutečnost dodavatel zohledňuje. Mezi hlavní důvody tohoto rozdílu je především nutné zařadit důsledky tržních selhání, dále pak důvody, že výpočty agentury i odboru bydlení využívají jiné předpoklady, než zacílení IROP (např. skutečnost, že z IROP nelze financovat sociální bydlení pro seniory, nelze podporovat mezi příjemci soukromé subjekty, podpora pravděpodobně nebude k dispozici plošně v rámci celé ČR ale pouze ve vyloučených lokalitách a mimo hl. město Praha, apod.). Dodavatel nadále nepovažuje za vyjasněné, zda je sledovanou oblast vhodnější adresovat dotační podporou nebo vhodně nastaveným finančním nástrojem ve formě zvýhodněného úvěru – toto rozhodnutí je silně vázáno především na dvě otevřené otázky, bez jejichž vyjasnění není možné specifikovat vhodnou formu nápravy identifikovaného tržního selhání. Tyto otevřené otázky jsou následující:</w:t>
      </w:r>
    </w:p>
    <w:p w:rsidR="00DA4E52" w:rsidRDefault="00DA4E52" w:rsidP="002D2639">
      <w:pPr>
        <w:pStyle w:val="Odstavecseseznamem"/>
        <w:numPr>
          <w:ilvl w:val="0"/>
          <w:numId w:val="54"/>
        </w:numPr>
      </w:pPr>
      <w:r>
        <w:t xml:space="preserve">Jaká bude konečná podoba připravované </w:t>
      </w:r>
      <w:r w:rsidRPr="00931016">
        <w:rPr>
          <w:b/>
        </w:rPr>
        <w:t>koncepce řešení problematiky sociálního bydlení a podoba souvisejícího připravovaného zákona</w:t>
      </w:r>
      <w:r>
        <w:t xml:space="preserve"> – jaké budou priority řešení, jaké budou doporučené nástroje, jaké na oblast budou vyčleněny národní prostředky, zda budou upřednostňovány investiční či neinvestiční formy adresování problému, apod.</w:t>
      </w:r>
    </w:p>
    <w:p w:rsidR="00DA4E52" w:rsidRDefault="00DA4E52" w:rsidP="002D2639">
      <w:pPr>
        <w:pStyle w:val="Odstavecseseznamem"/>
        <w:numPr>
          <w:ilvl w:val="0"/>
          <w:numId w:val="54"/>
        </w:numPr>
      </w:pPr>
      <w:r>
        <w:t xml:space="preserve">Jak budou adresovány problémy nezájmu o prostředky, které lze pozorovat v současném období u všech typů přidělované podpory (národních i evropských zdrojů) – </w:t>
      </w:r>
      <w:r w:rsidRPr="00931016">
        <w:rPr>
          <w:b/>
        </w:rPr>
        <w:t>jak bude řešena především informační bariéra</w:t>
      </w:r>
      <w:r>
        <w:t>, kdy potenciální příjemci si s problematikou spojují především řadu nákladů, nicméně nevnímají potenciální (dlouhodobé) přínosy aktivního řešení problematiky na svém území.</w:t>
      </w:r>
    </w:p>
    <w:p w:rsidR="00501419" w:rsidRDefault="00501419" w:rsidP="00DA4E52">
      <w:pPr>
        <w:rPr>
          <w:b/>
        </w:rPr>
      </w:pPr>
      <w:r>
        <w:rPr>
          <w:b/>
        </w:rPr>
        <w:t xml:space="preserve">S ohledem na uvedené doporučuje dodavatel, aby řídící orgán zahájil čerpání dotační formou s tím, že do programového dokumentu bude uvedeno, že oblast může být v budoucnu převedena do nově vytvořeného finančního nástroje, pravděpodobně na úvěrovém principu s dotační složkou. </w:t>
      </w:r>
    </w:p>
    <w:p w:rsidR="00DA4E52" w:rsidRDefault="00DA4E52" w:rsidP="000979B7">
      <w:pPr>
        <w:pStyle w:val="Nadpis4"/>
      </w:pPr>
      <w:r w:rsidRPr="005153EF">
        <w:t>Návrh op</w:t>
      </w:r>
      <w:r>
        <w:t>atření nápravy tržního selhání</w:t>
      </w:r>
    </w:p>
    <w:p w:rsidR="00DA4E52" w:rsidRDefault="00DA4E52" w:rsidP="00DA4E52">
      <w:r>
        <w:t>Níže dodavatel uvádí závěry srovnání dopadu volby dotačního schématu či finančního nástroje, co se týče identifikovaných tržních selhání. V tabulce níže jsou vyjmenována tržní selhání a zhodnocení, jak očekáváme, že by volba první či druhé varianty intervence mohla situaci ve sledovaném atributu změnit.</w:t>
      </w:r>
    </w:p>
    <w:tbl>
      <w:tblPr>
        <w:tblStyle w:val="Deloittetable1"/>
        <w:tblW w:w="9242" w:type="dxa"/>
        <w:tblLook w:val="04A0" w:firstRow="1" w:lastRow="0" w:firstColumn="1" w:lastColumn="0" w:noHBand="0" w:noVBand="1"/>
      </w:tblPr>
      <w:tblGrid>
        <w:gridCol w:w="2155"/>
        <w:gridCol w:w="3260"/>
        <w:gridCol w:w="3827"/>
      </w:tblGrid>
      <w:tr w:rsidR="00DA4E52" w:rsidTr="00A16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vAlign w:val="center"/>
          </w:tcPr>
          <w:p w:rsidR="00DA4E52" w:rsidRPr="00F90A91" w:rsidRDefault="00DA4E52" w:rsidP="00A16727">
            <w:pPr>
              <w:pStyle w:val="Highlight2"/>
              <w:spacing w:after="0"/>
              <w:jc w:val="center"/>
              <w:rPr>
                <w:color w:val="FFFFFF" w:themeColor="background1"/>
              </w:rPr>
            </w:pPr>
            <w:r>
              <w:rPr>
                <w:rFonts w:cs="Arial"/>
                <w:b/>
                <w:color w:val="FFFFFF" w:themeColor="background1"/>
                <w:lang w:eastAsia="cs-CZ"/>
              </w:rPr>
              <w:t>Tržní selhání</w:t>
            </w:r>
          </w:p>
        </w:tc>
        <w:tc>
          <w:tcPr>
            <w:tcW w:w="3260" w:type="dxa"/>
            <w:vAlign w:val="center"/>
          </w:tcPr>
          <w:p w:rsidR="00DA4E52" w:rsidRPr="00F90A91" w:rsidRDefault="00DA4E52" w:rsidP="00A16727">
            <w:pPr>
              <w:pStyle w:val="Highlight2"/>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90A91">
              <w:rPr>
                <w:rFonts w:cs="Arial"/>
                <w:b/>
                <w:bCs/>
                <w:color w:val="FFFFFF" w:themeColor="background1"/>
                <w:lang w:eastAsia="cs-CZ"/>
              </w:rPr>
              <w:t>Dotace</w:t>
            </w:r>
          </w:p>
        </w:tc>
        <w:tc>
          <w:tcPr>
            <w:tcW w:w="3827" w:type="dxa"/>
            <w:vAlign w:val="center"/>
          </w:tcPr>
          <w:p w:rsidR="00DA4E52" w:rsidRPr="00F90A91" w:rsidRDefault="00DA4E52" w:rsidP="00A16727">
            <w:pPr>
              <w:pStyle w:val="Highlight2"/>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90A91">
              <w:rPr>
                <w:rFonts w:cs="Arial"/>
                <w:b/>
                <w:bCs/>
                <w:color w:val="FFFFFF" w:themeColor="background1"/>
                <w:lang w:eastAsia="cs-CZ"/>
              </w:rPr>
              <w:t>Úvěrový nástroj</w:t>
            </w:r>
          </w:p>
        </w:tc>
      </w:tr>
      <w:tr w:rsidR="00DA4E52" w:rsidTr="00A16727">
        <w:tc>
          <w:tcPr>
            <w:cnfStyle w:val="001000000000" w:firstRow="0" w:lastRow="0" w:firstColumn="1" w:lastColumn="0" w:oddVBand="0" w:evenVBand="0" w:oddHBand="0" w:evenHBand="0" w:firstRowFirstColumn="0" w:firstRowLastColumn="0" w:lastRowFirstColumn="0" w:lastRowLastColumn="0"/>
            <w:tcW w:w="2155" w:type="dxa"/>
            <w:vAlign w:val="center"/>
          </w:tcPr>
          <w:p w:rsidR="00DA4E52" w:rsidRPr="00F90A91" w:rsidRDefault="00DA4E52" w:rsidP="00A16727">
            <w:pPr>
              <w:pStyle w:val="Highlight2"/>
              <w:spacing w:after="0"/>
              <w:jc w:val="left"/>
            </w:pPr>
            <w:r>
              <w:rPr>
                <w:rFonts w:cs="Arial"/>
                <w:bCs/>
                <w:color w:val="000000"/>
                <w:lang w:eastAsia="cs-CZ"/>
              </w:rPr>
              <w:t>Dlouhá doba návratnosti</w:t>
            </w:r>
          </w:p>
        </w:tc>
        <w:tc>
          <w:tcPr>
            <w:tcW w:w="3260"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000000"/>
                <w:lang w:eastAsia="cs-CZ"/>
              </w:rPr>
              <w:t>Pokrytí částí investice nevratnou dotací snižuje dobu návratnosti</w:t>
            </w:r>
          </w:p>
        </w:tc>
        <w:tc>
          <w:tcPr>
            <w:tcW w:w="3827"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000000"/>
                <w:lang w:eastAsia="cs-CZ"/>
              </w:rPr>
              <w:t>Zvýhodněný úvěr zkracuje běžnou návratnost, případná dotační složka také – méně než samotná dotace</w:t>
            </w:r>
          </w:p>
        </w:tc>
      </w:tr>
      <w:tr w:rsidR="00DA4E52" w:rsidTr="00A16727">
        <w:tc>
          <w:tcPr>
            <w:cnfStyle w:val="001000000000" w:firstRow="0" w:lastRow="0" w:firstColumn="1" w:lastColumn="0" w:oddVBand="0" w:evenVBand="0" w:oddHBand="0" w:evenHBand="0" w:firstRowFirstColumn="0" w:firstRowLastColumn="0" w:lastRowFirstColumn="0" w:lastRowLastColumn="0"/>
            <w:tcW w:w="2155" w:type="dxa"/>
            <w:vAlign w:val="center"/>
          </w:tcPr>
          <w:p w:rsidR="00DA4E52" w:rsidRPr="00F90A91" w:rsidRDefault="00DA4E52" w:rsidP="00A16727">
            <w:pPr>
              <w:pStyle w:val="Highlight2"/>
              <w:spacing w:after="0"/>
              <w:jc w:val="left"/>
            </w:pPr>
            <w:r>
              <w:rPr>
                <w:rFonts w:cs="Arial"/>
                <w:bCs/>
                <w:color w:val="000000"/>
                <w:lang w:eastAsia="cs-CZ"/>
              </w:rPr>
              <w:t>Nedostatečná úvěrová kapacita</w:t>
            </w:r>
          </w:p>
        </w:tc>
        <w:tc>
          <w:tcPr>
            <w:tcW w:w="3260"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000000"/>
                <w:lang w:eastAsia="cs-CZ"/>
              </w:rPr>
              <w:t>Dotace nezvyšuje zadlužení, nicméně potřeba zabezpečit spolufinancování tržně ano</w:t>
            </w:r>
          </w:p>
        </w:tc>
        <w:tc>
          <w:tcPr>
            <w:tcW w:w="3827"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000000"/>
                <w:lang w:eastAsia="cs-CZ"/>
              </w:rPr>
              <w:t xml:space="preserve">Zlevněný úvěr klade na zadluženost nižší nároky, než úvěr tržní. Rating umožňuje podporu i rizikovějších projektů </w:t>
            </w:r>
          </w:p>
        </w:tc>
      </w:tr>
      <w:tr w:rsidR="00DA4E52" w:rsidTr="00A16727">
        <w:tc>
          <w:tcPr>
            <w:cnfStyle w:val="001000000000" w:firstRow="0" w:lastRow="0" w:firstColumn="1" w:lastColumn="0" w:oddVBand="0" w:evenVBand="0" w:oddHBand="0" w:evenHBand="0" w:firstRowFirstColumn="0" w:firstRowLastColumn="0" w:lastRowFirstColumn="0" w:lastRowLastColumn="0"/>
            <w:tcW w:w="2155" w:type="dxa"/>
            <w:vAlign w:val="center"/>
          </w:tcPr>
          <w:p w:rsidR="00DA4E52" w:rsidRPr="00F90A91" w:rsidRDefault="00DA4E52" w:rsidP="00A16727">
            <w:pPr>
              <w:pStyle w:val="Highlight2"/>
              <w:spacing w:after="0"/>
              <w:jc w:val="left"/>
            </w:pPr>
            <w:r>
              <w:rPr>
                <w:rFonts w:cs="Arial"/>
                <w:bCs/>
                <w:color w:val="000000"/>
                <w:lang w:eastAsia="cs-CZ"/>
              </w:rPr>
              <w:t>Dlouhodobý závazek</w:t>
            </w:r>
          </w:p>
        </w:tc>
        <w:tc>
          <w:tcPr>
            <w:tcW w:w="3260"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bCs/>
                <w:color w:val="000000"/>
                <w:lang w:eastAsia="cs-CZ"/>
              </w:rPr>
              <w:t>Bez významného vlivu</w:t>
            </w:r>
          </w:p>
        </w:tc>
        <w:tc>
          <w:tcPr>
            <w:tcW w:w="3827"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auto"/>
                <w:lang w:eastAsia="cs-CZ"/>
              </w:rPr>
              <w:t>Bez významného vlivu</w:t>
            </w:r>
          </w:p>
        </w:tc>
      </w:tr>
      <w:tr w:rsidR="00DA4E52" w:rsidTr="00A16727">
        <w:tc>
          <w:tcPr>
            <w:cnfStyle w:val="001000000000" w:firstRow="0" w:lastRow="0" w:firstColumn="1" w:lastColumn="0" w:oddVBand="0" w:evenVBand="0" w:oddHBand="0" w:evenHBand="0" w:firstRowFirstColumn="0" w:firstRowLastColumn="0" w:lastRowFirstColumn="0" w:lastRowLastColumn="0"/>
            <w:tcW w:w="2155" w:type="dxa"/>
            <w:vAlign w:val="center"/>
          </w:tcPr>
          <w:p w:rsidR="00DA4E52" w:rsidRPr="00F90A91" w:rsidRDefault="00DA4E52" w:rsidP="00A16727">
            <w:pPr>
              <w:pStyle w:val="Highlight2"/>
              <w:spacing w:after="0"/>
              <w:jc w:val="left"/>
            </w:pPr>
            <w:r w:rsidRPr="00F90A91">
              <w:rPr>
                <w:rFonts w:cs="Arial"/>
                <w:bCs/>
                <w:color w:val="000000"/>
                <w:lang w:eastAsia="cs-CZ"/>
              </w:rPr>
              <w:t>Politické hledisko</w:t>
            </w:r>
          </w:p>
        </w:tc>
        <w:tc>
          <w:tcPr>
            <w:tcW w:w="3260"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sidRPr="00F90A91">
              <w:rPr>
                <w:rFonts w:cs="Arial"/>
                <w:b w:val="0"/>
                <w:color w:val="000000"/>
                <w:lang w:eastAsia="cs-CZ"/>
              </w:rPr>
              <w:t>Pozitivní vnímání dotací veřejností</w:t>
            </w:r>
          </w:p>
        </w:tc>
        <w:tc>
          <w:tcPr>
            <w:tcW w:w="3827"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auto"/>
                <w:lang w:eastAsia="cs-CZ"/>
              </w:rPr>
              <w:t>Bez významného vlivu</w:t>
            </w:r>
          </w:p>
        </w:tc>
      </w:tr>
      <w:tr w:rsidR="00DA4E52" w:rsidTr="00A16727">
        <w:tc>
          <w:tcPr>
            <w:cnfStyle w:val="001000000000" w:firstRow="0" w:lastRow="0" w:firstColumn="1" w:lastColumn="0" w:oddVBand="0" w:evenVBand="0" w:oddHBand="0" w:evenHBand="0" w:firstRowFirstColumn="0" w:firstRowLastColumn="0" w:lastRowFirstColumn="0" w:lastRowLastColumn="0"/>
            <w:tcW w:w="2155" w:type="dxa"/>
            <w:vAlign w:val="center"/>
          </w:tcPr>
          <w:p w:rsidR="00DA4E52" w:rsidRPr="00F90A91" w:rsidRDefault="00DA4E52" w:rsidP="00A16727">
            <w:pPr>
              <w:pStyle w:val="Highlight2"/>
              <w:spacing w:after="0"/>
              <w:jc w:val="left"/>
            </w:pPr>
            <w:r>
              <w:rPr>
                <w:rFonts w:cs="Arial"/>
                <w:bCs/>
                <w:color w:val="000000"/>
                <w:lang w:eastAsia="cs-CZ"/>
              </w:rPr>
              <w:t>Zvýšená pracovní zátěž</w:t>
            </w:r>
          </w:p>
        </w:tc>
        <w:tc>
          <w:tcPr>
            <w:tcW w:w="3260"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000000"/>
                <w:lang w:eastAsia="cs-CZ"/>
              </w:rPr>
              <w:t xml:space="preserve">Dotace je vnímána pro svoji admin. zátěž na straně konečného </w:t>
            </w:r>
            <w:r>
              <w:rPr>
                <w:rFonts w:cs="Arial"/>
                <w:b w:val="0"/>
                <w:color w:val="000000"/>
                <w:lang w:eastAsia="cs-CZ"/>
              </w:rPr>
              <w:lastRenderedPageBreak/>
              <w:t>příjemce značně negativně, tedy dotace může posilovat tržní selhání</w:t>
            </w:r>
          </w:p>
        </w:tc>
        <w:tc>
          <w:tcPr>
            <w:tcW w:w="3827"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000000"/>
                <w:lang w:eastAsia="cs-CZ"/>
              </w:rPr>
              <w:lastRenderedPageBreak/>
              <w:t xml:space="preserve">Nastavení čerpání skrze finanční nástroje je významně jednodušší, neutrální vliv na </w:t>
            </w:r>
            <w:r>
              <w:rPr>
                <w:rFonts w:cs="Arial"/>
                <w:b w:val="0"/>
                <w:color w:val="000000"/>
                <w:lang w:eastAsia="cs-CZ"/>
              </w:rPr>
              <w:lastRenderedPageBreak/>
              <w:t xml:space="preserve">tržní selhání (primárně z pohledu konečného příjemce) </w:t>
            </w:r>
          </w:p>
        </w:tc>
      </w:tr>
      <w:tr w:rsidR="00DA4E52" w:rsidTr="00A16727">
        <w:tc>
          <w:tcPr>
            <w:cnfStyle w:val="001000000000" w:firstRow="0" w:lastRow="0" w:firstColumn="1" w:lastColumn="0" w:oddVBand="0" w:evenVBand="0" w:oddHBand="0" w:evenHBand="0" w:firstRowFirstColumn="0" w:firstRowLastColumn="0" w:lastRowFirstColumn="0" w:lastRowLastColumn="0"/>
            <w:tcW w:w="2155" w:type="dxa"/>
            <w:vAlign w:val="center"/>
          </w:tcPr>
          <w:p w:rsidR="00DA4E52" w:rsidRPr="00F90A91" w:rsidRDefault="00DA4E52" w:rsidP="00A16727">
            <w:pPr>
              <w:pStyle w:val="Highlight2"/>
              <w:spacing w:after="0"/>
              <w:jc w:val="left"/>
            </w:pPr>
            <w:r>
              <w:rPr>
                <w:rFonts w:cs="Arial"/>
                <w:bCs/>
                <w:color w:val="000000"/>
                <w:lang w:eastAsia="cs-CZ"/>
              </w:rPr>
              <w:lastRenderedPageBreak/>
              <w:t xml:space="preserve">Absence komplexního zvážení přínosů a nákladů </w:t>
            </w:r>
          </w:p>
        </w:tc>
        <w:tc>
          <w:tcPr>
            <w:tcW w:w="3260"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bCs/>
                <w:color w:val="000000"/>
                <w:lang w:eastAsia="cs-CZ"/>
              </w:rPr>
              <w:t>Bez významného vlivu</w:t>
            </w:r>
          </w:p>
        </w:tc>
        <w:tc>
          <w:tcPr>
            <w:tcW w:w="3827"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000000"/>
                <w:lang w:eastAsia="cs-CZ"/>
              </w:rPr>
              <w:t>Příjemce je při plánování projektu nucen propočítat ekonomickou návratnost apod., pozitivní vliv na tržní selhání</w:t>
            </w:r>
          </w:p>
        </w:tc>
      </w:tr>
      <w:tr w:rsidR="0025661B" w:rsidTr="005D35FD">
        <w:tc>
          <w:tcPr>
            <w:cnfStyle w:val="001000000000" w:firstRow="0" w:lastRow="0" w:firstColumn="1" w:lastColumn="0" w:oddVBand="0" w:evenVBand="0" w:oddHBand="0" w:evenHBand="0" w:firstRowFirstColumn="0" w:firstRowLastColumn="0" w:lastRowFirstColumn="0" w:lastRowLastColumn="0"/>
            <w:tcW w:w="2155" w:type="dxa"/>
            <w:vAlign w:val="center"/>
          </w:tcPr>
          <w:p w:rsidR="0025661B" w:rsidRPr="00F90A91" w:rsidRDefault="0025661B" w:rsidP="00A16727">
            <w:pPr>
              <w:pStyle w:val="Highlight2"/>
              <w:spacing w:after="0"/>
              <w:jc w:val="left"/>
            </w:pPr>
            <w:r>
              <w:rPr>
                <w:rFonts w:cs="Arial"/>
                <w:bCs/>
                <w:color w:val="000000"/>
                <w:lang w:eastAsia="cs-CZ"/>
              </w:rPr>
              <w:t>Legislativní nejednoznačnost</w:t>
            </w:r>
          </w:p>
        </w:tc>
        <w:tc>
          <w:tcPr>
            <w:tcW w:w="7087" w:type="dxa"/>
            <w:gridSpan w:val="2"/>
            <w:vAlign w:val="center"/>
          </w:tcPr>
          <w:p w:rsidR="0025661B" w:rsidRPr="00F90A91" w:rsidRDefault="0025661B" w:rsidP="0025661B">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bCs/>
                <w:color w:val="000000"/>
                <w:lang w:eastAsia="cs-CZ"/>
              </w:rPr>
              <w:t xml:space="preserve">Vyjasnění legislativní nejednoznačnosti pomůže rozhodnout, </w:t>
            </w:r>
            <w:r>
              <w:rPr>
                <w:rFonts w:cs="Arial"/>
                <w:b w:val="0"/>
                <w:bCs/>
                <w:color w:val="000000"/>
                <w:lang w:eastAsia="cs-CZ"/>
              </w:rPr>
              <w:br/>
              <w:t xml:space="preserve">která forma podpory bude výhodnější. </w:t>
            </w:r>
          </w:p>
        </w:tc>
      </w:tr>
    </w:tbl>
    <w:p w:rsidR="00DA4E52" w:rsidRDefault="00DA4E52" w:rsidP="00DA4E52">
      <w:pPr>
        <w:pStyle w:val="Titulek"/>
        <w:spacing w:after="240" w:afterAutospacing="0"/>
      </w:pPr>
      <w:bookmarkStart w:id="56" w:name="_Toc409795564"/>
      <w:bookmarkStart w:id="57" w:name="_Toc417655502"/>
      <w:r>
        <w:t xml:space="preserve">Tabulka </w:t>
      </w:r>
      <w:r>
        <w:fldChar w:fldCharType="begin"/>
      </w:r>
      <w:r>
        <w:instrText xml:space="preserve"> SEQ Tabulka \* ARABIC </w:instrText>
      </w:r>
      <w:r>
        <w:fldChar w:fldCharType="separate"/>
      </w:r>
      <w:r w:rsidR="007813A3">
        <w:rPr>
          <w:noProof/>
        </w:rPr>
        <w:t>4</w:t>
      </w:r>
      <w:r>
        <w:fldChar w:fldCharType="end"/>
      </w:r>
      <w:r>
        <w:t>: Přehled potenciálu dotace a úvěrového nástroje napravit identifikovaná tržní selhání</w:t>
      </w:r>
      <w:bookmarkEnd w:id="56"/>
      <w:bookmarkEnd w:id="57"/>
    </w:p>
    <w:p w:rsidR="00DA4E52" w:rsidRPr="00E15207" w:rsidRDefault="00DA4E52" w:rsidP="00DA4E52">
      <w:pPr>
        <w:rPr>
          <w:rFonts w:cs="Arial"/>
          <w:color w:val="000000"/>
          <w:sz w:val="24"/>
        </w:rPr>
      </w:pPr>
      <w:r w:rsidRPr="00E15207">
        <w:rPr>
          <w:rFonts w:cs="Arial"/>
        </w:rPr>
        <w:t xml:space="preserve">Dotační podoba finanční pomoci je pro žadatele nesporně atraktivnější po </w:t>
      </w:r>
      <w:r>
        <w:rPr>
          <w:rFonts w:cs="Arial"/>
        </w:rPr>
        <w:t>ekonomické i politické stránce, nicméně d</w:t>
      </w:r>
      <w:r w:rsidRPr="00E15207">
        <w:rPr>
          <w:rFonts w:cs="Arial"/>
        </w:rPr>
        <w:t>luhové financování je vhodnější k zajištění dlouhodobé operability investic a tedy faktického naplnění</w:t>
      </w:r>
      <w:r>
        <w:rPr>
          <w:rFonts w:cs="Arial"/>
        </w:rPr>
        <w:t xml:space="preserve"> záměru realizace co nejvyššího počtu nového sociálního bydlení z identifikované investiční potřeby ČR</w:t>
      </w:r>
      <w:r w:rsidRPr="00E15207">
        <w:rPr>
          <w:rFonts w:cs="Arial"/>
        </w:rPr>
        <w:t>. Posouzení vhodnosti volby mezi oběma podobami podpory, respektive nalezení jejich vhodné kombinace, bude předmětem další analýzy</w:t>
      </w:r>
      <w:r w:rsidR="00501419">
        <w:rPr>
          <w:rFonts w:cs="Arial"/>
        </w:rPr>
        <w:t xml:space="preserve"> v okamžiku vyjasnění otevřených otázek, a to formou aktualizace ex-ante analýzy. V rámci této aktualizace bude nutné adresovat především následující </w:t>
      </w:r>
      <w:r w:rsidR="00501419" w:rsidRPr="00501419">
        <w:rPr>
          <w:rFonts w:cs="Arial"/>
        </w:rPr>
        <w:t>zn</w:t>
      </w:r>
      <w:r w:rsidR="00501419">
        <w:rPr>
          <w:rFonts w:cs="Arial"/>
        </w:rPr>
        <w:t>ámé omezení, rizika a problémy</w:t>
      </w:r>
      <w:r w:rsidRPr="00E15207">
        <w:rPr>
          <w:rFonts w:cs="Arial"/>
        </w:rPr>
        <w:t>:</w:t>
      </w:r>
    </w:p>
    <w:p w:rsidR="00DA4E52" w:rsidRPr="00E15207" w:rsidRDefault="00DA4E52" w:rsidP="002D2639">
      <w:pPr>
        <w:pStyle w:val="Odstavecseseznamem"/>
        <w:numPr>
          <w:ilvl w:val="0"/>
          <w:numId w:val="53"/>
        </w:numPr>
        <w:ind w:left="714" w:hanging="357"/>
        <w:contextualSpacing w:val="0"/>
        <w:rPr>
          <w:rFonts w:cs="Arial"/>
        </w:rPr>
      </w:pPr>
      <w:r w:rsidRPr="00E15207">
        <w:rPr>
          <w:rFonts w:cs="Arial"/>
        </w:rPr>
        <w:t>Ziskovost projektů počítá se stoprocentním zaplněním bytové kapacity a neošetřuje riziko neobsazenosti bytů, která by mohla prodloužit dobu návratnosti projektu za únosnou hranici</w:t>
      </w:r>
      <w:r>
        <w:rPr>
          <w:rFonts w:cs="Arial"/>
        </w:rPr>
        <w:t>.</w:t>
      </w:r>
    </w:p>
    <w:p w:rsidR="00DA4E52" w:rsidRPr="00E15207" w:rsidRDefault="00DA4E52" w:rsidP="002D2639">
      <w:pPr>
        <w:pStyle w:val="Odstavecseseznamem"/>
        <w:numPr>
          <w:ilvl w:val="0"/>
          <w:numId w:val="53"/>
        </w:numPr>
        <w:ind w:left="714" w:hanging="357"/>
        <w:contextualSpacing w:val="0"/>
        <w:rPr>
          <w:rFonts w:cs="Arial"/>
        </w:rPr>
      </w:pPr>
      <w:r w:rsidRPr="00E15207">
        <w:rPr>
          <w:rFonts w:cs="Arial"/>
        </w:rPr>
        <w:t>Současný způsob posuzování žádostí nevylučuje schválení nevhodných projektů. Návratnost projektu je určována na základě jeho prosté návratnosti. Při aplikaci diskontního faktoru založeného na obvyklé referenční výnosové míře z hypotečních zástavních listů by opět mohlo dojít k neakceptovatelnému prodloužení doby návratnosti</w:t>
      </w:r>
      <w:r>
        <w:rPr>
          <w:rFonts w:cs="Arial"/>
        </w:rPr>
        <w:t>.</w:t>
      </w:r>
    </w:p>
    <w:p w:rsidR="00DA4E52" w:rsidRDefault="00DA4E52" w:rsidP="002D2639">
      <w:pPr>
        <w:pStyle w:val="Odstavecseseznamem"/>
        <w:numPr>
          <w:ilvl w:val="0"/>
          <w:numId w:val="53"/>
        </w:numPr>
        <w:ind w:left="714" w:hanging="357"/>
        <w:contextualSpacing w:val="0"/>
        <w:rPr>
          <w:rFonts w:cs="Arial"/>
        </w:rPr>
      </w:pPr>
      <w:r w:rsidRPr="00E15207">
        <w:rPr>
          <w:rFonts w:cs="Arial"/>
        </w:rPr>
        <w:t xml:space="preserve">Pod tlakem nutnosti splácet úvěr se mohou obce uchýlit ke zvyšování nájmu nad požadovanou hranici. </w:t>
      </w:r>
      <w:r>
        <w:rPr>
          <w:rFonts w:cs="Arial"/>
        </w:rPr>
        <w:t xml:space="preserve">Možnost, že by pravidla IROP ustanovila pravidla znemožňující zvyšovat nájemné nad rámec inflace je komplikovanou právní otázkou a nelze se na tento postup spolehnout – např. program podpory SFRB zavazuje příjemce dodržovat strop výše nájemného pouze ve vztahu k první uzavřené nájemné smlouvě, následné zvyšování omezeno není. </w:t>
      </w:r>
    </w:p>
    <w:p w:rsidR="00DA4E52" w:rsidRPr="00E15207" w:rsidRDefault="00DA4E52" w:rsidP="002D2639">
      <w:pPr>
        <w:pStyle w:val="Odstavecseseznamem"/>
        <w:numPr>
          <w:ilvl w:val="0"/>
          <w:numId w:val="53"/>
        </w:numPr>
        <w:ind w:left="714" w:hanging="357"/>
        <w:contextualSpacing w:val="0"/>
        <w:rPr>
          <w:rFonts w:cs="Arial"/>
        </w:rPr>
      </w:pPr>
      <w:r>
        <w:rPr>
          <w:rFonts w:cs="Arial"/>
        </w:rPr>
        <w:t>Při plánu zapojení kombinovaného finančního nástroje, obsahující dotační složku (např. 20% výše investice) není jasné, zda by bylo možné dostát omezením spojeným s pravidly pro veřejnou podporu.</w:t>
      </w:r>
      <w:r w:rsidR="000A58D4">
        <w:rPr>
          <w:rFonts w:cs="Arial"/>
        </w:rPr>
        <w:t xml:space="preserve"> V případě, že nebude potvrzena tato možnost, bylo by nutné žádat o dvě samostatné formy podpory odděleně.</w:t>
      </w:r>
    </w:p>
    <w:p w:rsidR="00DA4E52" w:rsidRDefault="00DA4E52" w:rsidP="00DA4E52">
      <w:pPr>
        <w:pStyle w:val="Highlight2"/>
      </w:pPr>
    </w:p>
    <w:p w:rsidR="00DA4E52" w:rsidRDefault="00DA4E52" w:rsidP="00DA4E52">
      <w:pPr>
        <w:spacing w:after="0"/>
        <w:jc w:val="left"/>
      </w:pPr>
      <w:r>
        <w:br w:type="page"/>
      </w:r>
    </w:p>
    <w:p w:rsidR="00DA4E52" w:rsidRDefault="00DA4E52" w:rsidP="00DA4E52">
      <w:pPr>
        <w:pStyle w:val="Nadpis3"/>
      </w:pPr>
      <w:bookmarkStart w:id="58" w:name="_Toc409797485"/>
      <w:bookmarkStart w:id="59" w:name="_Toc418767143"/>
      <w:r>
        <w:lastRenderedPageBreak/>
        <w:t xml:space="preserve">Specifický cíl 2.5 – </w:t>
      </w:r>
      <w:r w:rsidRPr="00866815">
        <w:t>Snížení energetické náročnosti v sektoru bydlení</w:t>
      </w:r>
      <w:bookmarkEnd w:id="58"/>
      <w:bookmarkEnd w:id="59"/>
    </w:p>
    <w:p w:rsidR="00DA4E52" w:rsidRDefault="00DA4E52" w:rsidP="000979B7">
      <w:pPr>
        <w:pStyle w:val="Nadpis4"/>
      </w:pPr>
      <w:r>
        <w:t>Výběr podporovaných aktivit SC 2.5 s potenciálem pro IFN</w:t>
      </w:r>
    </w:p>
    <w:p w:rsidR="00DA4E52" w:rsidRDefault="00DA4E52" w:rsidP="00DA4E52">
      <w:r w:rsidRPr="00D90CFC">
        <w:t>Na základě</w:t>
      </w:r>
      <w:r>
        <w:t xml:space="preserve"> pre-screeningového šetření bylo předběžně posouzeno, že celý specifický cíl je vhodný pro zapojení úvěrových finančních nástrojů, tedy oblasti podpory:</w:t>
      </w:r>
    </w:p>
    <w:p w:rsidR="00DA4E52" w:rsidRPr="00726B84" w:rsidRDefault="00DA4E52" w:rsidP="002D2639">
      <w:pPr>
        <w:pStyle w:val="Odstavecseseznamem"/>
        <w:numPr>
          <w:ilvl w:val="0"/>
          <w:numId w:val="21"/>
        </w:numPr>
      </w:pPr>
      <w:r w:rsidRPr="00726B84">
        <w:t>Snižování spotřeby energie zlepš</w:t>
      </w:r>
      <w:r>
        <w:t>ením tepelných vlastností budov;</w:t>
      </w:r>
    </w:p>
    <w:p w:rsidR="00DA4E52" w:rsidRPr="00726B84" w:rsidRDefault="00DA4E52" w:rsidP="002D2639">
      <w:pPr>
        <w:pStyle w:val="Odstavecseseznamem"/>
        <w:numPr>
          <w:ilvl w:val="0"/>
          <w:numId w:val="21"/>
        </w:numPr>
      </w:pPr>
      <w:r w:rsidRPr="00726B84">
        <w:t>Zařízení pro vy</w:t>
      </w:r>
      <w:r>
        <w:t>tápění nebo přípravu teplé vody;</w:t>
      </w:r>
    </w:p>
    <w:p w:rsidR="00DA4E52" w:rsidRPr="00726B84" w:rsidRDefault="00DA4E52" w:rsidP="002D2639">
      <w:pPr>
        <w:pStyle w:val="Odstavecseseznamem"/>
        <w:numPr>
          <w:ilvl w:val="0"/>
          <w:numId w:val="21"/>
        </w:numPr>
      </w:pPr>
      <w:r w:rsidRPr="00726B84">
        <w:t>Přechod na šetrné, ekologické zdroje</w:t>
      </w:r>
      <w:r>
        <w:t>.</w:t>
      </w:r>
      <w:r w:rsidRPr="00726B84">
        <w:t xml:space="preserve"> </w:t>
      </w:r>
    </w:p>
    <w:p w:rsidR="00DA4E52" w:rsidRDefault="00DA4E52" w:rsidP="00DA4E52">
      <w:r>
        <w:t xml:space="preserve">Příjemci mohou být </w:t>
      </w:r>
      <w:r w:rsidRPr="00726B84">
        <w:t>vlastníci bytových domů a společenství vlastníků bytových jednotek - budovy se čtyřmi a více byty</w:t>
      </w:r>
      <w:r>
        <w:t>.</w:t>
      </w:r>
    </w:p>
    <w:p w:rsidR="00DA4E52" w:rsidRDefault="00DA4E52" w:rsidP="000979B7">
      <w:pPr>
        <w:pStyle w:val="Nadpis4"/>
      </w:pPr>
      <w:r>
        <w:t>Obecná charakteristika tržního prostředí</w:t>
      </w:r>
    </w:p>
    <w:p w:rsidR="00DA4E52" w:rsidRPr="0009702A" w:rsidRDefault="00DA4E52" w:rsidP="00DA4E52">
      <w:pPr>
        <w:rPr>
          <w:szCs w:val="16"/>
        </w:rPr>
      </w:pPr>
      <w:r w:rsidRPr="0009702A">
        <w:rPr>
          <w:szCs w:val="16"/>
        </w:rPr>
        <w:t xml:space="preserve">Oblast energetiky je významně regulovaným oborem, který podléhá značnému vlivu státních orgánů. Dva z klíčových materiálů v tomto ohledu zaujímají </w:t>
      </w:r>
      <w:r w:rsidRPr="0009702A">
        <w:rPr>
          <w:b/>
          <w:szCs w:val="16"/>
        </w:rPr>
        <w:t xml:space="preserve">Národní akční plán energetické účinnosti ČR </w:t>
      </w:r>
      <w:r w:rsidRPr="0009702A">
        <w:rPr>
          <w:szCs w:val="16"/>
        </w:rPr>
        <w:t>a </w:t>
      </w:r>
      <w:r w:rsidRPr="0009702A">
        <w:rPr>
          <w:b/>
          <w:szCs w:val="16"/>
        </w:rPr>
        <w:t>Aktualizace Státní energetické koncepce ČR</w:t>
      </w:r>
      <w:r w:rsidRPr="0009702A">
        <w:rPr>
          <w:szCs w:val="16"/>
        </w:rPr>
        <w:t>, které vytyčují cíle pro budoucí období a nástroje, jakými je dosáhnout. Ustanovení o obecné charakteristice prostředí vycházejí především z poznatků aktuálního národní</w:t>
      </w:r>
      <w:r>
        <w:rPr>
          <w:szCs w:val="16"/>
        </w:rPr>
        <w:t>ho akčního plánu, konkrétně jeho druhé verze vydané 30. října 2014 na straně MPO</w:t>
      </w:r>
      <w:r w:rsidRPr="0009702A">
        <w:rPr>
          <w:szCs w:val="16"/>
        </w:rPr>
        <w:t>.</w:t>
      </w:r>
    </w:p>
    <w:p w:rsidR="00DA4E52" w:rsidRPr="0009702A" w:rsidRDefault="00DA4E52" w:rsidP="00DA4E52">
      <w:pPr>
        <w:rPr>
          <w:szCs w:val="16"/>
        </w:rPr>
      </w:pPr>
      <w:r w:rsidRPr="0009702A">
        <w:rPr>
          <w:szCs w:val="16"/>
        </w:rPr>
        <w:t xml:space="preserve">Česká republika intenzivně podporuje zvyšování energetické efektivity již od roku 1989. ČR rychle liberalizovala trh s energií, což přineslo zásadní impulz pro zvyšování energetické efektivity. Ke zvyšování energetické efektivity využívá dlouhodobě vláda ČR aktivně nástroje v oblasti regulatorní (legislativa), ekonomických nástrojů a osvěty. V rámci ekonomických nástrojů jsou využívány jak národní prostředky, tak i prostředky ze strukturálních fondů EU. ČR v souladu se Strategií Evropa 2020 prosazuje využití významného objemu prostředků z budoucího víceletého finančního rámce na energetickou efektivitu a podporu podnikání, která má pomoci zajistit konkurenceschopnost Evropy. </w:t>
      </w:r>
    </w:p>
    <w:p w:rsidR="00DA4E52" w:rsidRPr="0009702A" w:rsidRDefault="00DA4E52" w:rsidP="00DA4E52">
      <w:pPr>
        <w:rPr>
          <w:bCs/>
          <w:szCs w:val="16"/>
        </w:rPr>
      </w:pPr>
      <w:r w:rsidRPr="0009702A">
        <w:rPr>
          <w:szCs w:val="16"/>
        </w:rPr>
        <w:t>V souvislosti se závazky vyplývajícími s implementací s</w:t>
      </w:r>
      <w:r w:rsidRPr="0009702A">
        <w:t xml:space="preserve">měrnice Evropského parlamentu a Rady 2012/27/EU o energetické účinnosti byl stanoven </w:t>
      </w:r>
      <w:r w:rsidRPr="0009702A">
        <w:rPr>
          <w:b/>
        </w:rPr>
        <w:t>v</w:t>
      </w:r>
      <w:r w:rsidRPr="0009702A">
        <w:rPr>
          <w:b/>
          <w:bCs/>
          <w:szCs w:val="16"/>
        </w:rPr>
        <w:t>nitrostátní orientační cíl České republiky ve výši 47,84 PJ (13,29 TWh) nových úspor v konečné spotřebě energie do roku 2020.</w:t>
      </w:r>
      <w:r w:rsidRPr="0009702A">
        <w:rPr>
          <w:bCs/>
          <w:szCs w:val="16"/>
        </w:rPr>
        <w:t xml:space="preserve"> V souvislosti s uvedeným cílem byla definována patřičná opatření, mezi která patří i </w:t>
      </w:r>
      <w:r w:rsidRPr="0009702A">
        <w:rPr>
          <w:szCs w:val="16"/>
        </w:rPr>
        <w:t>důraz na oblast věnující se zvyšování energetické účinnosti budov.</w:t>
      </w:r>
    </w:p>
    <w:p w:rsidR="00DA4E52" w:rsidRPr="0009702A" w:rsidRDefault="00DA4E52" w:rsidP="00DA4E52">
      <w:pPr>
        <w:rPr>
          <w:szCs w:val="16"/>
        </w:rPr>
      </w:pPr>
      <w:r w:rsidRPr="0009702A">
        <w:rPr>
          <w:b/>
          <w:bCs/>
          <w:szCs w:val="16"/>
        </w:rPr>
        <w:t>Pro naplnění článku 7 předmětné směrnice zvolila Česká republika implementaci souboru jiných politických opatření podle čl. 7 odst. 9 směrnice. Pro účely zavádění nazývá ČR tento způsob „alternativní schéma“.</w:t>
      </w:r>
      <w:r w:rsidRPr="006A68BF">
        <w:rPr>
          <w:rStyle w:val="Znakapoznpodarou"/>
        </w:rPr>
        <w:t xml:space="preserve"> </w:t>
      </w:r>
      <w:r>
        <w:rPr>
          <w:rStyle w:val="Znakapoznpodarou"/>
        </w:rPr>
        <w:footnoteReference w:id="3"/>
      </w:r>
      <w:r w:rsidRPr="0009702A">
        <w:rPr>
          <w:b/>
          <w:bCs/>
          <w:szCs w:val="16"/>
        </w:rPr>
        <w:t xml:space="preserve"> </w:t>
      </w:r>
      <w:r w:rsidRPr="0009702A">
        <w:rPr>
          <w:szCs w:val="16"/>
        </w:rPr>
        <w:t>Z jiných politických opatření nabízených a popsaných směrnicí využije Česká republika systémy a nástroje financování, a odbornou přípravu a vzdělávání včetně programů v oblasti energetického poradenství, které vedou k uplatňování energeticky účinných technologií nebo metod a jejichž výsledkem je snížení spotřeby u konečného uživatele:</w:t>
      </w:r>
    </w:p>
    <w:p w:rsidR="00DA4E52" w:rsidRPr="0009702A" w:rsidRDefault="00DA4E52" w:rsidP="002D2639">
      <w:pPr>
        <w:pStyle w:val="Odstavecseseznamem"/>
        <w:numPr>
          <w:ilvl w:val="0"/>
          <w:numId w:val="42"/>
        </w:numPr>
        <w:rPr>
          <w:szCs w:val="16"/>
        </w:rPr>
      </w:pPr>
      <w:r w:rsidRPr="0009702A">
        <w:rPr>
          <w:szCs w:val="16"/>
        </w:rPr>
        <w:t>Nástroje finančního inženýrství;</w:t>
      </w:r>
    </w:p>
    <w:p w:rsidR="00DA4E52" w:rsidRPr="0009702A" w:rsidRDefault="00DA4E52" w:rsidP="002D2639">
      <w:pPr>
        <w:pStyle w:val="Odstavecseseznamem"/>
        <w:numPr>
          <w:ilvl w:val="0"/>
          <w:numId w:val="42"/>
        </w:numPr>
        <w:rPr>
          <w:szCs w:val="16"/>
        </w:rPr>
      </w:pPr>
      <w:r w:rsidRPr="0009702A">
        <w:rPr>
          <w:szCs w:val="16"/>
        </w:rPr>
        <w:t>Investiční dotace;</w:t>
      </w:r>
    </w:p>
    <w:p w:rsidR="00DA4E52" w:rsidRPr="0009702A" w:rsidRDefault="00DA4E52" w:rsidP="002D2639">
      <w:pPr>
        <w:pStyle w:val="Odstavecseseznamem"/>
        <w:numPr>
          <w:ilvl w:val="0"/>
          <w:numId w:val="45"/>
        </w:numPr>
        <w:rPr>
          <w:szCs w:val="16"/>
        </w:rPr>
      </w:pPr>
      <w:r w:rsidRPr="0009702A">
        <w:rPr>
          <w:szCs w:val="16"/>
        </w:rPr>
        <w:t>Neinvestiční dotace (analýzy vhodnosti využití metody EPC, energetický management, osvěta).</w:t>
      </w:r>
    </w:p>
    <w:p w:rsidR="00DA4E52" w:rsidRDefault="00DA4E52" w:rsidP="00DA4E52">
      <w:r>
        <w:t xml:space="preserve">Problematiku zvyšování energetické účinnosti, resp. snižování energetické náročnosti adresují svým zaměřením celkem čtyři plánované operační programy období 2014 – 2020, a to </w:t>
      </w:r>
    </w:p>
    <w:p w:rsidR="00DA4E52" w:rsidRDefault="00DA4E52" w:rsidP="002D2639">
      <w:pPr>
        <w:pStyle w:val="Odstavecseseznamem"/>
        <w:numPr>
          <w:ilvl w:val="0"/>
          <w:numId w:val="45"/>
        </w:numPr>
      </w:pPr>
      <w:r>
        <w:t>OP ŽP a OP Praha v oblasti veřejných budov;</w:t>
      </w:r>
    </w:p>
    <w:p w:rsidR="00DA4E52" w:rsidRDefault="00DA4E52" w:rsidP="002D2639">
      <w:pPr>
        <w:pStyle w:val="Odstavecseseznamem"/>
        <w:numPr>
          <w:ilvl w:val="0"/>
          <w:numId w:val="45"/>
        </w:numPr>
      </w:pPr>
      <w:r>
        <w:t>OP PIK v oblasti podnikatelské sféry;</w:t>
      </w:r>
    </w:p>
    <w:p w:rsidR="00DA4E52" w:rsidRDefault="00DA4E52" w:rsidP="002D2639">
      <w:pPr>
        <w:pStyle w:val="Odstavecseseznamem"/>
        <w:numPr>
          <w:ilvl w:val="0"/>
          <w:numId w:val="45"/>
        </w:numPr>
      </w:pPr>
      <w:r>
        <w:t>IROP v oblasti sektoru bydlení</w:t>
      </w:r>
      <w:r w:rsidR="008072FC">
        <w:t xml:space="preserve"> –</w:t>
      </w:r>
      <w:r w:rsidR="00A729E4">
        <w:t xml:space="preserve"> </w:t>
      </w:r>
      <w:r w:rsidR="008072FC">
        <w:t>bytové domy</w:t>
      </w:r>
      <w:r>
        <w:t>.</w:t>
      </w:r>
    </w:p>
    <w:p w:rsidR="00DA4E52" w:rsidRDefault="00DA4E52" w:rsidP="00DA4E52">
      <w:r w:rsidRPr="006A4BF1">
        <w:t>V oblasti spotřeby energií v sektoru bydlení lze za poslední roky sledovat měřitelný pokrok, především s ohledem na dostupnost veřejné podpory této oblasti</w:t>
      </w:r>
      <w:r w:rsidR="00A729E4">
        <w:t xml:space="preserve"> (evropské i národní programy)</w:t>
      </w:r>
      <w:r w:rsidRPr="006A4BF1">
        <w:t xml:space="preserve">. Přes zaznamenatelný pokrok však existuje valná většina rodinných domů a bytových komplexů, které nesplňují základní </w:t>
      </w:r>
      <w:r w:rsidRPr="006A4BF1">
        <w:lastRenderedPageBreak/>
        <w:t xml:space="preserve">parametry energeticky udržitelného využívání energie. Renovace </w:t>
      </w:r>
      <w:r>
        <w:t xml:space="preserve">bytových objektů je cílem podpory IROP, konkrétně zaměření </w:t>
      </w:r>
      <w:r w:rsidRPr="00B90462">
        <w:rPr>
          <w:b/>
        </w:rPr>
        <w:t xml:space="preserve">SC </w:t>
      </w:r>
      <w:r>
        <w:rPr>
          <w:b/>
        </w:rPr>
        <w:t>2.5</w:t>
      </w:r>
      <w:r w:rsidRPr="00B90462">
        <w:rPr>
          <w:b/>
        </w:rPr>
        <w:t xml:space="preserve">, </w:t>
      </w:r>
      <w:r>
        <w:rPr>
          <w:b/>
        </w:rPr>
        <w:t>jehož aktivity</w:t>
      </w:r>
      <w:r w:rsidRPr="00B90462">
        <w:rPr>
          <w:b/>
        </w:rPr>
        <w:t xml:space="preserve"> plánují </w:t>
      </w:r>
      <w:r w:rsidRPr="00BB7D95">
        <w:rPr>
          <w:b/>
        </w:rPr>
        <w:t>snížit energetickou náročnost bytových domů (domů se čtyřmi a více bytovými jednotkami) v sektoru bydlení na nákladově optimální úroveň a zvýšit podíl obnovitelných zdrojů energie</w:t>
      </w:r>
      <w:r>
        <w:rPr>
          <w:b/>
        </w:rPr>
        <w:t>.</w:t>
      </w:r>
      <w:r>
        <w:t xml:space="preserve"> Cílem je především zvýšení motivace vlastníků budov</w:t>
      </w:r>
      <w:r w:rsidRPr="006B302E">
        <w:t xml:space="preserve"> </w:t>
      </w:r>
      <w:r>
        <w:t xml:space="preserve">k realizaci projektů, resp. akcelerace tempa realizace těchto projektů, které je ČR </w:t>
      </w:r>
      <w:r w:rsidR="00A729E4">
        <w:t>povinna</w:t>
      </w:r>
      <w:r>
        <w:t xml:space="preserve"> plnit s ohledem na platné závazky vyplývající ze jmenované směrnice o energetické účinnosti.</w:t>
      </w:r>
    </w:p>
    <w:p w:rsidR="000F5980" w:rsidRDefault="00A3105F" w:rsidP="00DA4E52">
      <w:r>
        <w:t xml:space="preserve">V rámci </w:t>
      </w:r>
      <w:r w:rsidRPr="00A3105F">
        <w:rPr>
          <w:b/>
        </w:rPr>
        <w:t>Zprávy o pokroku v oblasti plnění vnitrostátních cílů energetické účinnosti v </w:t>
      </w:r>
      <w:r>
        <w:rPr>
          <w:b/>
        </w:rPr>
        <w:t>Č</w:t>
      </w:r>
      <w:r w:rsidRPr="00A3105F">
        <w:rPr>
          <w:b/>
        </w:rPr>
        <w:t>eské republice</w:t>
      </w:r>
      <w:r>
        <w:t xml:space="preserve">, jež je přílohou </w:t>
      </w:r>
      <w:r w:rsidRPr="00A3105F">
        <w:t>Národní</w:t>
      </w:r>
      <w:r>
        <w:t>ho</w:t>
      </w:r>
      <w:r w:rsidRPr="00A3105F">
        <w:t xml:space="preserve"> akční</w:t>
      </w:r>
      <w:r>
        <w:t>ho</w:t>
      </w:r>
      <w:r w:rsidRPr="00A3105F">
        <w:t xml:space="preserve"> plán</w:t>
      </w:r>
      <w:r>
        <w:t>u</w:t>
      </w:r>
      <w:r w:rsidRPr="00A3105F">
        <w:t xml:space="preserve"> energetické účinnosti ČR</w:t>
      </w:r>
      <w:r>
        <w:t>, j</w:t>
      </w:r>
      <w:r w:rsidR="00155201">
        <w:t>e specifikován předpoklad příspěvku jednotlivých evropských a národních programů k plnění cílů směrnice. Pro roky 2014 – 2016 je pro IROP specifikován předpoklad úspor ve výši 1 796 TJ za roky 2014 – 2016, pokud vztažně prodloužíme časovou řadu do roku 2020, lze očekávat požadavek příspěvku ve výši až 5 500 TJ.</w:t>
      </w:r>
      <w:r w:rsidR="00D84C89">
        <w:t xml:space="preserve"> Pro možnost splnění indikovaných cílů musí být zdroje IROP zapojeny za využití co nejvyššího multiplikačního efektu, aby bylo možné podpořit dostatečné množství žadatelů.</w:t>
      </w:r>
    </w:p>
    <w:p w:rsidR="00D84C89" w:rsidRDefault="00D84C89" w:rsidP="00DA4E52">
      <w:r>
        <w:t xml:space="preserve">V rámci </w:t>
      </w:r>
      <w:r w:rsidRPr="00D84C89">
        <w:rPr>
          <w:b/>
        </w:rPr>
        <w:t>Strategie renovace budov</w:t>
      </w:r>
      <w:r>
        <w:t xml:space="preserve">, jež je také přílohou </w:t>
      </w:r>
      <w:r w:rsidRPr="00A3105F">
        <w:t>Národní</w:t>
      </w:r>
      <w:r>
        <w:t>ho</w:t>
      </w:r>
      <w:r w:rsidRPr="00A3105F">
        <w:t xml:space="preserve"> akční</w:t>
      </w:r>
      <w:r>
        <w:t>ho</w:t>
      </w:r>
      <w:r w:rsidRPr="00A3105F">
        <w:t xml:space="preserve"> plán</w:t>
      </w:r>
      <w:r>
        <w:t>u</w:t>
      </w:r>
      <w:r w:rsidRPr="00A3105F">
        <w:t xml:space="preserve"> energetické účinnosti ČR</w:t>
      </w:r>
      <w:r>
        <w:t>, je specifikováno konkrétní doporučení pro programy podpory ve využití vhodných nástrojů, vedoucích k dosažení stanovených cílů.</w:t>
      </w:r>
      <w:r w:rsidR="002C63C2">
        <w:t xml:space="preserve"> Materiál uvádí, že je vhodné využívat „</w:t>
      </w:r>
      <w:r w:rsidR="002C63C2" w:rsidRPr="002C63C2">
        <w:rPr>
          <w:i/>
        </w:rPr>
        <w:t xml:space="preserve">možnosti finanční páky státní investice na investice soukromé, kde lze uvažovat motivační míru podpory pro soukromé subjekty ve výši 25% a pro veřejné subjekty ve výši 50% investičních nákladů – míra podpory bude záviset na </w:t>
      </w:r>
      <w:r w:rsidR="00FA2F93" w:rsidRPr="002C63C2">
        <w:rPr>
          <w:i/>
        </w:rPr>
        <w:t>použitém</w:t>
      </w:r>
      <w:r w:rsidR="002C63C2" w:rsidRPr="002C63C2">
        <w:rPr>
          <w:i/>
        </w:rPr>
        <w:t xml:space="preserve"> finančním nástroji</w:t>
      </w:r>
      <w:r w:rsidR="002C63C2">
        <w:t>“.</w:t>
      </w:r>
      <w:r w:rsidR="00FA2F93">
        <w:t xml:space="preserve"> </w:t>
      </w:r>
      <w:r w:rsidR="00FA2F93" w:rsidRPr="00FA2F93">
        <w:rPr>
          <w:b/>
        </w:rPr>
        <w:t>Dodavatel souhlasí s uváděnými závěry, a proto navrhuje pro specifický cíl 2.5 IROP využít úvěrového finančního nástroje, který bude znamenat revolvingové zapojení veřejných zdrojů po boku zdrojů soukromých s tím, že veřejná podpory vypočtená jako hrubý grantový ekvivalent nebude převyšovat míru podpory 25% celkové výše způsobilé investice</w:t>
      </w:r>
      <w:r w:rsidR="00FA2F93">
        <w:t xml:space="preserve">. Podpora IROP bude prezentována jako jeden zvýhodněný úvěr až do výše 100% způsobilých výdajů investice, který však bude součtem zdrojů IROP a soukromých subjektů – dle modelových příkladů lze očekávat účast cca 50:50. </w:t>
      </w:r>
    </w:p>
    <w:p w:rsidR="00DA4E52" w:rsidRDefault="00DA4E52" w:rsidP="000979B7">
      <w:pPr>
        <w:pStyle w:val="Nadpis4"/>
      </w:pPr>
      <w:r>
        <w:t>Charakter strany nabídky</w:t>
      </w:r>
    </w:p>
    <w:p w:rsidR="00DA4E52" w:rsidRDefault="00DA4E52" w:rsidP="00DA4E52">
      <w:r w:rsidRPr="009134B6">
        <w:t xml:space="preserve">Problematika investic do zvyšování energetické účinnosti </w:t>
      </w:r>
      <w:r>
        <w:t>v</w:t>
      </w:r>
      <w:r w:rsidRPr="009134B6">
        <w:t xml:space="preserve"> </w:t>
      </w:r>
      <w:r>
        <w:t>sektoru</w:t>
      </w:r>
      <w:r w:rsidRPr="009134B6">
        <w:t xml:space="preserve"> </w:t>
      </w:r>
      <w:r>
        <w:t>rezidenčního bydlení</w:t>
      </w:r>
      <w:r w:rsidRPr="009134B6">
        <w:t xml:space="preserve"> vykazuje </w:t>
      </w:r>
      <w:r>
        <w:t>vyšší</w:t>
      </w:r>
      <w:r w:rsidRPr="009134B6">
        <w:t xml:space="preserve"> dynamiku, co se týče ročně generovaných investic, než je možné pozorovat u </w:t>
      </w:r>
      <w:r>
        <w:t xml:space="preserve">veřejného </w:t>
      </w:r>
      <w:r w:rsidRPr="009134B6">
        <w:t xml:space="preserve">sektoru. </w:t>
      </w:r>
      <w:r>
        <w:t>Tempo těchto investic je přesto do značné míry determinováno existencí některé z forem veřejné podpory a stále nedosahuje potřebné výše 1,5% roční úspory objemu dodávané energie do sítě koncovým zákazníkům, jež je identifikována jako minimální hranicí pro možnost úspěšného plnění cílů, které si ČR stanovila ve vztahu k evropské směrnici o energetické účinnosti a roku 2020.</w:t>
      </w:r>
    </w:p>
    <w:p w:rsidR="00DA4E52" w:rsidRPr="009134B6" w:rsidRDefault="00DA4E52" w:rsidP="00DA4E52">
      <w:r w:rsidRPr="009134B6">
        <w:t xml:space="preserve">Dle analýzy dostupných informací a pohovorů se zástupci veřejného </w:t>
      </w:r>
      <w:r>
        <w:t xml:space="preserve">i soukromého </w:t>
      </w:r>
      <w:r w:rsidRPr="009134B6">
        <w:t xml:space="preserve">sektoru je klíčovým prvkem rozhodování dostupnost </w:t>
      </w:r>
      <w:r>
        <w:t xml:space="preserve">veřejné podpory ve formě </w:t>
      </w:r>
      <w:r w:rsidRPr="009134B6">
        <w:t xml:space="preserve">dotačního titulu </w:t>
      </w:r>
      <w:r>
        <w:t xml:space="preserve">nebo zvýhodněného úvěru </w:t>
      </w:r>
      <w:r w:rsidRPr="009134B6">
        <w:t xml:space="preserve">– realizace projektů plně z vlastních zdrojů (případně za využití financování skrze EPC) je velmi ojedinělým přístupem a je spíše reakcí na velmi neuspokojivý stav budovy jako celku, nepramení primárně z environmentálních pohnutek. Neexistují přesná data, nicméně </w:t>
      </w:r>
      <w:r>
        <w:t xml:space="preserve">nadpoloviční většina </w:t>
      </w:r>
      <w:r w:rsidRPr="009134B6">
        <w:t xml:space="preserve">všech projektů realizace stavebních a technologických projektů </w:t>
      </w:r>
      <w:r>
        <w:t>snižování energetické náročnosti na</w:t>
      </w:r>
      <w:r w:rsidRPr="009134B6">
        <w:t xml:space="preserve"> budovách </w:t>
      </w:r>
      <w:r>
        <w:t xml:space="preserve">sektoru rezidenčního bydlení </w:t>
      </w:r>
      <w:r w:rsidRPr="009134B6">
        <w:t xml:space="preserve">je realizována pouze za předpokladu, že je využito </w:t>
      </w:r>
      <w:r>
        <w:t>některé z forem veřejné podpory</w:t>
      </w:r>
      <w:r w:rsidRPr="009134B6">
        <w:t>.</w:t>
      </w:r>
    </w:p>
    <w:p w:rsidR="00DA4E52" w:rsidRDefault="00DA4E52" w:rsidP="00DA4E52">
      <w:r w:rsidRPr="009134B6">
        <w:t xml:space="preserve">S ohledem na skutečnost, že plánovaná podpora </w:t>
      </w:r>
      <w:r>
        <w:t>IROP</w:t>
      </w:r>
      <w:r w:rsidRPr="009134B6">
        <w:t xml:space="preserve"> cílí pouze na podporu budov</w:t>
      </w:r>
      <w:r>
        <w:t xml:space="preserve"> bytového sektoru</w:t>
      </w:r>
      <w:r w:rsidRPr="009134B6">
        <w:t xml:space="preserve">, </w:t>
      </w:r>
      <w:r>
        <w:t>které vykazují značné odlišnosti od budov s nebytovým účelem využití, budou minulé zkušenosti mimo bytový sektor analyzovány velmi omezeně.</w:t>
      </w:r>
    </w:p>
    <w:p w:rsidR="00DA4E52" w:rsidRDefault="00DA4E52" w:rsidP="00DA4E52">
      <w:pPr>
        <w:pStyle w:val="Highlight2"/>
      </w:pPr>
      <w:r>
        <w:t>Veřejné zahraniční zdroje financování</w:t>
      </w:r>
    </w:p>
    <w:p w:rsidR="00DA4E52" w:rsidRDefault="00DA4E52" w:rsidP="00DA4E52">
      <w:r w:rsidRPr="004270FC">
        <w:t>V rámci České republiky bylo pro podporu zvyšování energe</w:t>
      </w:r>
      <w:r>
        <w:t xml:space="preserve">tické účinnosti za posledních 7 </w:t>
      </w:r>
      <w:r w:rsidRPr="004270FC">
        <w:t>let z veřejných zahraničních zdrojů využíváno především financí strukturálního financování EU. V případě zaměření se na překryv s analýzou sle</w:t>
      </w:r>
      <w:r>
        <w:t>dovanou</w:t>
      </w:r>
      <w:r w:rsidRPr="004270FC">
        <w:t xml:space="preserve"> oblast</w:t>
      </w:r>
      <w:r>
        <w:t>í</w:t>
      </w:r>
      <w:r w:rsidRPr="004270FC">
        <w:t xml:space="preserve"> podpory lze </w:t>
      </w:r>
      <w:r>
        <w:t>považovat za relevantní data následující data.</w:t>
      </w:r>
    </w:p>
    <w:p w:rsidR="00DA4E52" w:rsidRDefault="00DA4E52" w:rsidP="00DA4E52">
      <w:pPr>
        <w:rPr>
          <w:b/>
        </w:rPr>
      </w:pPr>
      <w:r w:rsidRPr="00AC50F0">
        <w:rPr>
          <w:b/>
        </w:rPr>
        <w:t>Sektor bydlení</w:t>
      </w:r>
      <w:r>
        <w:rPr>
          <w:b/>
        </w:rPr>
        <w:t>:</w:t>
      </w:r>
    </w:p>
    <w:p w:rsidR="00DA4E52" w:rsidRPr="00B023AB" w:rsidRDefault="00DA4E52" w:rsidP="002D2639">
      <w:pPr>
        <w:pStyle w:val="Odstavecseseznamem"/>
        <w:numPr>
          <w:ilvl w:val="0"/>
          <w:numId w:val="43"/>
        </w:numPr>
        <w:rPr>
          <w:b/>
        </w:rPr>
      </w:pPr>
      <w:r w:rsidRPr="00B023AB">
        <w:rPr>
          <w:b/>
        </w:rPr>
        <w:t xml:space="preserve">IOP – standardní forma dotace pro oblast </w:t>
      </w:r>
      <w:r>
        <w:rPr>
          <w:b/>
        </w:rPr>
        <w:t xml:space="preserve">intervence </w:t>
      </w:r>
      <w:r w:rsidRPr="00B023AB">
        <w:rPr>
          <w:b/>
        </w:rPr>
        <w:t>5.2</w:t>
      </w:r>
    </w:p>
    <w:p w:rsidR="00DA4E52" w:rsidRPr="00B023AB" w:rsidRDefault="00DA4E52" w:rsidP="002D2639">
      <w:pPr>
        <w:pStyle w:val="Odstavecseseznamem"/>
        <w:numPr>
          <w:ilvl w:val="1"/>
          <w:numId w:val="43"/>
        </w:numPr>
        <w:rPr>
          <w:b/>
        </w:rPr>
      </w:pPr>
      <w:r w:rsidRPr="00B023AB">
        <w:t>Alokováno 5 535 mil. Kč (vč. později vyčleněné alokace pro JESSICA), pouze menší převis poptávky po zdrojích;</w:t>
      </w:r>
    </w:p>
    <w:p w:rsidR="00DA4E52" w:rsidRPr="00B023AB" w:rsidRDefault="00DA4E52" w:rsidP="002D2639">
      <w:pPr>
        <w:pStyle w:val="Odstavecseseznamem"/>
        <w:numPr>
          <w:ilvl w:val="1"/>
          <w:numId w:val="43"/>
        </w:numPr>
        <w:rPr>
          <w:b/>
        </w:rPr>
      </w:pPr>
      <w:r w:rsidRPr="00B023AB">
        <w:t>Celkem bylo podáno 1 477 žádostí o podporu, rozhodnutí o poskytnutí dotace vydáno 1 384 projektům;</w:t>
      </w:r>
    </w:p>
    <w:p w:rsidR="00DA4E52" w:rsidRPr="00C23D05" w:rsidRDefault="00DA4E52" w:rsidP="002D2639">
      <w:pPr>
        <w:pStyle w:val="Odstavecseseznamem"/>
        <w:numPr>
          <w:ilvl w:val="1"/>
          <w:numId w:val="43"/>
        </w:numPr>
        <w:rPr>
          <w:b/>
        </w:rPr>
      </w:pPr>
      <w:r w:rsidRPr="00B023AB">
        <w:t xml:space="preserve">Část alokace cíle podporovala projekty regenerace </w:t>
      </w:r>
      <w:r>
        <w:t>deprivovaných zón</w:t>
      </w:r>
      <w:r w:rsidRPr="00B023AB">
        <w:t xml:space="preserve"> bez přímé vazby na snižování energetické náročnosti sektoru bydlení.</w:t>
      </w:r>
    </w:p>
    <w:p w:rsidR="00C23D05" w:rsidRPr="00B023AB" w:rsidRDefault="00C23D05" w:rsidP="00C23D05">
      <w:pPr>
        <w:pStyle w:val="Odstavecseseznamem"/>
        <w:ind w:left="1500"/>
        <w:rPr>
          <w:b/>
        </w:rPr>
      </w:pPr>
    </w:p>
    <w:p w:rsidR="00DA4E52" w:rsidRPr="00484F0F" w:rsidRDefault="00DA4E52" w:rsidP="002D2639">
      <w:pPr>
        <w:pStyle w:val="Odstavecseseznamem"/>
        <w:numPr>
          <w:ilvl w:val="0"/>
          <w:numId w:val="43"/>
        </w:numPr>
        <w:rPr>
          <w:b/>
        </w:rPr>
      </w:pPr>
      <w:r w:rsidRPr="00484F0F">
        <w:rPr>
          <w:b/>
        </w:rPr>
        <w:lastRenderedPageBreak/>
        <w:t>IOP, finanční nástroj JESSICA v rámci oblasti intervence 5.2</w:t>
      </w:r>
    </w:p>
    <w:p w:rsidR="00DA4E52" w:rsidRPr="004270FC" w:rsidRDefault="00DA4E52" w:rsidP="002D2639">
      <w:pPr>
        <w:pStyle w:val="Odstavecseseznamem"/>
        <w:numPr>
          <w:ilvl w:val="1"/>
          <w:numId w:val="43"/>
        </w:numPr>
      </w:pPr>
      <w:r>
        <w:t>Pro finanční nástroj byla vyčleněna alokace cca 600 mil. Kč, poptávka po zdrojích zhruba odpovídala nabízeným prostředkům</w:t>
      </w:r>
      <w:r w:rsidRPr="004270FC">
        <w:t>.</w:t>
      </w:r>
    </w:p>
    <w:p w:rsidR="00DA4E52" w:rsidRPr="004270FC" w:rsidRDefault="00DA4E52" w:rsidP="002D2639">
      <w:pPr>
        <w:pStyle w:val="Odstavecseseznamem"/>
        <w:numPr>
          <w:ilvl w:val="1"/>
          <w:numId w:val="43"/>
        </w:numPr>
      </w:pPr>
      <w:r>
        <w:t>P</w:t>
      </w:r>
      <w:r w:rsidRPr="004270FC">
        <w:t>odporována byla opatření na regenerace bytových domů a aktivity zajištění moderního sociálního bydlení</w:t>
      </w:r>
      <w:r>
        <w:t>.</w:t>
      </w:r>
    </w:p>
    <w:p w:rsidR="00DA4E52" w:rsidRPr="00AC50F0" w:rsidRDefault="00DA4E52" w:rsidP="00DA4E52">
      <w:pPr>
        <w:rPr>
          <w:b/>
        </w:rPr>
      </w:pPr>
      <w:r>
        <w:rPr>
          <w:b/>
        </w:rPr>
        <w:t>Renovace mimo sektor bydlení:</w:t>
      </w:r>
    </w:p>
    <w:p w:rsidR="00DA4E52" w:rsidRDefault="00DA4E52" w:rsidP="002D2639">
      <w:pPr>
        <w:pStyle w:val="Odstavecseseznamem"/>
        <w:numPr>
          <w:ilvl w:val="0"/>
          <w:numId w:val="43"/>
        </w:numPr>
      </w:pPr>
      <w:r>
        <w:rPr>
          <w:b/>
        </w:rPr>
        <w:t>OPŽP</w:t>
      </w:r>
      <w:r w:rsidRPr="001F4BEB">
        <w:rPr>
          <w:b/>
        </w:rPr>
        <w:t xml:space="preserve">, SC 3.2 </w:t>
      </w:r>
      <w:r w:rsidRPr="001F4BEB">
        <w:rPr>
          <w:rStyle w:val="Siln"/>
        </w:rPr>
        <w:t>Realizace úspor energie a využití odpadního tepla u nepodnikatelské sféry</w:t>
      </w:r>
      <w:r>
        <w:t>.</w:t>
      </w:r>
    </w:p>
    <w:p w:rsidR="00DA4E52" w:rsidRDefault="00DA4E52" w:rsidP="002D2639">
      <w:pPr>
        <w:pStyle w:val="Odstavecseseznamem"/>
        <w:numPr>
          <w:ilvl w:val="1"/>
          <w:numId w:val="43"/>
        </w:numPr>
      </w:pPr>
      <w:r w:rsidRPr="00CE3213">
        <w:t>Alokováno 15 290 mil. Kč, významný převis poptávky po zdrojích</w:t>
      </w:r>
      <w:r>
        <w:t>;</w:t>
      </w:r>
    </w:p>
    <w:p w:rsidR="00DA4E52" w:rsidRDefault="00DA4E52" w:rsidP="002D2639">
      <w:pPr>
        <w:pStyle w:val="Odstavecseseznamem"/>
        <w:numPr>
          <w:ilvl w:val="1"/>
          <w:numId w:val="43"/>
        </w:numPr>
      </w:pPr>
      <w:r>
        <w:t xml:space="preserve">Celkem bylo podáno 7 889 žádostí o podporu, v kladném stavu je evidováno celkem </w:t>
      </w:r>
      <w:r>
        <w:br/>
        <w:t>5 638 projektů, v záporném stavu 2 251 projektů.</w:t>
      </w:r>
    </w:p>
    <w:p w:rsidR="00DA4E52" w:rsidRPr="00CE3213" w:rsidRDefault="00DA4E52" w:rsidP="002D2639">
      <w:pPr>
        <w:pStyle w:val="Odstavecseseznamem"/>
        <w:numPr>
          <w:ilvl w:val="1"/>
          <w:numId w:val="43"/>
        </w:numPr>
      </w:pPr>
      <w:r>
        <w:t>Projekty v kladném stavu přestavují v úhrnu významně překročenou disponibilní alokaci (27,1 mld. Kč), projekty se zápornými stavy představují nerealizované požadované financování výše 18,98 mld. Kč.</w:t>
      </w:r>
    </w:p>
    <w:p w:rsidR="00DA4E52" w:rsidRPr="001F4BEB" w:rsidRDefault="00DA4E52" w:rsidP="002D2639">
      <w:pPr>
        <w:pStyle w:val="Odstavecseseznamem"/>
        <w:numPr>
          <w:ilvl w:val="0"/>
          <w:numId w:val="43"/>
        </w:numPr>
        <w:rPr>
          <w:b/>
        </w:rPr>
      </w:pPr>
      <w:r w:rsidRPr="001F4BEB">
        <w:rPr>
          <w:b/>
        </w:rPr>
        <w:t xml:space="preserve">OP PK, SC 2.2 Úsporné a udržitelné využívání energií a přírodních zdrojů </w:t>
      </w:r>
    </w:p>
    <w:p w:rsidR="00DA4E52" w:rsidRDefault="00DA4E52" w:rsidP="002D2639">
      <w:pPr>
        <w:pStyle w:val="Odstavecseseznamem"/>
        <w:numPr>
          <w:ilvl w:val="1"/>
          <w:numId w:val="43"/>
        </w:numPr>
      </w:pPr>
      <w:r>
        <w:t>A</w:t>
      </w:r>
      <w:r w:rsidRPr="004270FC">
        <w:t xml:space="preserve">lokováno 198 mil. Kč, </w:t>
      </w:r>
      <w:r>
        <w:t>významný převis poptávky po</w:t>
      </w:r>
      <w:r w:rsidRPr="004270FC">
        <w:t xml:space="preserve"> zdroj</w:t>
      </w:r>
      <w:r>
        <w:t>ích</w:t>
      </w:r>
      <w:r w:rsidRPr="004270FC">
        <w:t xml:space="preserve"> výše 357 mil. Kč, rozhodnutí bylo vydáno 12 projektům z celkových 21 žádostí.</w:t>
      </w:r>
    </w:p>
    <w:p w:rsidR="00DA4E52" w:rsidRPr="004458F9" w:rsidRDefault="00DA4E52" w:rsidP="002D2639">
      <w:pPr>
        <w:pStyle w:val="Odstavecseseznamem"/>
        <w:numPr>
          <w:ilvl w:val="0"/>
          <w:numId w:val="43"/>
        </w:numPr>
        <w:rPr>
          <w:b/>
        </w:rPr>
      </w:pPr>
      <w:r w:rsidRPr="004458F9">
        <w:rPr>
          <w:b/>
        </w:rPr>
        <w:t>ROP Moravskosl</w:t>
      </w:r>
      <w:r>
        <w:rPr>
          <w:b/>
        </w:rPr>
        <w:t>ezsko, finanční nástroj JESSICA</w:t>
      </w:r>
    </w:p>
    <w:p w:rsidR="00DA4E52" w:rsidRPr="004270FC" w:rsidRDefault="00DA4E52" w:rsidP="002D2639">
      <w:pPr>
        <w:pStyle w:val="Odstavecseseznamem"/>
        <w:numPr>
          <w:ilvl w:val="1"/>
          <w:numId w:val="43"/>
        </w:numPr>
      </w:pPr>
      <w:r w:rsidRPr="00814474">
        <w:t>Z celkové alokace prioritní osy 2 ROP Moravskoslezsko (5 158 mil Kč) bylo na aktivity JESSICA vyčleněno cca 507 mil Kč. Ke konci roku 2014 uzavřeny zatím 3 úvěrové smlouvy s konečnými příjemci. K dispozici zbývá stále cca 150 mil.</w:t>
      </w:r>
      <w:r>
        <w:t xml:space="preserve"> Kč</w:t>
      </w:r>
      <w:r w:rsidRPr="004270FC">
        <w:t>.</w:t>
      </w:r>
    </w:p>
    <w:p w:rsidR="00DA4E52" w:rsidRDefault="00DA4E52" w:rsidP="002D2639">
      <w:pPr>
        <w:pStyle w:val="Odstavecseseznamem"/>
        <w:numPr>
          <w:ilvl w:val="1"/>
          <w:numId w:val="43"/>
        </w:numPr>
      </w:pPr>
      <w:r w:rsidRPr="004270FC">
        <w:t xml:space="preserve">Jedná se pouze o omezený překryv, podporována byla opatření využívání </w:t>
      </w:r>
      <w:r>
        <w:t>deprivovaných zón</w:t>
      </w:r>
      <w:r w:rsidRPr="004270FC">
        <w:t xml:space="preserve"> a dále také opatření investic do infrastruktury veřejných služeb</w:t>
      </w:r>
      <w:r>
        <w:t>.</w:t>
      </w:r>
    </w:p>
    <w:p w:rsidR="00DA4E52" w:rsidRPr="001F4BEB" w:rsidRDefault="00DA4E52" w:rsidP="002D2639">
      <w:pPr>
        <w:pStyle w:val="Odstavecseseznamem"/>
        <w:numPr>
          <w:ilvl w:val="0"/>
          <w:numId w:val="43"/>
        </w:numPr>
        <w:rPr>
          <w:b/>
        </w:rPr>
      </w:pPr>
      <w:r w:rsidRPr="001F4BEB">
        <w:rPr>
          <w:b/>
        </w:rPr>
        <w:t xml:space="preserve">OP PI, program Eko Energie </w:t>
      </w:r>
    </w:p>
    <w:p w:rsidR="00DA4E52" w:rsidRPr="004270FC" w:rsidRDefault="00DA4E52" w:rsidP="002D2639">
      <w:pPr>
        <w:pStyle w:val="Odstavecseseznamem"/>
        <w:numPr>
          <w:ilvl w:val="1"/>
          <w:numId w:val="43"/>
        </w:numPr>
      </w:pPr>
      <w:r>
        <w:t>A</w:t>
      </w:r>
      <w:r w:rsidRPr="004270FC">
        <w:t xml:space="preserve">lokováno 9 970 mil. Kč, </w:t>
      </w:r>
      <w:r>
        <w:t>významný převis poptávky po</w:t>
      </w:r>
      <w:r w:rsidRPr="004270FC">
        <w:t xml:space="preserve"> zdroj</w:t>
      </w:r>
      <w:r>
        <w:t>ích</w:t>
      </w:r>
      <w:r w:rsidRPr="004270FC">
        <w:t xml:space="preserve"> výše 20 406 mil. Kč, rozhodnutí vydá</w:t>
      </w:r>
      <w:r>
        <w:t xml:space="preserve">no 1 223 projektům z celkových </w:t>
      </w:r>
      <w:r w:rsidRPr="004270FC">
        <w:t xml:space="preserve">2 177 žádostí. </w:t>
      </w:r>
    </w:p>
    <w:p w:rsidR="00DA4E52" w:rsidRPr="004270FC" w:rsidRDefault="00DA4E52" w:rsidP="002D2639">
      <w:pPr>
        <w:pStyle w:val="Odstavecseseznamem"/>
        <w:numPr>
          <w:ilvl w:val="1"/>
          <w:numId w:val="43"/>
        </w:numPr>
      </w:pPr>
      <w:r w:rsidRPr="004270FC">
        <w:t>Jedná se pouze o omezený překryv, podporována byla opatření na snižování energetické náročnosti výroby a vyššího využití obnovitelný</w:t>
      </w:r>
      <w:r>
        <w:t>ch a druhotných zdrojů energie</w:t>
      </w:r>
    </w:p>
    <w:p w:rsidR="00DA4E52" w:rsidRDefault="00DA4E52" w:rsidP="002D2639">
      <w:pPr>
        <w:pStyle w:val="Odstavecseseznamem"/>
        <w:numPr>
          <w:ilvl w:val="1"/>
          <w:numId w:val="43"/>
        </w:numPr>
      </w:pPr>
      <w:r w:rsidRPr="004270FC">
        <w:t>Podpora byla směřována do průmyslového sektoru, nikoli do veřejné sféry;</w:t>
      </w:r>
    </w:p>
    <w:p w:rsidR="00DA4E52" w:rsidRPr="004458F9" w:rsidRDefault="00DA4E52" w:rsidP="002D2639">
      <w:pPr>
        <w:pStyle w:val="Odstavecseseznamem"/>
        <w:numPr>
          <w:ilvl w:val="0"/>
          <w:numId w:val="43"/>
        </w:numPr>
      </w:pPr>
      <w:r w:rsidRPr="004458F9">
        <w:t xml:space="preserve">Pro sledovanou oblast podpory by bylo možné považovat za související i využití </w:t>
      </w:r>
      <w:r w:rsidRPr="004458F9">
        <w:rPr>
          <w:b/>
        </w:rPr>
        <w:t>finančního nástroje JESSICA z OP PK</w:t>
      </w:r>
      <w:r w:rsidRPr="004458F9">
        <w:t xml:space="preserve"> – potřebné implementační uspořádání však nebylo nikdy realizováno, a proto nejsou k dispozici žádná podpůrná data.</w:t>
      </w:r>
    </w:p>
    <w:p w:rsidR="00DA4E52" w:rsidRDefault="00DA4E52" w:rsidP="00DA4E52">
      <w:pPr>
        <w:pStyle w:val="Highlight2"/>
      </w:pPr>
      <w:r>
        <w:t>Veřejné domácí zdroje financování</w:t>
      </w:r>
    </w:p>
    <w:p w:rsidR="00DA4E52" w:rsidRPr="007F59E4" w:rsidRDefault="00DA4E52" w:rsidP="00DA4E52">
      <w:r w:rsidRPr="007F59E4">
        <w:t>V případě zaměření se na překryv s analýzou sledovanými oblastmi podpory a sektorového zaměření lze konstatovat, že hodné analýzy jsou tyto národní programy podpory:</w:t>
      </w:r>
    </w:p>
    <w:p w:rsidR="00DA4E52" w:rsidRPr="00A55334" w:rsidRDefault="00DA4E52" w:rsidP="002D2639">
      <w:pPr>
        <w:pStyle w:val="Odstavecseseznamem"/>
        <w:numPr>
          <w:ilvl w:val="0"/>
          <w:numId w:val="44"/>
        </w:numPr>
        <w:rPr>
          <w:b/>
        </w:rPr>
      </w:pPr>
      <w:r w:rsidRPr="00A55334">
        <w:rPr>
          <w:b/>
        </w:rPr>
        <w:t>Zelená úsporám</w:t>
      </w:r>
    </w:p>
    <w:p w:rsidR="00DA4E52" w:rsidRPr="00A55334" w:rsidRDefault="00DA4E52" w:rsidP="002D2639">
      <w:pPr>
        <w:pStyle w:val="Odstavecseseznamem"/>
        <w:numPr>
          <w:ilvl w:val="1"/>
          <w:numId w:val="44"/>
        </w:numPr>
      </w:pPr>
      <w:r w:rsidRPr="00A55334">
        <w:t>Program podporoval kvalitní zateplování rodinných domů a bytových domů, náhrada neekologického vytápění za nízkoemisní zdroje na biomasu a účinná tepelná čerpadla, instalace těchto zdrojů do nízkoenergetických novostaveb, instalace solárně termických kolektorů a také výstavbu v pasivním energetickém standardu;</w:t>
      </w:r>
    </w:p>
    <w:p w:rsidR="00DA4E52" w:rsidRPr="00A55334" w:rsidRDefault="00DA4E52" w:rsidP="002D2639">
      <w:pPr>
        <w:pStyle w:val="Odstavecseseznamem"/>
        <w:numPr>
          <w:ilvl w:val="1"/>
          <w:numId w:val="44"/>
        </w:numPr>
      </w:pPr>
      <w:r w:rsidRPr="00A55334">
        <w:t>Způsobilí žadatele programu byli vymezeni: fyzické osoby podnikající i nepodnikající, společenství vlastníků bytových jednotek, bytová družstva, města a obce (včetně městských částí), podnikatelské subjekty, případně další právnické osoby;</w:t>
      </w:r>
    </w:p>
    <w:p w:rsidR="00DA4E52" w:rsidRPr="00A55334" w:rsidRDefault="00DA4E52" w:rsidP="002D2639">
      <w:pPr>
        <w:pStyle w:val="Odstavecseseznamem"/>
        <w:numPr>
          <w:ilvl w:val="1"/>
          <w:numId w:val="44"/>
        </w:numPr>
      </w:pPr>
      <w:r w:rsidRPr="00A55334">
        <w:t>Překryv programu s IROP je značný, nicméně část oblastí podpory a část způsobilých příjemců je nad rámec vymezení IROP,</w:t>
      </w:r>
      <w:r>
        <w:t xml:space="preserve"> navíc se jedná o údaje o podpoře před více lety,</w:t>
      </w:r>
      <w:r w:rsidRPr="00A55334">
        <w:t xml:space="preserve"> proto je nutné srovnání interpretovat</w:t>
      </w:r>
      <w:r>
        <w:t xml:space="preserve"> obezřetně;</w:t>
      </w:r>
    </w:p>
    <w:p w:rsidR="00DA4E52" w:rsidRPr="00A55334" w:rsidRDefault="00DA4E52" w:rsidP="002D2639">
      <w:pPr>
        <w:pStyle w:val="Odstavecseseznamem"/>
        <w:numPr>
          <w:ilvl w:val="1"/>
          <w:numId w:val="44"/>
        </w:numPr>
      </w:pPr>
      <w:r w:rsidRPr="00A55334">
        <w:t>Celkem bylo přijato 80 696 žádostí, podpořeno bylo 74 tis, zamítnuto 6,6 tis.;</w:t>
      </w:r>
    </w:p>
    <w:p w:rsidR="00DA4E52" w:rsidRPr="00A55334" w:rsidRDefault="00DA4E52" w:rsidP="002D2639">
      <w:pPr>
        <w:pStyle w:val="Odstavecseseznamem"/>
        <w:numPr>
          <w:ilvl w:val="1"/>
          <w:numId w:val="44"/>
        </w:numPr>
      </w:pPr>
      <w:r w:rsidRPr="00A55334">
        <w:t>Podpořené projekty získaly podporu ve výši 20 mld. Kč, nepodpořené projekty nezískaly podporu v požadované výši 3,4 mld. Kč</w:t>
      </w:r>
      <w:r>
        <w:t>.</w:t>
      </w:r>
    </w:p>
    <w:p w:rsidR="00DA4E52" w:rsidRPr="004D0520" w:rsidRDefault="00DA4E52" w:rsidP="002D2639">
      <w:pPr>
        <w:pStyle w:val="Odstavecseseznamem"/>
        <w:numPr>
          <w:ilvl w:val="0"/>
          <w:numId w:val="44"/>
        </w:numPr>
        <w:rPr>
          <w:b/>
        </w:rPr>
      </w:pPr>
      <w:r w:rsidRPr="004D0520">
        <w:rPr>
          <w:b/>
        </w:rPr>
        <w:t>Nová zelená úsporám 2013</w:t>
      </w:r>
    </w:p>
    <w:p w:rsidR="00DA4E52" w:rsidRPr="004D0520" w:rsidRDefault="00DA4E52" w:rsidP="002D2639">
      <w:pPr>
        <w:pStyle w:val="Odstavecseseznamem"/>
        <w:numPr>
          <w:ilvl w:val="1"/>
          <w:numId w:val="44"/>
        </w:numPr>
      </w:pPr>
      <w:r w:rsidRPr="004D0520">
        <w:t>Program podporoval majitele rodinných domů na opatření ke snižování energetické náročnosti stávajících rodinných domů, výstavbu rodinných domů s velmi nízkou energetickou náročností, výměnu neekologických zdrojů tepla na vytápění a na instalaci solárních termických systémů;</w:t>
      </w:r>
    </w:p>
    <w:p w:rsidR="00DA4E52" w:rsidRPr="004D0520" w:rsidRDefault="00DA4E52" w:rsidP="002D2639">
      <w:pPr>
        <w:pStyle w:val="Odstavecseseznamem"/>
        <w:numPr>
          <w:ilvl w:val="1"/>
          <w:numId w:val="44"/>
        </w:numPr>
      </w:pPr>
      <w:r>
        <w:t>Věcný překryv zaměření programu s IROP není, nicméně pro popis časového vývoje programu bylo zařazeno do analýzy, pro možnost pozorovat vývoj zájmu o program v čase – níže uvedené údaje o zájmu a nepodpořených projektech nicméně nevstupují do vyčíslování potenciální poptávky pro program IROP</w:t>
      </w:r>
      <w:r w:rsidRPr="004D0520">
        <w:t>;</w:t>
      </w:r>
    </w:p>
    <w:p w:rsidR="00DA4E52" w:rsidRPr="004D0520" w:rsidRDefault="00DA4E52" w:rsidP="002D2639">
      <w:pPr>
        <w:pStyle w:val="Odstavecseseznamem"/>
        <w:numPr>
          <w:ilvl w:val="1"/>
          <w:numId w:val="44"/>
        </w:numPr>
      </w:pPr>
      <w:r w:rsidRPr="004D0520">
        <w:lastRenderedPageBreak/>
        <w:t>Celkem bylo přijato 15 771 žádostí, podpořeno bylo 9,2 tis, zamítnuto 6,5 tis žádostí;</w:t>
      </w:r>
    </w:p>
    <w:p w:rsidR="00DA4E52" w:rsidRPr="004D0520" w:rsidRDefault="00DA4E52" w:rsidP="002D2639">
      <w:pPr>
        <w:pStyle w:val="Odstavecseseznamem"/>
        <w:numPr>
          <w:ilvl w:val="1"/>
          <w:numId w:val="44"/>
        </w:numPr>
      </w:pPr>
      <w:r w:rsidRPr="004D0520">
        <w:t>Podpořené projekty získaly podporu ve výši 716 mil. Kč, nepodpořené projekty nezískaly podporu v požadované výši 636 mil. Kč.</w:t>
      </w:r>
    </w:p>
    <w:p w:rsidR="00DA4E52" w:rsidRPr="004D0520" w:rsidRDefault="00DA4E52" w:rsidP="002D2639">
      <w:pPr>
        <w:pStyle w:val="Odstavecseseznamem"/>
        <w:numPr>
          <w:ilvl w:val="0"/>
          <w:numId w:val="44"/>
        </w:numPr>
        <w:rPr>
          <w:b/>
        </w:rPr>
      </w:pPr>
      <w:r w:rsidRPr="004D0520">
        <w:rPr>
          <w:b/>
        </w:rPr>
        <w:t xml:space="preserve">Nová zelená úsporám </w:t>
      </w:r>
    </w:p>
    <w:p w:rsidR="00DA4E52" w:rsidRPr="004D0520" w:rsidRDefault="00DA4E52" w:rsidP="002D2639">
      <w:pPr>
        <w:pStyle w:val="Odstavecseseznamem"/>
        <w:numPr>
          <w:ilvl w:val="1"/>
          <w:numId w:val="44"/>
        </w:numPr>
      </w:pPr>
      <w:r w:rsidRPr="004D0520">
        <w:t>Od roku 2014 připraven program pro podporu renovací rodinných domů, bytových domů a veřejných budov, zatím spuštěna podpora pouze pro rodinné domy;</w:t>
      </w:r>
    </w:p>
    <w:p w:rsidR="00DA4E52" w:rsidRDefault="00DA4E52" w:rsidP="002D2639">
      <w:pPr>
        <w:pStyle w:val="Odstavecseseznamem"/>
        <w:numPr>
          <w:ilvl w:val="1"/>
          <w:numId w:val="44"/>
        </w:numPr>
      </w:pPr>
      <w:r>
        <w:t>Doposud spuštěna podpora renovace rodinných bytů, c</w:t>
      </w:r>
      <w:r w:rsidRPr="00503AB8">
        <w:t xml:space="preserve">elková alokace na výzvu </w:t>
      </w:r>
      <w:r>
        <w:t xml:space="preserve">vyčleněna ve výši </w:t>
      </w:r>
      <w:r w:rsidRPr="00503AB8">
        <w:t>1,9 mld. Kč. K 31. 12.</w:t>
      </w:r>
      <w:r>
        <w:t xml:space="preserve">2014 </w:t>
      </w:r>
      <w:r w:rsidRPr="00503AB8">
        <w:t>elektronicky evidováno 6110 žádostí, požadovaná alokace je 1,377 mld. Kč.</w:t>
      </w:r>
      <w:r>
        <w:t xml:space="preserve"> Věcný překryv zaměření programu s IROP není, nicméně pro popis časového vývoje programu bylo zařazeno do analýzy, pro možnost pozorovat vývoj zájmu o program v čase – níže uvedené údaje o zájmu nicméně nevstupují do vyčíslování potenciální poptávky pro program IROP;</w:t>
      </w:r>
    </w:p>
    <w:p w:rsidR="00DA4E52" w:rsidRPr="004D0520" w:rsidRDefault="00DA4E52" w:rsidP="002D2639">
      <w:pPr>
        <w:pStyle w:val="Odstavecseseznamem"/>
        <w:numPr>
          <w:ilvl w:val="1"/>
          <w:numId w:val="44"/>
        </w:numPr>
      </w:pPr>
      <w:r w:rsidRPr="00503AB8">
        <w:t xml:space="preserve">Očekávané datum spuštění výzev </w:t>
      </w:r>
      <w:r>
        <w:t xml:space="preserve">pro bytové domy </w:t>
      </w:r>
      <w:r w:rsidRPr="00503AB8">
        <w:t xml:space="preserve">je 1. 4. 2015. V segmentu bytových domů bude NZÚ podporovat renovace </w:t>
      </w:r>
      <w:r>
        <w:t>bytových domů</w:t>
      </w:r>
      <w:r w:rsidRPr="00503AB8">
        <w:t xml:space="preserve"> pouze na území Hl. m. Prahy (formou nevratné dotace vyplácené ex post, míra podpory bude koordinována s IROP) a dále výstavbu bytových domů s velmi nízkou energetickou náročností na území celé ČR.</w:t>
      </w:r>
    </w:p>
    <w:p w:rsidR="00DA4E52" w:rsidRPr="00B76511" w:rsidRDefault="00DA4E52" w:rsidP="002D2639">
      <w:pPr>
        <w:pStyle w:val="Odstavecseseznamem"/>
        <w:numPr>
          <w:ilvl w:val="0"/>
          <w:numId w:val="44"/>
        </w:numPr>
      </w:pPr>
      <w:r w:rsidRPr="00B76511">
        <w:rPr>
          <w:b/>
        </w:rPr>
        <w:t>Program Panel 2013+</w:t>
      </w:r>
    </w:p>
    <w:p w:rsidR="00DA4E52" w:rsidRPr="00B76511" w:rsidRDefault="00DA4E52" w:rsidP="002D2639">
      <w:pPr>
        <w:pStyle w:val="Odstavecseseznamem"/>
        <w:numPr>
          <w:ilvl w:val="1"/>
          <w:numId w:val="44"/>
        </w:numPr>
      </w:pPr>
      <w:r w:rsidRPr="00B76511">
        <w:t>Cílem programu je pomocí zvýhodněných úvěrů usnadnit financování oprav bytových domů</w:t>
      </w:r>
      <w:r>
        <w:t>, tedy program cílí na téměř shodnou oblast podpory, jako sledovaný SC 2.5 IROP</w:t>
      </w:r>
      <w:r w:rsidRPr="00B76511">
        <w:t>;</w:t>
      </w:r>
    </w:p>
    <w:p w:rsidR="00DA4E52" w:rsidRDefault="00DA4E52" w:rsidP="002D2639">
      <w:pPr>
        <w:pStyle w:val="Odstavecseseznamem"/>
        <w:numPr>
          <w:ilvl w:val="1"/>
          <w:numId w:val="44"/>
        </w:numPr>
      </w:pPr>
      <w:r w:rsidRPr="00A55334">
        <w:t xml:space="preserve">Způsobilí žadatele programu </w:t>
      </w:r>
      <w:r>
        <w:t>jsou</w:t>
      </w:r>
      <w:r w:rsidRPr="00A55334">
        <w:t xml:space="preserve"> vymezeni</w:t>
      </w:r>
      <w:r>
        <w:t>: fyzická nebo právnická osoba, která je vlastníkem nebo spoluvlastníkem domu; fyzická nebo právnická osoba, která je vlastníkem nebo spoluvlastníkem bytu nebo nebytového prostoru v domě podle zákona o vlastnictví bytů; společenství vlastníků jednotek vzniklé v domě podle zákona o vlastnictví bytů.</w:t>
      </w:r>
    </w:p>
    <w:p w:rsidR="00DA4E52" w:rsidRPr="004D0520" w:rsidRDefault="00DA4E52" w:rsidP="002D2639">
      <w:pPr>
        <w:pStyle w:val="Odstavecseseznamem"/>
        <w:numPr>
          <w:ilvl w:val="1"/>
          <w:numId w:val="44"/>
        </w:numPr>
      </w:pPr>
      <w:r w:rsidRPr="004D0520">
        <w:t xml:space="preserve">Celkem bylo přijato </w:t>
      </w:r>
      <w:r w:rsidR="00FF21F1">
        <w:t>400</w:t>
      </w:r>
      <w:r w:rsidR="00FF21F1" w:rsidRPr="004D0520">
        <w:t xml:space="preserve"> </w:t>
      </w:r>
      <w:r w:rsidRPr="004D0520">
        <w:t xml:space="preserve">žádostí, podpořeno bylo </w:t>
      </w:r>
      <w:r w:rsidR="00FF21F1">
        <w:t>306</w:t>
      </w:r>
      <w:r w:rsidRPr="004D0520">
        <w:t xml:space="preserve">, </w:t>
      </w:r>
      <w:r>
        <w:t>vyřazeno</w:t>
      </w:r>
      <w:r w:rsidRPr="004D0520">
        <w:t xml:space="preserve"> </w:t>
      </w:r>
      <w:r w:rsidR="00FF21F1">
        <w:t>55</w:t>
      </w:r>
      <w:r w:rsidR="00FF21F1" w:rsidRPr="004D0520">
        <w:t xml:space="preserve"> </w:t>
      </w:r>
      <w:r w:rsidRPr="004D0520">
        <w:t>žádostí;</w:t>
      </w:r>
    </w:p>
    <w:p w:rsidR="00DA4E52" w:rsidRPr="00B76511" w:rsidRDefault="00DA4E52" w:rsidP="002D2639">
      <w:pPr>
        <w:pStyle w:val="Odstavecseseznamem"/>
        <w:numPr>
          <w:ilvl w:val="1"/>
          <w:numId w:val="44"/>
        </w:numPr>
      </w:pPr>
      <w:r>
        <w:t>Alokace programu na roky 2013 a 2014 ve výši 1,63 mld. Kč doposud nebyla vyčerpána, podpořené projekty si zabezpečily zdroje skrze úvěrové smlouvy ve výši 97</w:t>
      </w:r>
      <w:r w:rsidR="00AC1147">
        <w:t>4</w:t>
      </w:r>
      <w:r w:rsidRPr="004D0520">
        <w:t xml:space="preserve"> mil. Kč, nepodpořené projekty nezískaly podporu v požadované výši </w:t>
      </w:r>
      <w:r w:rsidR="00AC1147">
        <w:t>278</w:t>
      </w:r>
      <w:r w:rsidR="00AC1147" w:rsidRPr="004D0520">
        <w:t xml:space="preserve"> </w:t>
      </w:r>
      <w:r w:rsidRPr="004D0520">
        <w:t>mil. Kč.</w:t>
      </w:r>
    </w:p>
    <w:p w:rsidR="00DA4E52" w:rsidRPr="007F59E4" w:rsidRDefault="00DA4E52" w:rsidP="00DA4E52">
      <w:r w:rsidRPr="007F59E4">
        <w:t xml:space="preserve">Dále je na národní úrovni poskytována podpora skrze </w:t>
      </w:r>
      <w:r w:rsidRPr="006915E3">
        <w:rPr>
          <w:b/>
        </w:rPr>
        <w:t>program EFEKT</w:t>
      </w:r>
      <w:r w:rsidRPr="007F59E4">
        <w:t xml:space="preserve"> vyhlašovaný MPO, nicméně tento program je zaměřen na osvětovou a informační činnost (s důrazem na úsporná energetická opatření a využívání obnovitelných zdrojů energie) a na investiční akce menšího rozsahu (realizace energeticky úsporných projektů především v obcích), s ročním rozpočtem ve výši 30 mil. Kč – jakékoliv srovnání by tedy bylo značně omezeně využitelné.</w:t>
      </w:r>
    </w:p>
    <w:p w:rsidR="00DA4E52" w:rsidRDefault="00DA4E52" w:rsidP="00DA4E52">
      <w:r w:rsidRPr="007F59E4">
        <w:t>Mezi důležité národní zdroje financování lze zařadit i existenci krajských, městských a obecních programů podpory</w:t>
      </w:r>
      <w:r>
        <w:t xml:space="preserve">, nicméně tyto programy </w:t>
      </w:r>
      <w:r w:rsidRPr="007F59E4">
        <w:t>zdaleka nedosahují objemů financování, které by byly srovnatelné se zaměřením této analýzy</w:t>
      </w:r>
      <w:r>
        <w:t>.</w:t>
      </w:r>
    </w:p>
    <w:p w:rsidR="00DA4E52" w:rsidRDefault="00DA4E52" w:rsidP="00DA4E52">
      <w:pPr>
        <w:pStyle w:val="Highlight2"/>
      </w:pPr>
      <w:r>
        <w:t>Soukromé domácí zdroje financování</w:t>
      </w:r>
    </w:p>
    <w:p w:rsidR="00DA4E52" w:rsidRPr="007E6DF5" w:rsidRDefault="00DA4E52" w:rsidP="00DA4E52">
      <w:r>
        <w:t>J</w:t>
      </w:r>
      <w:r w:rsidRPr="007E6DF5">
        <w:t xml:space="preserve">e využíváno financování projektů </w:t>
      </w:r>
      <w:r w:rsidRPr="007E6DF5">
        <w:rPr>
          <w:b/>
        </w:rPr>
        <w:t>klasickými bankovními produkty</w:t>
      </w:r>
      <w:r w:rsidRPr="007E6DF5">
        <w:t xml:space="preserve">, a to jak v plné výši, tak v kombinaci s rozpočtovanými prostředky </w:t>
      </w:r>
      <w:r>
        <w:t>konečného příjemce, typicky za využití zdrojů nakumulovaných ve „fondu oprav“</w:t>
      </w:r>
      <w:r w:rsidRPr="007E6DF5">
        <w:t>. Jak již bylo specifikováno výše, projekty jsou dále realizovány velmi často se zapojením dotačního financování</w:t>
      </w:r>
      <w:r>
        <w:t xml:space="preserve"> nebo za využití zvýhodněného úvěru</w:t>
      </w:r>
      <w:r w:rsidRPr="007E6DF5">
        <w:t>, které kryj</w:t>
      </w:r>
      <w:r>
        <w:t>í</w:t>
      </w:r>
      <w:r w:rsidRPr="007E6DF5">
        <w:t xml:space="preserve"> podstatnou část výdajů projektu.</w:t>
      </w:r>
    </w:p>
    <w:p w:rsidR="00DA4E52" w:rsidRPr="007E6DF5" w:rsidRDefault="00DA4E52" w:rsidP="00DA4E52">
      <w:r w:rsidRPr="007E6DF5">
        <w:t>Přes snahu získat data o objemu financování sledovaných projektů nebylo možné tyto získat, oslovení zástupci největších bankovních domů pouze potvrdili, že sledovaným projektům nabízejí velmi výhodné úvěrové podmínky, a to především s ohledem na spolehlivost a bonitu žadatelů</w:t>
      </w:r>
      <w:r w:rsidR="001D66FC">
        <w:t>, dispozici budovy k ručení</w:t>
      </w:r>
      <w:r w:rsidRPr="007E6DF5">
        <w:t>.</w:t>
      </w:r>
    </w:p>
    <w:p w:rsidR="00DA4E52" w:rsidRPr="007E6DF5" w:rsidRDefault="00DA4E52" w:rsidP="00DA4E52">
      <w:r w:rsidRPr="007E6DF5">
        <w:t>Co se týká specifických bankovních podmínek pro projekty</w:t>
      </w:r>
      <w:r w:rsidRPr="007E6DF5">
        <w:rPr>
          <w:i/>
        </w:rPr>
        <w:t xml:space="preserve"> </w:t>
      </w:r>
      <w:r w:rsidRPr="00EB23C6">
        <w:rPr>
          <w:i/>
        </w:rPr>
        <w:t>Snížení energetické náročnosti v sektoru bydlení</w:t>
      </w:r>
      <w:r w:rsidRPr="007E6DF5">
        <w:t>, podmínky získání úvěru typicky kopírují následující atributy:</w:t>
      </w:r>
    </w:p>
    <w:p w:rsidR="00DA4E52" w:rsidRPr="007E6DF5" w:rsidRDefault="00DA4E52" w:rsidP="002D2639">
      <w:pPr>
        <w:pStyle w:val="Odstavecseseznamem"/>
        <w:numPr>
          <w:ilvl w:val="0"/>
          <w:numId w:val="46"/>
        </w:numPr>
      </w:pPr>
      <w:r w:rsidRPr="007E6DF5">
        <w:t xml:space="preserve">Požadavek na </w:t>
      </w:r>
      <w:r>
        <w:t>ručení za úvěrové zdroje nemovitostí, případně směnkou</w:t>
      </w:r>
      <w:r w:rsidRPr="007E6DF5">
        <w:t>;</w:t>
      </w:r>
    </w:p>
    <w:p w:rsidR="00DA4E52" w:rsidRDefault="007E33AE" w:rsidP="002D2639">
      <w:pPr>
        <w:pStyle w:val="Odstavecseseznamem"/>
        <w:numPr>
          <w:ilvl w:val="0"/>
          <w:numId w:val="46"/>
        </w:numPr>
      </w:pPr>
      <w:r>
        <w:t>Úroková míra v rozmezí 2 – 5</w:t>
      </w:r>
      <w:r w:rsidR="00DA4E52">
        <w:t xml:space="preserve"> </w:t>
      </w:r>
      <w:r w:rsidR="00DA4E52" w:rsidRPr="007E6DF5">
        <w:t>% v závislosti na typu projektu a rozpočtu</w:t>
      </w:r>
      <w:r w:rsidR="00DA4E52">
        <w:t xml:space="preserve">, míry spolufinancování, doby splatnosti, </w:t>
      </w:r>
      <w:r w:rsidR="00530CA8">
        <w:t xml:space="preserve">možnosti zajištění úvěru, </w:t>
      </w:r>
      <w:r w:rsidR="00DA4E52">
        <w:t>bonitě a historii klienta.</w:t>
      </w:r>
    </w:p>
    <w:p w:rsidR="00DA4E52" w:rsidRPr="007E6DF5" w:rsidRDefault="00DA4E52" w:rsidP="00DA4E52">
      <w:r>
        <w:t xml:space="preserve">Ve sledované oblasti je možné dále pozorovat i zvýšenou intenzitu </w:t>
      </w:r>
      <w:r w:rsidRPr="00FC5655">
        <w:rPr>
          <w:b/>
        </w:rPr>
        <w:t>nabídky zvýhodněných úvěrů</w:t>
      </w:r>
      <w:r>
        <w:t xml:space="preserve">, které poskytují typicky komerční banky s tím, že zvýhodnění je subvencí ze strany EIB/EIF. Výhodou těchto úvěrů pro konečného příjemce je snížení úrokové míry a/nebo prodloužení přijatelné doby splatnosti, případně zmírnění požadavků na poskytnutí záruk. </w:t>
      </w:r>
      <w:r w:rsidRPr="009E201F">
        <w:t>Přes snahu získat data o objemu financování sledovaných projektů nebylo možné tyto získat</w:t>
      </w:r>
      <w:r>
        <w:t>.</w:t>
      </w:r>
    </w:p>
    <w:p w:rsidR="00DA4E52" w:rsidRDefault="00DA4E52" w:rsidP="00DA4E52">
      <w:pPr>
        <w:rPr>
          <w:b/>
        </w:rPr>
      </w:pPr>
      <w:r w:rsidRPr="007E6DF5">
        <w:t xml:space="preserve">Co se týče </w:t>
      </w:r>
      <w:r w:rsidRPr="007E6DF5">
        <w:rPr>
          <w:b/>
        </w:rPr>
        <w:t>alternativních zdrojů soukromého financování</w:t>
      </w:r>
      <w:r w:rsidRPr="007E6DF5">
        <w:t xml:space="preserve">, nejčastější formou podpory je využití metody energetické služby se zárukou, často zkráceně označované zkratkou EPC (z anglického Energy </w:t>
      </w:r>
      <w:r w:rsidRPr="007E6DF5">
        <w:lastRenderedPageBreak/>
        <w:t>Performance Contracting). Pomocí metody EPC  je možné komerčně financovat úspory energie s krátkou dobou návratnosti (ve veřejném sektoru do 8 až 10 let, v komerčním sektoru do 5 až 7 let) a zároveň tam, kde lze garantovat jistý způsob užívání objektu (tzn. zejména administrativní budovy, jak veřejné tak komerční, školy, nemocnice apod.). Typicky je tato metoda vhodná pro technologická opatření, může však být použita i v kombinaci s renovací obálky budovy, kde je tato zafinancována jiným způsobem. Kombinace veřejné podpory s metodou EPC pak zaručuje efektivní využití veřejných prostředků s multiplikačním efektem. Dle údajů od Asociace poskytovatelů energetických služeb bylo za posledních dvacet let podpořeno cca 200 projektů, se souhrnnou investiční náročností cca 2 mld. Kč.</w:t>
      </w:r>
      <w:r>
        <w:t xml:space="preserve"> </w:t>
      </w:r>
      <w:r w:rsidRPr="00E56D8E">
        <w:rPr>
          <w:b/>
        </w:rPr>
        <w:t xml:space="preserve">Tento typ </w:t>
      </w:r>
      <w:r>
        <w:rPr>
          <w:b/>
        </w:rPr>
        <w:t>financování</w:t>
      </w:r>
      <w:r w:rsidRPr="00E56D8E">
        <w:rPr>
          <w:b/>
        </w:rPr>
        <w:t xml:space="preserve"> není využíván na projekty ve sledovaném sektoru bydlení, proto nemá význam jej dále analyzovat.</w:t>
      </w:r>
    </w:p>
    <w:p w:rsidR="00D36F9D" w:rsidRDefault="00D36F9D" w:rsidP="000979B7">
      <w:pPr>
        <w:pStyle w:val="Nadpis4"/>
      </w:pPr>
      <w:r>
        <w:t>Charakter strany poptávky</w:t>
      </w:r>
    </w:p>
    <w:p w:rsidR="00D36F9D" w:rsidRPr="00A94200" w:rsidRDefault="00D36F9D" w:rsidP="000979B7">
      <w:pPr>
        <w:pStyle w:val="CaptionIntroductionparagraph"/>
      </w:pPr>
      <w:r w:rsidRPr="00A94200">
        <w:t xml:space="preserve">Analýza </w:t>
      </w:r>
      <w:r>
        <w:t>absorpčních kapacit programového období 2007 - 2013</w:t>
      </w:r>
    </w:p>
    <w:p w:rsidR="00D36F9D" w:rsidRDefault="00D36F9D" w:rsidP="00D36F9D">
      <w:pPr>
        <w:pStyle w:val="Highlight2"/>
      </w:pPr>
      <w:r>
        <w:t>Veřejné zahraniční zdroje financování</w:t>
      </w:r>
    </w:p>
    <w:p w:rsidR="00D36F9D" w:rsidRDefault="00D36F9D" w:rsidP="00D36F9D">
      <w:r>
        <w:t xml:space="preserve">Dle čtvrtletní monitorovací zprávy za III. čtvrtletí 2014 o stavu čerpání prostředků ze strukturálních fondů v období 2007 – 2013 je zřejmé, že </w:t>
      </w:r>
      <w:r w:rsidRPr="00841964">
        <w:rPr>
          <w:b/>
        </w:rPr>
        <w:t xml:space="preserve">ve sledované oblasti </w:t>
      </w:r>
      <w:r>
        <w:rPr>
          <w:b/>
        </w:rPr>
        <w:t>intervence</w:t>
      </w:r>
      <w:r w:rsidRPr="00841964">
        <w:rPr>
          <w:b/>
        </w:rPr>
        <w:t xml:space="preserve"> IOP 5.2 nebyla podpora přiznána 93 projektům</w:t>
      </w:r>
      <w:r>
        <w:t>. Dle dalších odkladů předaných ze strany zadavatele tyto projekty byly vyřazeny z důvodů kvalitativních (</w:t>
      </w:r>
      <w:r w:rsidRPr="00841964">
        <w:t>žádost nesplnila alespoň jedno kritérium přijatelnosti</w:t>
      </w:r>
      <w:r>
        <w:t xml:space="preserve">, </w:t>
      </w:r>
      <w:r w:rsidRPr="00841964">
        <w:t>nesplnila formální náležitosti</w:t>
      </w:r>
      <w:r>
        <w:t xml:space="preserve">, žádost stažena žadatelem), </w:t>
      </w:r>
      <w:r w:rsidRPr="00841964">
        <w:rPr>
          <w:b/>
        </w:rPr>
        <w:t>projekty nebyly vyřazovány z důvodu nedostatečné alokace</w:t>
      </w:r>
      <w:r>
        <w:t>. Důležité je dále zmínit, že závěry je třeba interpretovat s obezřetností, neboť podpora směřovala pouze do oblastí s platným IPRM.</w:t>
      </w:r>
    </w:p>
    <w:p w:rsidR="00D36F9D" w:rsidRDefault="00D36F9D" w:rsidP="00D36F9D">
      <w:r>
        <w:t>Dle údajů předaných ze strany Státního fondu rozvoje bydlení (dále také SFRB) nedošlo doposud k vyčerpání alokace vyčleněné pro program JESSICA, nicméně na celou výši alokace jsou již přijaty žádosti o podporu. Dle údajů k prosinci 2014 byl stav čerpání následující:</w:t>
      </w:r>
    </w:p>
    <w:tbl>
      <w:tblPr>
        <w:tblStyle w:val="Deloittetable1"/>
        <w:tblW w:w="9100" w:type="dxa"/>
        <w:tblLook w:val="04A0" w:firstRow="1" w:lastRow="0" w:firstColumn="1" w:lastColumn="0" w:noHBand="0" w:noVBand="1"/>
      </w:tblPr>
      <w:tblGrid>
        <w:gridCol w:w="5698"/>
        <w:gridCol w:w="1559"/>
        <w:gridCol w:w="1843"/>
      </w:tblGrid>
      <w:tr w:rsidR="00D36F9D" w:rsidTr="00A82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tcPr>
          <w:p w:rsidR="00D36F9D" w:rsidRDefault="00D36F9D" w:rsidP="00A825E5">
            <w:pPr>
              <w:spacing w:after="0"/>
            </w:pPr>
            <w:r>
              <w:t>Stav žádosti</w:t>
            </w:r>
          </w:p>
        </w:tc>
        <w:tc>
          <w:tcPr>
            <w:tcW w:w="1559" w:type="dxa"/>
          </w:tcPr>
          <w:p w:rsidR="00D36F9D" w:rsidRDefault="00D36F9D" w:rsidP="00A825E5">
            <w:pPr>
              <w:spacing w:after="0"/>
              <w:cnfStyle w:val="100000000000" w:firstRow="1" w:lastRow="0" w:firstColumn="0" w:lastColumn="0" w:oddVBand="0" w:evenVBand="0" w:oddHBand="0" w:evenHBand="0" w:firstRowFirstColumn="0" w:firstRowLastColumn="0" w:lastRowFirstColumn="0" w:lastRowLastColumn="0"/>
            </w:pPr>
            <w:r>
              <w:t>Počet žádostí</w:t>
            </w:r>
          </w:p>
        </w:tc>
        <w:tc>
          <w:tcPr>
            <w:tcW w:w="1843" w:type="dxa"/>
          </w:tcPr>
          <w:p w:rsidR="00D36F9D" w:rsidRDefault="00D36F9D" w:rsidP="00A825E5">
            <w:pPr>
              <w:spacing w:after="0"/>
              <w:cnfStyle w:val="100000000000" w:firstRow="1" w:lastRow="0" w:firstColumn="0" w:lastColumn="0" w:oddVBand="0" w:evenVBand="0" w:oddHBand="0" w:evenHBand="0" w:firstRowFirstColumn="0" w:firstRowLastColumn="0" w:lastRowFirstColumn="0" w:lastRowLastColumn="0"/>
            </w:pPr>
            <w:r>
              <w:t>Objem prostředků</w:t>
            </w:r>
          </w:p>
        </w:tc>
      </w:tr>
      <w:tr w:rsidR="00D36F9D" w:rsidTr="00A825E5">
        <w:tc>
          <w:tcPr>
            <w:cnfStyle w:val="001000000000" w:firstRow="0" w:lastRow="0" w:firstColumn="1" w:lastColumn="0" w:oddVBand="0" w:evenVBand="0" w:oddHBand="0" w:evenHBand="0" w:firstRowFirstColumn="0" w:firstRowLastColumn="0" w:lastRowFirstColumn="0" w:lastRowLastColumn="0"/>
            <w:tcW w:w="5698" w:type="dxa"/>
            <w:vAlign w:val="bottom"/>
          </w:tcPr>
          <w:p w:rsidR="00D36F9D" w:rsidRDefault="00D36F9D" w:rsidP="00A825E5">
            <w:pPr>
              <w:spacing w:after="0"/>
            </w:pPr>
            <w:r w:rsidRPr="000F14E7">
              <w:rPr>
                <w:bCs/>
              </w:rPr>
              <w:t>Žádostí o zvýhodněný úvěr ve stadiu posuzování</w:t>
            </w:r>
          </w:p>
        </w:tc>
        <w:tc>
          <w:tcPr>
            <w:tcW w:w="1559" w:type="dxa"/>
            <w:vAlign w:val="bottom"/>
          </w:tcPr>
          <w:p w:rsidR="00D36F9D" w:rsidRDefault="00D36F9D" w:rsidP="00A825E5">
            <w:pPr>
              <w:spacing w:after="0"/>
              <w:cnfStyle w:val="000000000000" w:firstRow="0" w:lastRow="0" w:firstColumn="0" w:lastColumn="0" w:oddVBand="0" w:evenVBand="0" w:oddHBand="0" w:evenHBand="0" w:firstRowFirstColumn="0" w:firstRowLastColumn="0" w:lastRowFirstColumn="0" w:lastRowLastColumn="0"/>
            </w:pPr>
            <w:r w:rsidRPr="000F14E7">
              <w:t>28 ks</w:t>
            </w:r>
          </w:p>
        </w:tc>
        <w:tc>
          <w:tcPr>
            <w:tcW w:w="1843" w:type="dxa"/>
          </w:tcPr>
          <w:p w:rsidR="00D36F9D" w:rsidRDefault="00D36F9D" w:rsidP="00A825E5">
            <w:pPr>
              <w:spacing w:after="0"/>
              <w:cnfStyle w:val="000000000000" w:firstRow="0" w:lastRow="0" w:firstColumn="0" w:lastColumn="0" w:oddVBand="0" w:evenVBand="0" w:oddHBand="0" w:evenHBand="0" w:firstRowFirstColumn="0" w:firstRowLastColumn="0" w:lastRowFirstColumn="0" w:lastRowLastColumn="0"/>
            </w:pPr>
            <w:r w:rsidRPr="000F14E7">
              <w:t>162,6 mil. Kč</w:t>
            </w:r>
          </w:p>
        </w:tc>
      </w:tr>
      <w:tr w:rsidR="00D36F9D" w:rsidTr="00A825E5">
        <w:tc>
          <w:tcPr>
            <w:cnfStyle w:val="001000000000" w:firstRow="0" w:lastRow="0" w:firstColumn="1" w:lastColumn="0" w:oddVBand="0" w:evenVBand="0" w:oddHBand="0" w:evenHBand="0" w:firstRowFirstColumn="0" w:firstRowLastColumn="0" w:lastRowFirstColumn="0" w:lastRowLastColumn="0"/>
            <w:tcW w:w="5698" w:type="dxa"/>
            <w:vAlign w:val="bottom"/>
          </w:tcPr>
          <w:p w:rsidR="00D36F9D" w:rsidRDefault="00D36F9D" w:rsidP="00A825E5">
            <w:pPr>
              <w:spacing w:after="0"/>
            </w:pPr>
            <w:r w:rsidRPr="000F14E7">
              <w:rPr>
                <w:bCs/>
              </w:rPr>
              <w:t>Schválené žádosti o úvěr</w:t>
            </w:r>
          </w:p>
        </w:tc>
        <w:tc>
          <w:tcPr>
            <w:tcW w:w="1559" w:type="dxa"/>
            <w:vAlign w:val="bottom"/>
          </w:tcPr>
          <w:p w:rsidR="00D36F9D" w:rsidRDefault="00D36F9D" w:rsidP="00A825E5">
            <w:pPr>
              <w:spacing w:after="0"/>
              <w:cnfStyle w:val="000000000000" w:firstRow="0" w:lastRow="0" w:firstColumn="0" w:lastColumn="0" w:oddVBand="0" w:evenVBand="0" w:oddHBand="0" w:evenHBand="0" w:firstRowFirstColumn="0" w:firstRowLastColumn="0" w:lastRowFirstColumn="0" w:lastRowLastColumn="0"/>
            </w:pPr>
            <w:r w:rsidRPr="000F14E7">
              <w:t>13 ks</w:t>
            </w:r>
          </w:p>
        </w:tc>
        <w:tc>
          <w:tcPr>
            <w:tcW w:w="1843" w:type="dxa"/>
          </w:tcPr>
          <w:p w:rsidR="00D36F9D" w:rsidRDefault="00D36F9D" w:rsidP="00A825E5">
            <w:pPr>
              <w:spacing w:after="0"/>
              <w:cnfStyle w:val="000000000000" w:firstRow="0" w:lastRow="0" w:firstColumn="0" w:lastColumn="0" w:oddVBand="0" w:evenVBand="0" w:oddHBand="0" w:evenHBand="0" w:firstRowFirstColumn="0" w:firstRowLastColumn="0" w:lastRowFirstColumn="0" w:lastRowLastColumn="0"/>
            </w:pPr>
            <w:r w:rsidRPr="000F14E7">
              <w:t>57,5 mil. Kč</w:t>
            </w:r>
          </w:p>
        </w:tc>
      </w:tr>
      <w:tr w:rsidR="00D36F9D" w:rsidTr="00A825E5">
        <w:tc>
          <w:tcPr>
            <w:cnfStyle w:val="001000000000" w:firstRow="0" w:lastRow="0" w:firstColumn="1" w:lastColumn="0" w:oddVBand="0" w:evenVBand="0" w:oddHBand="0" w:evenHBand="0" w:firstRowFirstColumn="0" w:firstRowLastColumn="0" w:lastRowFirstColumn="0" w:lastRowLastColumn="0"/>
            <w:tcW w:w="5698" w:type="dxa"/>
            <w:vAlign w:val="bottom"/>
          </w:tcPr>
          <w:p w:rsidR="00D36F9D" w:rsidRDefault="00D36F9D" w:rsidP="00A825E5">
            <w:pPr>
              <w:spacing w:after="0"/>
            </w:pPr>
            <w:r w:rsidRPr="000F14E7">
              <w:t>Podepsané úvěrové smlouvy</w:t>
            </w:r>
          </w:p>
        </w:tc>
        <w:tc>
          <w:tcPr>
            <w:tcW w:w="1559" w:type="dxa"/>
            <w:vAlign w:val="bottom"/>
          </w:tcPr>
          <w:p w:rsidR="00D36F9D" w:rsidRDefault="00D36F9D" w:rsidP="00A825E5">
            <w:pPr>
              <w:spacing w:after="0"/>
              <w:cnfStyle w:val="000000000000" w:firstRow="0" w:lastRow="0" w:firstColumn="0" w:lastColumn="0" w:oddVBand="0" w:evenVBand="0" w:oddHBand="0" w:evenHBand="0" w:firstRowFirstColumn="0" w:firstRowLastColumn="0" w:lastRowFirstColumn="0" w:lastRowLastColumn="0"/>
            </w:pPr>
            <w:r w:rsidRPr="000F14E7">
              <w:t>100 ks</w:t>
            </w:r>
          </w:p>
        </w:tc>
        <w:tc>
          <w:tcPr>
            <w:tcW w:w="1843" w:type="dxa"/>
          </w:tcPr>
          <w:p w:rsidR="00D36F9D" w:rsidRDefault="00D36F9D" w:rsidP="00A825E5">
            <w:pPr>
              <w:spacing w:after="0"/>
              <w:cnfStyle w:val="000000000000" w:firstRow="0" w:lastRow="0" w:firstColumn="0" w:lastColumn="0" w:oddVBand="0" w:evenVBand="0" w:oddHBand="0" w:evenHBand="0" w:firstRowFirstColumn="0" w:firstRowLastColumn="0" w:lastRowFirstColumn="0" w:lastRowLastColumn="0"/>
            </w:pPr>
            <w:r w:rsidRPr="000F14E7">
              <w:t>356,3 mil. Kč</w:t>
            </w:r>
          </w:p>
        </w:tc>
      </w:tr>
    </w:tbl>
    <w:p w:rsidR="00D36F9D" w:rsidRDefault="00D36F9D" w:rsidP="00D36F9D">
      <w:pPr>
        <w:pStyle w:val="Titulek"/>
      </w:pPr>
      <w:bookmarkStart w:id="60" w:name="_Toc409795565"/>
      <w:bookmarkStart w:id="61" w:name="_Toc417655503"/>
      <w:r>
        <w:t xml:space="preserve">Tabulka </w:t>
      </w:r>
      <w:r>
        <w:fldChar w:fldCharType="begin"/>
      </w:r>
      <w:r>
        <w:instrText xml:space="preserve"> SEQ Tabulka \* ARABIC </w:instrText>
      </w:r>
      <w:r>
        <w:fldChar w:fldCharType="separate"/>
      </w:r>
      <w:r w:rsidR="007813A3">
        <w:rPr>
          <w:noProof/>
        </w:rPr>
        <w:t>5</w:t>
      </w:r>
      <w:r>
        <w:fldChar w:fldCharType="end"/>
      </w:r>
      <w:r>
        <w:t>: Stav čerpání programu JESSICA</w:t>
      </w:r>
      <w:bookmarkEnd w:id="60"/>
      <w:bookmarkEnd w:id="61"/>
    </w:p>
    <w:p w:rsidR="00D36F9D" w:rsidRDefault="00D36F9D" w:rsidP="00D36F9D">
      <w:r w:rsidRPr="00B56E15">
        <w:rPr>
          <w:b/>
        </w:rPr>
        <w:t>Dle informací od SFRB nebyly projekty žádající v JESSICA zamítány z důvodu nedostatečné alokace</w:t>
      </w:r>
      <w:r>
        <w:t xml:space="preserve">, je evidováno několik projektů, které jsou vedeny jako náhradní projekty, které budou aktivovány k podpoře v případě, že </w:t>
      </w:r>
      <w:r w:rsidRPr="000F14E7">
        <w:t>dojde k odstoupení žadatele od dříve podané žádosti či ukončení úvěrové smlouvy</w:t>
      </w:r>
      <w:r>
        <w:t>, apod. Stav čerpání prostředků významně ovlivňuje relativně pozdní spuštění programu, poskytování zvýhodněných úvěrů bylo započato až v lednu 2014.</w:t>
      </w:r>
    </w:p>
    <w:p w:rsidR="00D36F9D" w:rsidRDefault="00D36F9D" w:rsidP="00D36F9D">
      <w:r w:rsidRPr="00C974B4">
        <w:t>Uvedené závěry k</w:t>
      </w:r>
      <w:r>
        <w:t> čerpání z IOP a JESSICA IOP na revitalizaci bytového fondu přímo nenaznačují, že by existovala neuspokojená poptávka kvalitních projektů, nicméně závěry datové analýzy je třeba interpretovat s obezřetností. Dle závěrů vyššího počtu dostupných kvalitních studií existuje významná investiční potřeba ve sledované oblasti, potenciální absorpční kapacita dosahuje řádu stovek miliard korun</w:t>
      </w:r>
      <w:r>
        <w:rPr>
          <w:rStyle w:val="Znakapoznpodarou"/>
        </w:rPr>
        <w:footnoteReference w:id="4"/>
      </w:r>
      <w:r>
        <w:t xml:space="preserve">. Evidovaný pouze minimální převis v zájmu o disponibilní prostředky podtrhuje několik významných faktorů, které jsou analyzovány v kapitole o tržním selhání – dle názoru oslovených odborníků, zástupců zadavatele i dle zhodnocení dodavatele </w:t>
      </w:r>
      <w:r w:rsidRPr="00C974B4">
        <w:t>řada potenciálně vhodných projektů pravděpodobně ani nepodala žádost s ohledem na skutečnost, že vysoká konkurence projektů působila demotivačně, a to především ve spojitosti s relativně vysokými náklady na projektovou přípravu, kterou musí subjekt bez záruky dotace</w:t>
      </w:r>
      <w:r>
        <w:t>/zvýhodněného úvěru</w:t>
      </w:r>
      <w:r w:rsidRPr="00C974B4">
        <w:t xml:space="preserve"> vynaložit.</w:t>
      </w:r>
    </w:p>
    <w:p w:rsidR="00D36F9D" w:rsidRDefault="00D36F9D" w:rsidP="00D36F9D">
      <w:r>
        <w:t xml:space="preserve">Další výše analyzované programy jako EKO ENERGIE z OPPI, podpora z OPŽP nebo z prostředků ROP Moravskoslezsko nebyly dále analyzovány, neboť v oblasti poptávky nemohou vystupovat tyto projekty zastupitelně a srovnání by mohlo být zavádějící. </w:t>
      </w:r>
    </w:p>
    <w:p w:rsidR="00A825E5" w:rsidRDefault="00A825E5">
      <w:pPr>
        <w:spacing w:after="0"/>
        <w:jc w:val="left"/>
        <w:rPr>
          <w:b/>
          <w:color w:val="92D400" w:themeColor="accent2"/>
          <w:sz w:val="20"/>
        </w:rPr>
      </w:pPr>
      <w:r>
        <w:br w:type="page"/>
      </w:r>
    </w:p>
    <w:p w:rsidR="00D36F9D" w:rsidRDefault="00D36F9D" w:rsidP="00D36F9D">
      <w:pPr>
        <w:pStyle w:val="Highlight2"/>
      </w:pPr>
      <w:r>
        <w:lastRenderedPageBreak/>
        <w:t>Veřejné domácí zdroje financování</w:t>
      </w:r>
    </w:p>
    <w:p w:rsidR="00D36F9D" w:rsidRPr="00D350BA" w:rsidRDefault="00D36F9D" w:rsidP="00D36F9D">
      <w:r w:rsidRPr="00D350BA">
        <w:t>Co se týče program</w:t>
      </w:r>
      <w:r>
        <w:t>u</w:t>
      </w:r>
      <w:r w:rsidRPr="00D350BA">
        <w:t xml:space="preserve"> </w:t>
      </w:r>
      <w:r>
        <w:t>Z</w:t>
      </w:r>
      <w:r w:rsidRPr="00D350BA">
        <w:t>elená úsporám</w:t>
      </w:r>
      <w:r>
        <w:t xml:space="preserve"> (první vymezení, které obsahovalo věcný překryv s plánovaným vymezením IROP co se podpory bytových domů týká)</w:t>
      </w:r>
      <w:r w:rsidRPr="00D350BA">
        <w:t>, výroční zprávy programu ani dodatečně poskytnuté materiály bohužel neumožnují bližší analýzu, jaký poměr žádostí byl zamítnut z formálních/kvalitativních důvodů a jaká část nebyla podpořena z důvodu omezení alokace. Dodavatel uplatnil konzervativní odhad vycházející ze zjištěné praxe u dotačního financování z evropských strukturálních fondů, že 40 % nepodpořen</w:t>
      </w:r>
      <w:r>
        <w:t xml:space="preserve">ých či </w:t>
      </w:r>
      <w:r w:rsidRPr="00D350BA">
        <w:t xml:space="preserve">vyřazených žádostí </w:t>
      </w:r>
      <w:r>
        <w:t>nebylo podpořeno</w:t>
      </w:r>
      <w:r w:rsidRPr="00D350BA">
        <w:t xml:space="preserve"> z důvodů nedostatečné kvality, 60 % nedosáhlo na veřejnou podporu z důvodu </w:t>
      </w:r>
      <w:r>
        <w:t xml:space="preserve">omezené alokace programu. </w:t>
      </w:r>
      <w:r w:rsidRPr="00D350BA">
        <w:t xml:space="preserve">Za předpokladu, že část z vyřazených projektů (30%) pro kvalitu/nesoulad s cíli bude schopno upravit projekt tak, aby byl v souladu s podmínkami podpory připravované v rámci IROP a současně část neschválených projektů (95%) z důvodu alokace budou mít zájem se ucházet o podporu v programovém období 2014-2020 v rámci IROP, lze </w:t>
      </w:r>
      <w:r w:rsidRPr="00785EBF">
        <w:t>neuspokojen</w:t>
      </w:r>
      <w:r>
        <w:t>ou</w:t>
      </w:r>
      <w:r w:rsidRPr="00785EBF">
        <w:t xml:space="preserve"> poptávk</w:t>
      </w:r>
      <w:r>
        <w:t xml:space="preserve">u vyčíslit na 2,35 mld. Kč. </w:t>
      </w:r>
      <w:r w:rsidRPr="00D350BA">
        <w:rPr>
          <w:rStyle w:val="Znakapoznpodarou"/>
        </w:rPr>
        <w:footnoteReference w:id="5"/>
      </w:r>
      <w:r w:rsidRPr="00D350BA">
        <w:t xml:space="preserve"> </w:t>
      </w:r>
      <w:r>
        <w:t xml:space="preserve"> S ohledem na časové zpoždění (neuspokojení žadatelé mohli v mezidobí provést rekonstrukci bez podpory nebo využít jiné dostupné podpory) a širší vymezení způsobilých žadatelů programu Zelená úsporám, dodavatel uplatňuje snížení výsledné potenciální poptávky o 50% - </w:t>
      </w:r>
      <w:r w:rsidRPr="00D350BA">
        <w:t xml:space="preserve">lze provést </w:t>
      </w:r>
      <w:r w:rsidRPr="0077300C">
        <w:t xml:space="preserve">expertní odhad, že existuje až </w:t>
      </w:r>
      <w:r>
        <w:t>1,17</w:t>
      </w:r>
      <w:r w:rsidRPr="0077300C">
        <w:t xml:space="preserve"> mld. Kč neuspokojené poptávky ve sledované oblasti</w:t>
      </w:r>
      <w:r>
        <w:t xml:space="preserve"> IROP. Za program PANEL nebyla činěna dodatečná modelace potenciálu poptávky, neboť doposud poptávka zaostávala za nabídkou prostředků a dle údajů od SFRB nepodpořené projekty byly vyřazeny výlučně proto, že žadatel o vyřazení požádal (90% případů), nebo z důvodu nesoučinnosti žadatele při realizaci kroků po schválení žádosti (10% případů).</w:t>
      </w:r>
    </w:p>
    <w:p w:rsidR="00D36F9D" w:rsidRPr="00D350BA" w:rsidRDefault="00D36F9D" w:rsidP="00D36F9D">
      <w:r w:rsidRPr="00D350BA">
        <w:t>Je třeba doplnit, že uvedený údaj může být vychýlený z řady neuvedených důvodů, např. proto, že neuspokojená poptávka z</w:t>
      </w:r>
      <w:r>
        <w:t> </w:t>
      </w:r>
      <w:r w:rsidRPr="00D350BA">
        <w:t>p</w:t>
      </w:r>
      <w:r>
        <w:t>ůvodního p</w:t>
      </w:r>
      <w:r w:rsidRPr="00D350BA">
        <w:t>rogramu Zelená úsporám je již dva roky neaktivní (tzn. nepodpořené projekty mohly v mezidobí uspět v IOP nebo OP PK)</w:t>
      </w:r>
      <w:r>
        <w:t>, nebo z důvodů omezené míry překryvu sledovaných programů a připravovaného IROP</w:t>
      </w:r>
      <w:r w:rsidRPr="00D350BA">
        <w:t>.</w:t>
      </w:r>
      <w:r>
        <w:t xml:space="preserve"> Současně je třeba objektivně vzít v potaz, že řada projektů nestihla podat žádost z důvodu průtahů interního schvalovacího procesu mezi vlastníky bydlení, případně z důvodu nezájmu soutěžit v „drsné“ konkurence tisícovek dalších projektů, apod. Z</w:t>
      </w:r>
      <w:r w:rsidRPr="00D350BA">
        <w:t>ávěry je třeba vnímat orientačně</w:t>
      </w:r>
      <w:r>
        <w:t>.</w:t>
      </w:r>
    </w:p>
    <w:p w:rsidR="00D36F9D" w:rsidRDefault="00D36F9D" w:rsidP="00D36F9D">
      <w:pPr>
        <w:pStyle w:val="Highlight2"/>
      </w:pPr>
      <w:r>
        <w:t>Soukromé domácí zdroje financování</w:t>
      </w:r>
    </w:p>
    <w:p w:rsidR="00CD613B" w:rsidRDefault="00CD613B" w:rsidP="00CD613B">
      <w:r>
        <w:t xml:space="preserve">Ze závěrů analýzy dat a pohovorů s odborníky sledované oblasti lze konstatovat, že </w:t>
      </w:r>
      <w:r>
        <w:rPr>
          <w:b/>
        </w:rPr>
        <w:t>existuje pouze velmi omezené</w:t>
      </w:r>
      <w:r w:rsidRPr="00435957">
        <w:rPr>
          <w:b/>
        </w:rPr>
        <w:t xml:space="preserve"> portfolio </w:t>
      </w:r>
      <w:r>
        <w:rPr>
          <w:b/>
        </w:rPr>
        <w:t>projektů</w:t>
      </w:r>
      <w:r w:rsidRPr="00435957">
        <w:rPr>
          <w:b/>
        </w:rPr>
        <w:t xml:space="preserve">, </w:t>
      </w:r>
      <w:r w:rsidRPr="0013754F">
        <w:rPr>
          <w:b/>
        </w:rPr>
        <w:t>které realizují investice sledovaného charakteru bez zapojení dotačního či jiného veřejného zvýhodnění</w:t>
      </w:r>
      <w:r>
        <w:t>, a to typicky za využití vlastních zdrojů, leasingu, úvěru či jejich vzájemné kombinace. Na základě výsledků dotazníkového šetření je zjevné, že soukromé zdroje jsou používány zejména v situacích, kdy je budova/objekt v havarijním stavu a je potřeba její rychlá rekonstrukce. Jinak subjekty spíše volí „vyčkávací“ taktiku a realizují projekty s dílčí veřejnou podporou.</w:t>
      </w:r>
    </w:p>
    <w:p w:rsidR="00D36F9D" w:rsidRPr="006A7C32" w:rsidRDefault="00D36F9D" w:rsidP="00D36F9D">
      <w:r w:rsidRPr="00435957">
        <w:t>Úkolem podpory ve sledované oblasti bude, nehledě na volbu dotačního schématu nebo podpory skrze finanční nástroje, uvedený potenciál soukromého zapojení kultivovat – a především nevytěsňovat. Pro</w:t>
      </w:r>
      <w:r>
        <w:t xml:space="preserve"> projekty energetické úspory v rezidenčním </w:t>
      </w:r>
      <w:r w:rsidRPr="00435957">
        <w:t>sektoru je klíčové dosahovat na levné a efektivní zapojení soukromého financování, aby bylo možné naplňovat cíle směrnice o energetické účinnosti.</w:t>
      </w:r>
    </w:p>
    <w:p w:rsidR="00D36F9D" w:rsidRPr="00326C4B" w:rsidRDefault="00D36F9D" w:rsidP="000979B7">
      <w:pPr>
        <w:pStyle w:val="CaptionIntroductionparagraph"/>
      </w:pPr>
      <w:r>
        <w:t>Potenciální výše</w:t>
      </w:r>
      <w:r w:rsidRPr="00A94200">
        <w:t xml:space="preserve"> </w:t>
      </w:r>
      <w:r>
        <w:t>absorpční kapacity</w:t>
      </w:r>
      <w:r w:rsidRPr="00A94200">
        <w:t xml:space="preserve"> </w:t>
      </w:r>
      <w:r>
        <w:t>programového</w:t>
      </w:r>
      <w:r w:rsidRPr="00A94200">
        <w:t xml:space="preserve"> období 2014-2020</w:t>
      </w:r>
      <w:r>
        <w:t xml:space="preserve"> </w:t>
      </w:r>
    </w:p>
    <w:p w:rsidR="00D36F9D" w:rsidRPr="00130FF6" w:rsidRDefault="00D36F9D" w:rsidP="00D36F9D">
      <w:r>
        <w:t xml:space="preserve">Potenciální poptávku po finančním nástroji lze identifikovat jako celkovou investiční potřebu sektoru bydlení (kvantitativní analýza) a tuto potřebu pak očistit formou kvalitativní analýzy. </w:t>
      </w:r>
    </w:p>
    <w:p w:rsidR="00D36F9D" w:rsidRPr="00130FF6" w:rsidRDefault="00D36F9D" w:rsidP="00D36F9D">
      <w:r w:rsidRPr="00130FF6">
        <w:t xml:space="preserve">Aktuální </w:t>
      </w:r>
      <w:r>
        <w:t>programový dokument</w:t>
      </w:r>
      <w:r w:rsidRPr="00130FF6">
        <w:t xml:space="preserve"> </w:t>
      </w:r>
      <w:r>
        <w:t xml:space="preserve">IROP z 15.12.2014 </w:t>
      </w:r>
      <w:r w:rsidRPr="00130FF6">
        <w:t>specifikuje okruh způsobilých příjemců následovně:</w:t>
      </w:r>
    </w:p>
    <w:p w:rsidR="00D36F9D" w:rsidRPr="00130FF6" w:rsidRDefault="00D36F9D" w:rsidP="00D36F9D">
      <w:pPr>
        <w:pStyle w:val="Odstavecseseznamem"/>
        <w:numPr>
          <w:ilvl w:val="0"/>
          <w:numId w:val="47"/>
        </w:numPr>
      </w:pPr>
      <w:r>
        <w:t>V</w:t>
      </w:r>
      <w:r w:rsidRPr="00D53D99">
        <w:t>lastníci bytových domů a společenství vlastníků bytových jednotek - budovy se čtyřmi a více byty</w:t>
      </w:r>
      <w:r>
        <w:t>.</w:t>
      </w:r>
    </w:p>
    <w:p w:rsidR="00D36F9D" w:rsidRDefault="00D36F9D" w:rsidP="00D36F9D">
      <w:pPr>
        <w:rPr>
          <w:b/>
        </w:rPr>
      </w:pPr>
      <w:r>
        <w:rPr>
          <w:b/>
        </w:rPr>
        <w:t xml:space="preserve">Dle materiálu vypracovaného asociací Šance pro budovy </w:t>
      </w:r>
      <w:r w:rsidRPr="00C976F5">
        <w:t>(zdroj PRŮZKUM FONDU BUDOV A MOŽNOSTÍ ÚSPOR ENERGIE</w:t>
      </w:r>
      <w:r>
        <w:t>, Asociace Š</w:t>
      </w:r>
      <w:r w:rsidRPr="00C976F5">
        <w:t>ance pro budovy</w:t>
      </w:r>
      <w:r>
        <w:t>, 3/2014</w:t>
      </w:r>
      <w:r w:rsidRPr="00C976F5">
        <w:t>)</w:t>
      </w:r>
      <w:r>
        <w:t>, který slouží i jako významný vstup do Národního akčního plánu energetické účinnosti ČR, je možné interpretovat výsledky pokročilého modelování pro potřebu vyčíslení celkové investiční potřeby.</w:t>
      </w:r>
      <w:r>
        <w:rPr>
          <w:b/>
        </w:rPr>
        <w:t xml:space="preserve"> </w:t>
      </w:r>
    </w:p>
    <w:tbl>
      <w:tblPr>
        <w:tblStyle w:val="Deloittetable1"/>
        <w:tblW w:w="9100" w:type="dxa"/>
        <w:tblLook w:val="04A0" w:firstRow="1" w:lastRow="0" w:firstColumn="1" w:lastColumn="0" w:noHBand="0" w:noVBand="1"/>
      </w:tblPr>
      <w:tblGrid>
        <w:gridCol w:w="3997"/>
        <w:gridCol w:w="2694"/>
        <w:gridCol w:w="2409"/>
      </w:tblGrid>
      <w:tr w:rsidR="00D36F9D" w:rsidTr="00A825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Default="00D36F9D" w:rsidP="00A825E5">
            <w:pPr>
              <w:spacing w:after="0"/>
              <w:jc w:val="center"/>
              <w:rPr>
                <w:rFonts w:cs="Arial"/>
                <w:sz w:val="18"/>
                <w:szCs w:val="18"/>
              </w:rPr>
            </w:pPr>
          </w:p>
        </w:tc>
        <w:tc>
          <w:tcPr>
            <w:tcW w:w="2694" w:type="dxa"/>
            <w:vAlign w:val="center"/>
          </w:tcPr>
          <w:p w:rsidR="00D36F9D" w:rsidRDefault="00D36F9D" w:rsidP="00A825E5">
            <w:pPr>
              <w:spacing w:after="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Doporučený standard</w:t>
            </w:r>
          </w:p>
        </w:tc>
        <w:tc>
          <w:tcPr>
            <w:tcW w:w="2409" w:type="dxa"/>
            <w:vAlign w:val="center"/>
          </w:tcPr>
          <w:p w:rsidR="00D36F9D" w:rsidRDefault="00D36F9D" w:rsidP="00A825E5">
            <w:pPr>
              <w:spacing w:after="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Pasivní standard</w:t>
            </w:r>
          </w:p>
        </w:tc>
      </w:tr>
      <w:tr w:rsidR="00D36F9D" w:rsidTr="00A825E5">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Default="00D36F9D" w:rsidP="00A825E5">
            <w:pPr>
              <w:spacing w:after="0"/>
              <w:jc w:val="left"/>
              <w:rPr>
                <w:rFonts w:cs="Arial"/>
                <w:sz w:val="18"/>
                <w:szCs w:val="18"/>
              </w:rPr>
            </w:pPr>
            <w:r>
              <w:rPr>
                <w:rFonts w:cs="Arial"/>
                <w:sz w:val="18"/>
                <w:szCs w:val="18"/>
              </w:rPr>
              <w:t>Rodinné domy - obálka</w:t>
            </w:r>
          </w:p>
        </w:tc>
        <w:tc>
          <w:tcPr>
            <w:tcW w:w="2694"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654 mld. Kč</w:t>
            </w:r>
          </w:p>
        </w:tc>
        <w:tc>
          <w:tcPr>
            <w:tcW w:w="2409"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777 mld. Kč</w:t>
            </w:r>
          </w:p>
        </w:tc>
      </w:tr>
      <w:tr w:rsidR="00D36F9D" w:rsidTr="00A825E5">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Default="00D36F9D" w:rsidP="00A825E5">
            <w:pPr>
              <w:spacing w:after="0"/>
              <w:jc w:val="left"/>
              <w:rPr>
                <w:rFonts w:cs="Arial"/>
                <w:sz w:val="18"/>
                <w:szCs w:val="18"/>
              </w:rPr>
            </w:pPr>
            <w:r>
              <w:rPr>
                <w:rFonts w:cs="Arial"/>
                <w:sz w:val="18"/>
                <w:szCs w:val="18"/>
              </w:rPr>
              <w:t>Rodinné domy - technologie</w:t>
            </w:r>
          </w:p>
        </w:tc>
        <w:tc>
          <w:tcPr>
            <w:tcW w:w="2694"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177 mld. Kč</w:t>
            </w:r>
          </w:p>
        </w:tc>
        <w:tc>
          <w:tcPr>
            <w:tcW w:w="2409"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387 mld. Kč</w:t>
            </w:r>
          </w:p>
        </w:tc>
      </w:tr>
      <w:tr w:rsidR="00D36F9D" w:rsidTr="00A825E5">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Default="00D36F9D" w:rsidP="00A825E5">
            <w:pPr>
              <w:spacing w:after="0"/>
              <w:jc w:val="left"/>
              <w:rPr>
                <w:rFonts w:cs="Arial"/>
                <w:sz w:val="18"/>
                <w:szCs w:val="18"/>
              </w:rPr>
            </w:pPr>
            <w:r>
              <w:rPr>
                <w:rFonts w:cs="Arial"/>
                <w:sz w:val="18"/>
                <w:szCs w:val="18"/>
              </w:rPr>
              <w:t>Bytové domy - obálka</w:t>
            </w:r>
          </w:p>
        </w:tc>
        <w:tc>
          <w:tcPr>
            <w:tcW w:w="2694"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261 mld. Kč</w:t>
            </w:r>
          </w:p>
        </w:tc>
        <w:tc>
          <w:tcPr>
            <w:tcW w:w="2409"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304 mld. Kč</w:t>
            </w:r>
          </w:p>
        </w:tc>
      </w:tr>
      <w:tr w:rsidR="00D36F9D" w:rsidTr="00A825E5">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Default="00D36F9D" w:rsidP="00A825E5">
            <w:pPr>
              <w:spacing w:after="0"/>
              <w:jc w:val="left"/>
              <w:rPr>
                <w:rFonts w:cs="Arial"/>
                <w:sz w:val="18"/>
                <w:szCs w:val="18"/>
              </w:rPr>
            </w:pPr>
            <w:r>
              <w:rPr>
                <w:rFonts w:cs="Arial"/>
                <w:sz w:val="18"/>
                <w:szCs w:val="18"/>
              </w:rPr>
              <w:t>Bytové domy - technologie</w:t>
            </w:r>
          </w:p>
        </w:tc>
        <w:tc>
          <w:tcPr>
            <w:tcW w:w="2694"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41 mld. Kč</w:t>
            </w:r>
          </w:p>
        </w:tc>
        <w:tc>
          <w:tcPr>
            <w:tcW w:w="2409"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205 mld. Kč</w:t>
            </w:r>
          </w:p>
        </w:tc>
      </w:tr>
      <w:tr w:rsidR="00D36F9D" w:rsidTr="00A825E5">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Pr="003F460D" w:rsidRDefault="00D36F9D" w:rsidP="00A825E5">
            <w:pPr>
              <w:spacing w:after="0"/>
              <w:jc w:val="left"/>
              <w:rPr>
                <w:rFonts w:cs="Arial"/>
                <w:b/>
                <w:sz w:val="18"/>
                <w:szCs w:val="18"/>
              </w:rPr>
            </w:pPr>
            <w:r w:rsidRPr="003F460D">
              <w:rPr>
                <w:rFonts w:cs="Arial"/>
                <w:b/>
                <w:sz w:val="18"/>
                <w:szCs w:val="18"/>
              </w:rPr>
              <w:t>Celkem obytné budovy</w:t>
            </w:r>
          </w:p>
        </w:tc>
        <w:tc>
          <w:tcPr>
            <w:tcW w:w="2694" w:type="dxa"/>
            <w:vAlign w:val="center"/>
          </w:tcPr>
          <w:p w:rsidR="00D36F9D" w:rsidRPr="003F460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F460D">
              <w:rPr>
                <w:rFonts w:cs="Arial"/>
                <w:b/>
                <w:sz w:val="18"/>
                <w:szCs w:val="18"/>
              </w:rPr>
              <w:t>1133 mld. Kč</w:t>
            </w:r>
          </w:p>
        </w:tc>
        <w:tc>
          <w:tcPr>
            <w:tcW w:w="2409" w:type="dxa"/>
            <w:vAlign w:val="center"/>
          </w:tcPr>
          <w:p w:rsidR="00D36F9D" w:rsidRPr="003F460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F460D">
              <w:rPr>
                <w:rFonts w:cs="Arial"/>
                <w:b/>
                <w:sz w:val="18"/>
                <w:szCs w:val="18"/>
              </w:rPr>
              <w:t>1673 mld. Kč</w:t>
            </w:r>
          </w:p>
        </w:tc>
      </w:tr>
      <w:tr w:rsidR="00D36F9D" w:rsidTr="00A825E5">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Default="00D36F9D" w:rsidP="00A825E5">
            <w:pPr>
              <w:spacing w:after="0"/>
              <w:jc w:val="left"/>
              <w:rPr>
                <w:rFonts w:cs="Arial"/>
                <w:sz w:val="18"/>
                <w:szCs w:val="18"/>
              </w:rPr>
            </w:pPr>
            <w:r>
              <w:rPr>
                <w:rFonts w:cs="Arial"/>
                <w:sz w:val="18"/>
                <w:szCs w:val="18"/>
              </w:rPr>
              <w:t>Z toho zajištění dostatečného větrání (RD a BD)</w:t>
            </w:r>
          </w:p>
        </w:tc>
        <w:tc>
          <w:tcPr>
            <w:tcW w:w="2694"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200 mld. Kč</w:t>
            </w:r>
          </w:p>
        </w:tc>
        <w:tc>
          <w:tcPr>
            <w:tcW w:w="2409"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157 mld. Kč</w:t>
            </w:r>
          </w:p>
        </w:tc>
      </w:tr>
      <w:tr w:rsidR="00D36F9D" w:rsidTr="00A825E5">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Pr="003F460D" w:rsidRDefault="00D36F9D" w:rsidP="00A825E5">
            <w:pPr>
              <w:spacing w:after="0"/>
              <w:jc w:val="left"/>
              <w:rPr>
                <w:rFonts w:cs="Arial"/>
                <w:b/>
                <w:sz w:val="18"/>
                <w:szCs w:val="18"/>
              </w:rPr>
            </w:pPr>
            <w:r w:rsidRPr="003F460D">
              <w:rPr>
                <w:rFonts w:cs="Arial"/>
                <w:b/>
                <w:sz w:val="18"/>
                <w:szCs w:val="18"/>
              </w:rPr>
              <w:t>Úspora energie v obytných budovách</w:t>
            </w:r>
          </w:p>
        </w:tc>
        <w:tc>
          <w:tcPr>
            <w:tcW w:w="2694" w:type="dxa"/>
            <w:vAlign w:val="center"/>
          </w:tcPr>
          <w:p w:rsidR="00D36F9D" w:rsidRPr="003F460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F460D">
              <w:rPr>
                <w:rFonts w:cs="Arial"/>
                <w:b/>
                <w:sz w:val="18"/>
                <w:szCs w:val="18"/>
              </w:rPr>
              <w:t>92 PJ</w:t>
            </w:r>
          </w:p>
        </w:tc>
        <w:tc>
          <w:tcPr>
            <w:tcW w:w="2409" w:type="dxa"/>
            <w:vAlign w:val="center"/>
          </w:tcPr>
          <w:p w:rsidR="00D36F9D" w:rsidRPr="003F460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F460D">
              <w:rPr>
                <w:rFonts w:cs="Arial"/>
                <w:b/>
                <w:sz w:val="18"/>
                <w:szCs w:val="18"/>
              </w:rPr>
              <w:t>155 PJ</w:t>
            </w:r>
          </w:p>
        </w:tc>
      </w:tr>
    </w:tbl>
    <w:p w:rsidR="00D36F9D" w:rsidRDefault="00D36F9D" w:rsidP="00D36F9D">
      <w:pPr>
        <w:pStyle w:val="Titulek"/>
        <w:spacing w:after="0" w:afterAutospacing="0"/>
      </w:pPr>
      <w:bookmarkStart w:id="62" w:name="_Toc400358146"/>
      <w:bookmarkStart w:id="63" w:name="_Toc409795566"/>
      <w:bookmarkStart w:id="64" w:name="_Toc417655504"/>
      <w:r>
        <w:t xml:space="preserve">Tabulka </w:t>
      </w:r>
      <w:r>
        <w:fldChar w:fldCharType="begin"/>
      </w:r>
      <w:r>
        <w:instrText xml:space="preserve"> SEQ Tabulka \* ARABIC </w:instrText>
      </w:r>
      <w:r>
        <w:fldChar w:fldCharType="separate"/>
      </w:r>
      <w:r w:rsidR="007813A3">
        <w:rPr>
          <w:noProof/>
        </w:rPr>
        <w:t>6</w:t>
      </w:r>
      <w:r>
        <w:fldChar w:fldCharType="end"/>
      </w:r>
      <w:r>
        <w:t>: Odhadovaná investiční potřeba residenčního sektoru a odpovídající úspora energie</w:t>
      </w:r>
      <w:bookmarkEnd w:id="62"/>
      <w:bookmarkEnd w:id="63"/>
      <w:bookmarkEnd w:id="64"/>
    </w:p>
    <w:p w:rsidR="00D36F9D" w:rsidRPr="0047500C" w:rsidRDefault="00D36F9D" w:rsidP="00D36F9D">
      <w:pPr>
        <w:rPr>
          <w:b/>
          <w:sz w:val="4"/>
        </w:rPr>
      </w:pPr>
    </w:p>
    <w:p w:rsidR="00D36F9D" w:rsidRDefault="00D36F9D" w:rsidP="00D36F9D">
      <w:r w:rsidRPr="007360B9">
        <w:rPr>
          <w:b/>
        </w:rPr>
        <w:t xml:space="preserve">Z uvedených výsledků je zřejmé, že pro dosažení doporučeného standardu </w:t>
      </w:r>
      <w:r w:rsidRPr="00785EBF">
        <w:t>u všech budov residenčního sektoru by bylo zapotřebí 1 133 mld. Kč</w:t>
      </w:r>
      <w:r>
        <w:rPr>
          <w:b/>
        </w:rPr>
        <w:t>, pro oblast bytových domů, relevantní pro zaměření IROP, 302 mld. Kč</w:t>
      </w:r>
      <w:r w:rsidRPr="007360B9">
        <w:rPr>
          <w:b/>
        </w:rPr>
        <w:t>.</w:t>
      </w:r>
      <w:r w:rsidRPr="007360B9">
        <w:rPr>
          <w:rStyle w:val="Znakapoznpodarou"/>
        </w:rPr>
        <w:t xml:space="preserve"> </w:t>
      </w:r>
      <w:r>
        <w:rPr>
          <w:rStyle w:val="Znakapoznpodarou"/>
        </w:rPr>
        <w:footnoteReference w:id="6"/>
      </w:r>
      <w:r>
        <w:t xml:space="preserve"> Studie vychází z analýzy stavu celkového počtu 1,58 mil. rodinných domů a 2,42 mil. bytů v bytových domech. Dle údajů studie je nutné vynaložit ročně cca 50 mld. Kč, aby bylo možné uvažovat o splnění kompletní renovace v roce 2050. </w:t>
      </w:r>
    </w:p>
    <w:p w:rsidR="00D36F9D" w:rsidRDefault="00D36F9D" w:rsidP="00D36F9D">
      <w:r>
        <w:t xml:space="preserve">Uvedená data materiálu Šance pro budovy lze porovnat s </w:t>
      </w:r>
      <w:r w:rsidRPr="002B715E">
        <w:rPr>
          <w:b/>
        </w:rPr>
        <w:t>vlastním šetřením Státního fondu rozvoje bydlení</w:t>
      </w:r>
      <w:r>
        <w:t xml:space="preserve"> (který analyzuje zanedbanost bytového fondu bytových domů, pro možnost odhadu poptávky po nabídce zdrojů institucí spravovaných programů podpory</w:t>
      </w:r>
      <w:r w:rsidR="00AC1147">
        <w:t xml:space="preserve"> – viz </w:t>
      </w:r>
      <w:r w:rsidR="00AC1147" w:rsidRPr="00AC1147">
        <w:t>Závěrečná zpráva Panel SCAN 2009</w:t>
      </w:r>
      <w:r>
        <w:t xml:space="preserve">), </w:t>
      </w:r>
      <w:r w:rsidRPr="00CD0D58">
        <w:rPr>
          <w:b/>
        </w:rPr>
        <w:t>daty Českého statistického úřadu</w:t>
      </w:r>
      <w:r>
        <w:t xml:space="preserve"> (který realizoval sčítání lidí, domů a bytů v roce 2011). Dle údajů ČSÚ je v ČR 2,42 mil. bytů v bytových domech, kdy dle analýzy SFRB je možné 40% tohoto fondu již považovat za zrekonstruovaný, tedy za tzv. zanedbaný bytový fond lze považovat 60% celkové sumy, v úhrnu cca 1,5 mil. bytů. </w:t>
      </w:r>
      <w:r w:rsidRPr="00CD0D58">
        <w:rPr>
          <w:b/>
        </w:rPr>
        <w:t>Dle údajů ze SFRB je pak dále možné zjistit, že celková investiční potřeba v této oblasti činí 680 mld. Kč</w:t>
      </w:r>
      <w:r>
        <w:t xml:space="preserve"> a žádoucí roční mírou investic pro dosažení stavu plné revitalizace v roce 2050 je 17 mld. Kč. Údaje indikují, že průměrná výše rekonstrukce by v takovém případě činila cca 450 tis. Kč, což je hluboko pod průměrem výše investice v běžícím programu JESSICA (4,9 mil. Kč) i PANEL (4,7 mil. Kč).</w:t>
      </w:r>
    </w:p>
    <w:p w:rsidR="00D36F9D" w:rsidRDefault="00D36F9D" w:rsidP="00D36F9D">
      <w:r>
        <w:t xml:space="preserve">Třetím zdrojem věnující se shodné problematice jsou statistická data a vlastní modelace SČMDB - </w:t>
      </w:r>
      <w:r w:rsidRPr="002A6E55">
        <w:t>Svaz</w:t>
      </w:r>
      <w:r>
        <w:t>u</w:t>
      </w:r>
      <w:r w:rsidRPr="002A6E55">
        <w:t xml:space="preserve"> českých a moravských bytových družstev</w:t>
      </w:r>
      <w:r>
        <w:t>. Predikce svazu počítá s:</w:t>
      </w:r>
    </w:p>
    <w:p w:rsidR="00D36F9D" w:rsidRDefault="00D36F9D" w:rsidP="00D36F9D">
      <w:pPr>
        <w:pStyle w:val="Odstavecseseznamem"/>
        <w:numPr>
          <w:ilvl w:val="0"/>
          <w:numId w:val="47"/>
        </w:numPr>
      </w:pPr>
      <w:r>
        <w:t>provedením revitalizací panelových domů, které od svého vybudování doposud neprošli žádnou z forem revitalizace,</w:t>
      </w:r>
    </w:p>
    <w:p w:rsidR="00D36F9D" w:rsidRDefault="00D36F9D" w:rsidP="00D36F9D">
      <w:pPr>
        <w:pStyle w:val="Odstavecseseznamem"/>
        <w:numPr>
          <w:ilvl w:val="0"/>
          <w:numId w:val="47"/>
        </w:numPr>
      </w:pPr>
      <w:r>
        <w:t>provedením investic tzv. druhé etapy, která zahrnuje investiční potřeby již zateplených domů, ale bez původních hlubších zásahů či s nedostatečnou mírou izolace (motivace oprava vad, další posílení úspor, prodloužení životnosti, opravy technicky zastaralých prvků),</w:t>
      </w:r>
    </w:p>
    <w:p w:rsidR="00D36F9D" w:rsidRDefault="00D36F9D" w:rsidP="00D36F9D">
      <w:pPr>
        <w:pStyle w:val="Odstavecseseznamem"/>
        <w:numPr>
          <w:ilvl w:val="0"/>
          <w:numId w:val="47"/>
        </w:numPr>
      </w:pPr>
      <w:r>
        <w:t>tím, že cca 300.000 bytů zůstane ve stávajícím stavu nehledě na vnější podmínky (problematika sociálně vyloučených lokalit, nízká cena bytů a nepoměr vůči ceně revitalizace, apod.).</w:t>
      </w:r>
    </w:p>
    <w:p w:rsidR="00D36F9D" w:rsidRPr="009000E4" w:rsidRDefault="00D36F9D" w:rsidP="00D36F9D">
      <w:r>
        <w:rPr>
          <w:b/>
        </w:rPr>
        <w:t xml:space="preserve">Na základě uplatnění kvantitativních dat sledovaných svazem a za zohlednění výše uvedených kvalitativních zpřesnění </w:t>
      </w:r>
      <w:r w:rsidRPr="00486495">
        <w:rPr>
          <w:b/>
        </w:rPr>
        <w:t>lze v období let 2014 – 2020 kalkulovat s potřebou realizace investic ve výši 324 – 432 mld. Kč</w:t>
      </w:r>
      <w:r>
        <w:rPr>
          <w:b/>
        </w:rPr>
        <w:t>.</w:t>
      </w:r>
    </w:p>
    <w:p w:rsidR="00D36F9D" w:rsidRPr="00C844BD" w:rsidRDefault="00D36F9D" w:rsidP="00D36F9D">
      <w:pPr>
        <w:rPr>
          <w:b/>
        </w:rPr>
      </w:pPr>
      <w:r>
        <w:t>Uvedené tři zdroje specifikují potenciální výši investiční potřeby v sektoru revitalizace existujícího bytového fondu bytových domů v České republice. Dodavatel využil výsledků dotazníkového šetření, dostupných analýz a expertízy k tomu, aby mohl provést kvalifikovaný odhad potenciální výše poptávky po podpoře připravované z programu IROP (zhodnocení potenciální výše absorpční kapacity programu), resp. aby mohl specifikovat detaily produktů, které budou cílové skupiny poptávat.</w:t>
      </w:r>
    </w:p>
    <w:p w:rsidR="00D36F9D" w:rsidRDefault="00D36F9D" w:rsidP="000979B7">
      <w:pPr>
        <w:pStyle w:val="Nadpis4"/>
      </w:pPr>
      <w:r>
        <w:t>Počet a parametry produktů, které budou požadovány ze strany konečných příjemců</w:t>
      </w:r>
    </w:p>
    <w:p w:rsidR="00D36F9D" w:rsidRDefault="00D36F9D" w:rsidP="00D36F9D">
      <w:r>
        <w:t>Dle závěrů dotazníkového šetření lze provést kvalifikovaný odhad parametrů a počtu produktů, který bude ze strany konečných příjemců realizován ve sledovaném investičním horizontu let 2015 – 2023 (tedy období, kdy bude aktivně působit program IROP):</w:t>
      </w:r>
    </w:p>
    <w:p w:rsidR="00D36F9D" w:rsidRDefault="00D36F9D" w:rsidP="00D36F9D">
      <w:pPr>
        <w:pStyle w:val="Odstavecseseznamem"/>
        <w:numPr>
          <w:ilvl w:val="0"/>
          <w:numId w:val="71"/>
        </w:numPr>
      </w:pPr>
      <w:r>
        <w:t>Počet respondentů</w:t>
      </w:r>
      <w:r w:rsidR="00CD613B">
        <w:t xml:space="preserve"> (BD)</w:t>
      </w:r>
      <w:r>
        <w:tab/>
      </w:r>
      <w:r>
        <w:tab/>
      </w:r>
      <w:r>
        <w:tab/>
      </w:r>
      <w:r w:rsidR="006E489C">
        <w:tab/>
      </w:r>
      <w:r>
        <w:t>245</w:t>
      </w:r>
    </w:p>
    <w:p w:rsidR="00D36F9D" w:rsidRDefault="00D36F9D" w:rsidP="00D36F9D">
      <w:pPr>
        <w:pStyle w:val="Odstavecseseznamem"/>
        <w:numPr>
          <w:ilvl w:val="0"/>
          <w:numId w:val="71"/>
        </w:numPr>
      </w:pPr>
      <w:r>
        <w:t>Počet plánovaných investic</w:t>
      </w:r>
      <w:r>
        <w:tab/>
      </w:r>
      <w:r>
        <w:tab/>
      </w:r>
      <w:r w:rsidR="006E489C">
        <w:tab/>
      </w:r>
      <w:r>
        <w:t>1.268</w:t>
      </w:r>
    </w:p>
    <w:p w:rsidR="00D36F9D" w:rsidRDefault="00D36F9D" w:rsidP="00D36F9D">
      <w:pPr>
        <w:pStyle w:val="Odstavecseseznamem"/>
        <w:numPr>
          <w:ilvl w:val="0"/>
          <w:numId w:val="71"/>
        </w:numPr>
      </w:pPr>
      <w:r>
        <w:t>Průměrná výše plánované investice</w:t>
      </w:r>
      <w:r>
        <w:tab/>
      </w:r>
      <w:r w:rsidR="006E489C">
        <w:tab/>
      </w:r>
      <w:r>
        <w:t>4,78 mil. Kč</w:t>
      </w:r>
    </w:p>
    <w:p w:rsidR="00D36F9D" w:rsidRDefault="00D36F9D" w:rsidP="00D36F9D">
      <w:pPr>
        <w:pStyle w:val="Odstavecseseznamem"/>
        <w:numPr>
          <w:ilvl w:val="0"/>
          <w:numId w:val="71"/>
        </w:numPr>
      </w:pPr>
      <w:r>
        <w:t>Absorpční kapacita investic respondentů</w:t>
      </w:r>
      <w:r w:rsidR="006E489C">
        <w:tab/>
      </w:r>
      <w:r>
        <w:tab/>
        <w:t>6,06 mld. Kč</w:t>
      </w:r>
    </w:p>
    <w:p w:rsidR="00D36F9D" w:rsidRDefault="00D36F9D" w:rsidP="00D36F9D">
      <w:r>
        <w:t>Uvedené údaje poskytují přehled o potenciální velikosti absorpční kapacity projektů</w:t>
      </w:r>
      <w:r w:rsidRPr="00865F35">
        <w:t xml:space="preserve"> </w:t>
      </w:r>
      <w:r>
        <w:t xml:space="preserve">respondentů šetření, co se tematického zaměření </w:t>
      </w:r>
      <w:r w:rsidRPr="00865F35">
        <w:t>snižování energetické náročnosti v sektoru bydlení</w:t>
      </w:r>
      <w:r>
        <w:t xml:space="preserve"> bytových domů týká. Na grafickém znázornění níže je možné blíže pozorovat proporční rozložení výše plánovaných investic, s ohledem na předpokládané rozpočtované náklady projektu.</w:t>
      </w:r>
    </w:p>
    <w:p w:rsidR="00D36F9D" w:rsidRDefault="00D36F9D" w:rsidP="00D36F9D">
      <w:pPr>
        <w:jc w:val="center"/>
      </w:pPr>
      <w:r>
        <w:rPr>
          <w:noProof/>
          <w:lang w:eastAsia="cs-CZ"/>
        </w:rPr>
        <w:drawing>
          <wp:inline distT="0" distB="0" distL="0" distR="0" wp14:anchorId="708B35AF" wp14:editId="27977B61">
            <wp:extent cx="5668567" cy="3209027"/>
            <wp:effectExtent l="0" t="0" r="889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2782" cy="3211413"/>
                    </a:xfrm>
                    <a:prstGeom prst="rect">
                      <a:avLst/>
                    </a:prstGeom>
                    <a:noFill/>
                  </pic:spPr>
                </pic:pic>
              </a:graphicData>
            </a:graphic>
          </wp:inline>
        </w:drawing>
      </w:r>
    </w:p>
    <w:p w:rsidR="00D36F9D" w:rsidRDefault="00D36F9D" w:rsidP="00D36F9D">
      <w:pPr>
        <w:pStyle w:val="Titulek"/>
      </w:pPr>
      <w:bookmarkStart w:id="65" w:name="_Toc417655516"/>
      <w:r>
        <w:t xml:space="preserve">Obrázek </w:t>
      </w:r>
      <w:r>
        <w:fldChar w:fldCharType="begin"/>
      </w:r>
      <w:r>
        <w:instrText xml:space="preserve"> SEQ Obrázek \* ARABIC </w:instrText>
      </w:r>
      <w:r>
        <w:fldChar w:fldCharType="separate"/>
      </w:r>
      <w:r w:rsidR="00CE41CE">
        <w:rPr>
          <w:noProof/>
        </w:rPr>
        <w:t>2</w:t>
      </w:r>
      <w:r>
        <w:fldChar w:fldCharType="end"/>
      </w:r>
      <w:r>
        <w:t>: Závěry dotazníkového šetření Deloitte na otázku vyčíslení výše uvažované investice</w:t>
      </w:r>
      <w:bookmarkEnd w:id="65"/>
    </w:p>
    <w:p w:rsidR="00D36F9D" w:rsidRDefault="00D36F9D" w:rsidP="00D36F9D">
      <w:r>
        <w:t xml:space="preserve">Šetřením dodavatel dále zjistil, že 66% všech respondenty popisovaných investic je plánováno k realizaci v letech 2015 a 2016, z čehož lze dovodit, že v šetření je pouze omezeně zastoupen vzorek projektů, které by měly být realizovány v letech 2017 – 2023. </w:t>
      </w:r>
    </w:p>
    <w:p w:rsidR="00D36F9D" w:rsidRDefault="00D36F9D" w:rsidP="00D36F9D">
      <w:r>
        <w:t>Dodavatel provedl kvalitativní analýzu těchto hrubých výsledků a v zájmu očištění dat od nedostatku nepostižení investic v delším horizontu a nedostatku reprezentace pouze vzorku</w:t>
      </w:r>
      <w:r w:rsidRPr="00724B1F">
        <w:t xml:space="preserve"> potenciálních žadatelů</w:t>
      </w:r>
      <w:r>
        <w:t xml:space="preserve"> uplatil rozmezí korekčního koeficientu 7-9.</w:t>
      </w:r>
      <w:r w:rsidRPr="00724B1F">
        <w:t xml:space="preserve"> </w:t>
      </w:r>
    </w:p>
    <w:p w:rsidR="00D36F9D" w:rsidRDefault="00D36F9D" w:rsidP="00D36F9D">
      <w:r>
        <w:t>V</w:t>
      </w:r>
      <w:r w:rsidRPr="009B20EA">
        <w:t xml:space="preserve">ýsledná hodnota </w:t>
      </w:r>
      <w:r>
        <w:t xml:space="preserve">pak </w:t>
      </w:r>
      <w:r w:rsidRPr="009B20EA">
        <w:t xml:space="preserve">přesněji odpovídá hrubé výši absorpčních kapacit za programové období, tj. výše </w:t>
      </w:r>
      <w:r>
        <w:t>42,4</w:t>
      </w:r>
      <w:r w:rsidRPr="009B20EA">
        <w:t xml:space="preserve"> – </w:t>
      </w:r>
      <w:r>
        <w:t>54,5</w:t>
      </w:r>
      <w:r w:rsidRPr="009B20EA">
        <w:t xml:space="preserve"> mld. Kč. </w:t>
      </w:r>
      <w:r>
        <w:t xml:space="preserve">Závěry dotazníkového šetření potvrzují, že potenciální absorpční kapacity konečných příjemců převyšují dostupnou alokaci specifického cíle 2.5 IROP. </w:t>
      </w:r>
    </w:p>
    <w:p w:rsidR="00D36F9D" w:rsidRDefault="00D36F9D" w:rsidP="00D36F9D">
      <w:r w:rsidRPr="00A52740">
        <w:rPr>
          <w:b/>
        </w:rPr>
        <w:t>Dotazníkovým šetřením získaná tvrdá data, ve vybraných případech vhodně zpřesněná zapojením kvalitativního hodnocení dodavatele, umožňují specifikovat klíčové parametry a počty produktů, které budou koneční příjemci požadovat</w:t>
      </w:r>
      <w:r>
        <w:t>:</w:t>
      </w:r>
    </w:p>
    <w:p w:rsidR="00D36F9D" w:rsidRDefault="00D36F9D" w:rsidP="00D36F9D">
      <w:pPr>
        <w:pStyle w:val="Odstavecseseznamem"/>
        <w:numPr>
          <w:ilvl w:val="0"/>
          <w:numId w:val="72"/>
        </w:numPr>
      </w:pPr>
      <w:r>
        <w:t>V regionech ČR bez hl. města Prahy lze očekávat realizaci 8.800 až 11.400 projektů revitalizace bytových domů;</w:t>
      </w:r>
    </w:p>
    <w:p w:rsidR="00D36F9D" w:rsidRDefault="00D36F9D" w:rsidP="00D36F9D">
      <w:pPr>
        <w:pStyle w:val="Odstavecseseznamem"/>
        <w:numPr>
          <w:ilvl w:val="0"/>
          <w:numId w:val="72"/>
        </w:numPr>
      </w:pPr>
      <w:r>
        <w:t>Průměrná výše investice bude dosahovat hodnoty 4,5 – 5 mil. Kč;</w:t>
      </w:r>
    </w:p>
    <w:p w:rsidR="00D36F9D" w:rsidRDefault="00D36F9D" w:rsidP="00D36F9D">
      <w:pPr>
        <w:pStyle w:val="Odstavecseseznamem"/>
        <w:numPr>
          <w:ilvl w:val="0"/>
          <w:numId w:val="72"/>
        </w:numPr>
      </w:pPr>
      <w:r>
        <w:t xml:space="preserve">Až 97 % investic bude v rámci projektu realizovat opatření vedoucí ke zlepšující tepelných vlastnosti budovy, až 36% projektů bude realizovat opatření přechodu na šetrné ekologické zdroje, až 74% projektů bude také realizovat jiné </w:t>
      </w:r>
      <w:r w:rsidRPr="00BB74AB">
        <w:t>oprav</w:t>
      </w:r>
      <w:r>
        <w:t xml:space="preserve">y, které cílí na </w:t>
      </w:r>
      <w:r w:rsidRPr="00BB74AB">
        <w:t>prodloužení životnosti domu a zvýšení standardu bydlení</w:t>
      </w:r>
      <w:r>
        <w:t>;</w:t>
      </w:r>
    </w:p>
    <w:p w:rsidR="00D36F9D" w:rsidRDefault="00D36F9D" w:rsidP="00D36F9D">
      <w:pPr>
        <w:pStyle w:val="Odstavecseseznamem"/>
        <w:numPr>
          <w:ilvl w:val="0"/>
          <w:numId w:val="72"/>
        </w:numPr>
      </w:pPr>
      <w:r>
        <w:t>Až 54% projektů dokáže splatit původní investici v horizontu do 10 let, až 33% projektů splatí původní investici v horizontu 11-15 let, 7% projektů v delším horizontu, u 4% projektů nepovažuje respondent investici za návratnou;</w:t>
      </w:r>
    </w:p>
    <w:p w:rsidR="00D36F9D" w:rsidRDefault="00D36F9D" w:rsidP="00D36F9D">
      <w:pPr>
        <w:pStyle w:val="Odstavecseseznamem"/>
        <w:numPr>
          <w:ilvl w:val="0"/>
          <w:numId w:val="72"/>
        </w:numPr>
      </w:pPr>
      <w:r>
        <w:t>Až 89% projektů dokáže splnit požadavky na ručení, pouze zbylých 11% projektů deklaruje nesplnitelnost požadavků bankovního sektoru na ručení proti zvažovanému úvěru na realizaci projektu;</w:t>
      </w:r>
    </w:p>
    <w:p w:rsidR="00D36F9D" w:rsidRPr="0080360F" w:rsidRDefault="00D36F9D" w:rsidP="00D36F9D">
      <w:pPr>
        <w:pStyle w:val="Odstavecseseznamem"/>
        <w:numPr>
          <w:ilvl w:val="0"/>
          <w:numId w:val="72"/>
        </w:numPr>
        <w:rPr>
          <w:u w:val="single"/>
        </w:rPr>
      </w:pPr>
      <w:r w:rsidRPr="0080360F">
        <w:rPr>
          <w:u w:val="single"/>
        </w:rPr>
        <w:t>Dle závěrů k připravenosti projektů (plán realizace v letech 2015, 2016) a se zohledněním kvalitativního očištění dat lze předpokládat poptávku o program podpory IROP v prvních dvou letech od spuštění čerpání ve výši 28 – 36 mld. Kč.</w:t>
      </w:r>
    </w:p>
    <w:p w:rsidR="00D36F9D" w:rsidRDefault="00D36F9D" w:rsidP="00D36F9D">
      <w:r>
        <w:t>Zásadní vliv na to, do jaké míry dojde k „aktivizaci“ investiční potřeby, mají především následující faktory:</w:t>
      </w:r>
    </w:p>
    <w:p w:rsidR="00D36F9D" w:rsidRPr="00020599" w:rsidRDefault="00D36F9D" w:rsidP="00D36F9D">
      <w:pPr>
        <w:pStyle w:val="Odstavecseseznamem"/>
        <w:numPr>
          <w:ilvl w:val="0"/>
          <w:numId w:val="47"/>
        </w:numPr>
      </w:pPr>
      <w:r>
        <w:rPr>
          <w:b/>
        </w:rPr>
        <w:t>N</w:t>
      </w:r>
      <w:r w:rsidRPr="00020599">
        <w:rPr>
          <w:b/>
        </w:rPr>
        <w:t>astavení veřejné podpory</w:t>
      </w:r>
      <w:r>
        <w:rPr>
          <w:b/>
        </w:rPr>
        <w:t xml:space="preserve"> schopné zaujmout a motivovat žadatele k úvaze o investici</w:t>
      </w:r>
      <w:r>
        <w:t xml:space="preserve"> – adekvátní nastavení míry a formy podpory tak, aby byla dostatečně atraktivní pro žadatele i pro spolufinancující subjekt(y);</w:t>
      </w:r>
    </w:p>
    <w:p w:rsidR="00D36F9D" w:rsidRDefault="00D36F9D" w:rsidP="00D36F9D">
      <w:pPr>
        <w:pStyle w:val="Odstavecseseznamem"/>
        <w:numPr>
          <w:ilvl w:val="0"/>
          <w:numId w:val="47"/>
        </w:numPr>
      </w:pPr>
      <w:r>
        <w:rPr>
          <w:b/>
        </w:rPr>
        <w:t>Schopnost</w:t>
      </w:r>
      <w:r w:rsidRPr="00020599">
        <w:rPr>
          <w:b/>
        </w:rPr>
        <w:t xml:space="preserve"> stát</w:t>
      </w:r>
      <w:r>
        <w:rPr>
          <w:b/>
        </w:rPr>
        <w:t>u</w:t>
      </w:r>
      <w:r w:rsidRPr="00020599">
        <w:rPr>
          <w:b/>
        </w:rPr>
        <w:t xml:space="preserve"> zabezpečit</w:t>
      </w:r>
      <w:r>
        <w:t xml:space="preserve"> </w:t>
      </w:r>
      <w:r w:rsidRPr="00020599">
        <w:rPr>
          <w:b/>
        </w:rPr>
        <w:t>efektivní motivační informační kampaň</w:t>
      </w:r>
      <w:r>
        <w:rPr>
          <w:b/>
        </w:rPr>
        <w:t xml:space="preserve">, obecná deklarace politické podpory těmto opatřením </w:t>
      </w:r>
      <w:r>
        <w:t>– kampaň by měla být koordinována ke všem programům podpory, které do oblasti budou směřovány (tj. ideálně využívat synergií propojení kampaně program Nová zelená úsporám, program PANEL, program JESSICA, ohledně oblastí podpory v rámci OP PIK, OPŽP a IROP);</w:t>
      </w:r>
    </w:p>
    <w:p w:rsidR="00D36F9D" w:rsidRDefault="00D36F9D" w:rsidP="00D36F9D">
      <w:pPr>
        <w:pStyle w:val="Odstavecseseznamem"/>
        <w:numPr>
          <w:ilvl w:val="0"/>
          <w:numId w:val="47"/>
        </w:numPr>
      </w:pPr>
      <w:r w:rsidRPr="00020599">
        <w:rPr>
          <w:b/>
        </w:rPr>
        <w:t xml:space="preserve">Jaký bude </w:t>
      </w:r>
      <w:r>
        <w:rPr>
          <w:b/>
        </w:rPr>
        <w:t xml:space="preserve">budoucí </w:t>
      </w:r>
      <w:r w:rsidRPr="00020599">
        <w:rPr>
          <w:b/>
        </w:rPr>
        <w:t>vývoj cen energií</w:t>
      </w:r>
      <w:r>
        <w:t xml:space="preserve"> (zda bude docházet k významnějšímu růstu cen) </w:t>
      </w:r>
      <w:r w:rsidRPr="00020599">
        <w:rPr>
          <w:b/>
        </w:rPr>
        <w:t>a jaká bude energetická politika státu</w:t>
      </w:r>
      <w:r>
        <w:t xml:space="preserve"> (zda budou mimo fiskální stimuly aplikovány i daňové či jiné pobídkové nástroje);</w:t>
      </w:r>
    </w:p>
    <w:p w:rsidR="00D36F9D" w:rsidRDefault="00D36F9D" w:rsidP="00D36F9D">
      <w:pPr>
        <w:pStyle w:val="Odstavecseseznamem"/>
        <w:numPr>
          <w:ilvl w:val="0"/>
          <w:numId w:val="47"/>
        </w:numPr>
      </w:pPr>
      <w:r w:rsidRPr="00020599">
        <w:rPr>
          <w:b/>
        </w:rPr>
        <w:t xml:space="preserve">Jaký bude </w:t>
      </w:r>
      <w:r>
        <w:rPr>
          <w:b/>
        </w:rPr>
        <w:t xml:space="preserve">budoucí </w:t>
      </w:r>
      <w:r w:rsidRPr="00020599">
        <w:rPr>
          <w:b/>
        </w:rPr>
        <w:t>stav bankovního sektoru a stavebnictví</w:t>
      </w:r>
      <w:r>
        <w:t xml:space="preserve"> (zda budou úvěrové kapacity, jaké budou ceny úvěrů v dané oblasti, jaké budou kapacity stavebních firem na daný druh projektů);</w:t>
      </w:r>
    </w:p>
    <w:p w:rsidR="00D36F9D" w:rsidRDefault="00D36F9D" w:rsidP="00D36F9D">
      <w:pPr>
        <w:pStyle w:val="Odstavecseseznamem"/>
        <w:numPr>
          <w:ilvl w:val="0"/>
          <w:numId w:val="47"/>
        </w:numPr>
      </w:pPr>
      <w:r w:rsidRPr="006479E6">
        <w:rPr>
          <w:b/>
        </w:rPr>
        <w:t>Jak bude stárnout bytový fond obecně, jaký bude objem tzv. vynucených oprav a spojitých renovací</w:t>
      </w:r>
      <w:r>
        <w:t xml:space="preserve"> (motivace realizace investice je nevyhovující technický stav budovy, nikoli ekonomický či environmentální kalkul).</w:t>
      </w:r>
    </w:p>
    <w:p w:rsidR="00D36F9D" w:rsidRDefault="00D36F9D" w:rsidP="000979B7">
      <w:pPr>
        <w:pStyle w:val="Nadpis4"/>
      </w:pPr>
      <w:r>
        <w:t>Tržní selhání a neoptimální investiční situace</w:t>
      </w:r>
    </w:p>
    <w:p w:rsidR="00D36F9D" w:rsidRDefault="00D36F9D" w:rsidP="00D36F9D">
      <w:r>
        <w:t>Na základě realizovaných rozhovorů, analýzy výsledků dotazníkového šetření a dle výsledků analýzy dostupných dat dodavatel dospěl k závěru, že ve sledované oblasti podpory dochází k tržnímu selhání. Existuje stabilní portfolio projektů, které nedokáží za běžných tržních podmínek zabezpečit své financování,</w:t>
      </w:r>
      <w:r w:rsidRPr="00B546DB">
        <w:t xml:space="preserve"> </w:t>
      </w:r>
      <w:r>
        <w:t>resp. prostředky jsou nabízeny pouze v omezené výši a za takových podmínek, které nejsou pro příjemce splnitelné/akceptovatelné.</w:t>
      </w:r>
    </w:p>
    <w:p w:rsidR="00D36F9D" w:rsidRDefault="00D36F9D" w:rsidP="00D36F9D">
      <w:pPr>
        <w:jc w:val="center"/>
      </w:pPr>
      <w:r w:rsidRPr="00B82F90">
        <w:rPr>
          <w:noProof/>
          <w:lang w:eastAsia="cs-CZ"/>
        </w:rPr>
        <w:drawing>
          <wp:inline distT="0" distB="0" distL="0" distR="0" wp14:anchorId="7964F500" wp14:editId="31180D1E">
            <wp:extent cx="5759450" cy="2905442"/>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2905442"/>
                    </a:xfrm>
                    <a:prstGeom prst="rect">
                      <a:avLst/>
                    </a:prstGeom>
                  </pic:spPr>
                </pic:pic>
              </a:graphicData>
            </a:graphic>
          </wp:inline>
        </w:drawing>
      </w:r>
    </w:p>
    <w:p w:rsidR="00D36F9D" w:rsidRDefault="00D36F9D" w:rsidP="00D36F9D">
      <w:pPr>
        <w:pStyle w:val="Titulek"/>
      </w:pPr>
      <w:bookmarkStart w:id="66" w:name="_Toc407016820"/>
      <w:bookmarkStart w:id="67" w:name="_Toc413765581"/>
      <w:bookmarkStart w:id="68" w:name="_Toc417655517"/>
      <w:r>
        <w:t xml:space="preserve">Obrázek </w:t>
      </w:r>
      <w:r>
        <w:fldChar w:fldCharType="begin"/>
      </w:r>
      <w:r>
        <w:instrText xml:space="preserve"> SEQ Obrázek \* ARABIC </w:instrText>
      </w:r>
      <w:r>
        <w:fldChar w:fldCharType="separate"/>
      </w:r>
      <w:r>
        <w:rPr>
          <w:noProof/>
        </w:rPr>
        <w:t>3</w:t>
      </w:r>
      <w:r>
        <w:fldChar w:fldCharType="end"/>
      </w:r>
      <w:r>
        <w:t>: Závěry dotazníkového šetření Deloitte – dostupnost externí zdroje financování</w:t>
      </w:r>
      <w:bookmarkEnd w:id="66"/>
      <w:bookmarkEnd w:id="67"/>
      <w:bookmarkEnd w:id="68"/>
    </w:p>
    <w:p w:rsidR="00D36F9D" w:rsidRDefault="00D36F9D" w:rsidP="00D36F9D">
      <w:r>
        <w:t>Z odpovědí plyne, že zhruba polovina respondentů považuje dostupnost externího financování za problematickou, rozborem odpovědí na další otázky lze dovodit, že se v řadě z těchto případů jedná o problém tržního selhání či neoptimální investiční situace.</w:t>
      </w:r>
    </w:p>
    <w:p w:rsidR="00D36F9D" w:rsidRDefault="00D36F9D" w:rsidP="00D36F9D">
      <w:r>
        <w:t xml:space="preserve">Z provedené analýzy plyne, že projekty mají potenciál být návratné na základě generovaných úspor spotřeby energie, nicméně doba návratnosti je typicky za hranicí parametrů přijatelných pro klasické soukromé financování. </w:t>
      </w:r>
    </w:p>
    <w:p w:rsidR="00D36F9D" w:rsidRDefault="00D36F9D" w:rsidP="00D36F9D">
      <w:r>
        <w:t xml:space="preserve">Dle provedených pohovorů a analýzy realizovaných šetření dále plyne, že přestože jsou méně rozsáhlým projektům revitalizace bytového fondu dostupné velmi výhodné úvěrové možnosti, existuje pouze omezená poptávka po tomto druhu produktů a objem investic bez veřejné intervence je velmi nízký. </w:t>
      </w:r>
      <w:r w:rsidRPr="00823709">
        <w:rPr>
          <w:b/>
        </w:rPr>
        <w:t>Dotazníkové šetření v rámci otázek vztahujících se k investiční historii zaznamenalo, že průměrná doba návratnosti sledovaných projektů je 12,2 roku a průměrná úroková míra externího financování dosahuje 3,89 % p.a.</w:t>
      </w:r>
      <w:r>
        <w:rPr>
          <w:b/>
        </w:rPr>
        <w:t xml:space="preserve"> Celkem 11% respondentů také uvedlo, že není schopno zabezpečit požadavky na ručení proti požadovanému úvěrovému financování. </w:t>
      </w:r>
    </w:p>
    <w:p w:rsidR="00D36F9D" w:rsidRDefault="00D36F9D" w:rsidP="00D36F9D">
      <w:r>
        <w:t>Mezi hlavní faktory tržního selhání lze zařadit především následující:</w:t>
      </w:r>
    </w:p>
    <w:p w:rsidR="00D36F9D" w:rsidRDefault="00D36F9D" w:rsidP="00D36F9D">
      <w:pPr>
        <w:pStyle w:val="Odstavecseseznamem"/>
        <w:numPr>
          <w:ilvl w:val="0"/>
          <w:numId w:val="47"/>
        </w:numPr>
      </w:pPr>
      <w:r>
        <w:t>Problém „</w:t>
      </w:r>
      <w:r w:rsidRPr="008D7BFB">
        <w:rPr>
          <w:i/>
        </w:rPr>
        <w:t>Split incentives</w:t>
      </w:r>
      <w:r>
        <w:t>“</w:t>
      </w:r>
      <w:r w:rsidRPr="007B6239">
        <w:t xml:space="preserve"> – </w:t>
      </w:r>
      <w:r>
        <w:t xml:space="preserve">zájem o realizaci projektu může být značně rozdílný v případě vlastníka (který by měl zabezpečit spolu-financování investice) a </w:t>
      </w:r>
      <w:r w:rsidRPr="007B6239">
        <w:t xml:space="preserve">mezi </w:t>
      </w:r>
      <w:r>
        <w:t>nájemcem</w:t>
      </w:r>
      <w:r w:rsidRPr="007B6239">
        <w:t xml:space="preserve"> (</w:t>
      </w:r>
      <w:r>
        <w:t>který je příjemcem pozitivních efektů realizace, snížení provozních nákladů na chod objektu/bytu</w:t>
      </w:r>
      <w:r w:rsidRPr="007B6239">
        <w:t>)</w:t>
      </w:r>
      <w:r>
        <w:t>;</w:t>
      </w:r>
    </w:p>
    <w:p w:rsidR="00D36F9D" w:rsidRPr="007B6239" w:rsidRDefault="00D36F9D" w:rsidP="00D36F9D">
      <w:pPr>
        <w:pStyle w:val="Odstavecseseznamem"/>
        <w:numPr>
          <w:ilvl w:val="0"/>
          <w:numId w:val="47"/>
        </w:numPr>
      </w:pPr>
      <w:r>
        <w:t>Problém vyššího počtu subjektů s rozhodovacím právem – nalezení shody u sdružení vlastníků bytových jednotek, kde je často vyžadován 100% souhlas;</w:t>
      </w:r>
    </w:p>
    <w:p w:rsidR="00D36F9D" w:rsidRDefault="00D36F9D" w:rsidP="00D36F9D">
      <w:pPr>
        <w:pStyle w:val="Odstavecseseznamem"/>
        <w:numPr>
          <w:ilvl w:val="0"/>
          <w:numId w:val="47"/>
        </w:numPr>
      </w:pPr>
      <w:r w:rsidRPr="00893F0A">
        <w:t xml:space="preserve">Nedostatečné informace o </w:t>
      </w:r>
      <w:r>
        <w:t xml:space="preserve">potenciálním ekonomickém efektu realizace opatření – vlastník či nájemce má informace o vlastní </w:t>
      </w:r>
      <w:r w:rsidRPr="00893F0A">
        <w:t>spotřebě energií</w:t>
      </w:r>
      <w:r>
        <w:t xml:space="preserve">, nicméně v případě návrhu realizace projektu často nedostane všechny relevantní informace o potenciálu ekonomické úspory v případě realizace investice, </w:t>
      </w:r>
    </w:p>
    <w:p w:rsidR="00D36F9D" w:rsidRDefault="00D36F9D" w:rsidP="00D36F9D">
      <w:pPr>
        <w:pStyle w:val="Odstavecseseznamem"/>
        <w:numPr>
          <w:ilvl w:val="0"/>
          <w:numId w:val="47"/>
        </w:numPr>
      </w:pPr>
      <w:r>
        <w:t>Nejistota spojená s vývojem cen energií – jakkoliv relativně přesně může být investorovi prezentována potenciální výše úspory, tato je velmi úzce navázána na cenu energie. Pokud panuje u investora obava z nevypočitatelných výkyvů cen energie, znemožňující jasný přehled o potenciálních přínosech realizace investice (a jeho splacení), investice je typicky odložena;</w:t>
      </w:r>
    </w:p>
    <w:p w:rsidR="00D36F9D" w:rsidRDefault="00D36F9D" w:rsidP="00D36F9D">
      <w:pPr>
        <w:pStyle w:val="Odstavecseseznamem"/>
        <w:numPr>
          <w:ilvl w:val="0"/>
          <w:numId w:val="47"/>
        </w:numPr>
      </w:pPr>
      <w:r>
        <w:t>Časové preference – vlastník či nájemce neklade prioritu na realizaci investičně náročného projektu, který generuje pozitivní ekonomické výsledky až v delším horizontu (reálný dopad na výdaje domácnosti/vlastníka se projeví až se splacením investice);</w:t>
      </w:r>
    </w:p>
    <w:p w:rsidR="00D36F9D" w:rsidRDefault="00D36F9D" w:rsidP="00D36F9D">
      <w:pPr>
        <w:pStyle w:val="Odstavecseseznamem"/>
        <w:numPr>
          <w:ilvl w:val="0"/>
          <w:numId w:val="47"/>
        </w:numPr>
      </w:pPr>
      <w:r>
        <w:t>Problém vysokých transakčních nákladů, především v před-investiční fázi – zabezpečení projektu s veřejnou podporou (i bez) je spojeno s vysokými náklady přípravy technické dokumentace a zabezpečení stavebního povolení a souvisejících materiálů, což je značným demotivujícím faktorem pro celou řadu potenciálních investorů.</w:t>
      </w:r>
    </w:p>
    <w:p w:rsidR="00D36F9D" w:rsidRDefault="00D36F9D" w:rsidP="00D36F9D">
      <w:r>
        <w:t>Výše uváděné závěry potvrzují i odpovědi respondentů v rámci dotazníkového šetření.</w:t>
      </w:r>
    </w:p>
    <w:p w:rsidR="00D36F9D" w:rsidRDefault="00D36F9D" w:rsidP="00D36F9D">
      <w:pPr>
        <w:jc w:val="center"/>
      </w:pPr>
      <w:r w:rsidRPr="002F430E">
        <w:rPr>
          <w:noProof/>
          <w:lang w:eastAsia="cs-CZ"/>
        </w:rPr>
        <w:drawing>
          <wp:inline distT="0" distB="0" distL="0" distR="0" wp14:anchorId="02BC0501" wp14:editId="0218A752">
            <wp:extent cx="5759450" cy="3057909"/>
            <wp:effectExtent l="0" t="0" r="0"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9450" cy="3057909"/>
                    </a:xfrm>
                    <a:prstGeom prst="rect">
                      <a:avLst/>
                    </a:prstGeom>
                  </pic:spPr>
                </pic:pic>
              </a:graphicData>
            </a:graphic>
          </wp:inline>
        </w:drawing>
      </w:r>
    </w:p>
    <w:p w:rsidR="00D36F9D" w:rsidRDefault="00D36F9D" w:rsidP="00D36F9D">
      <w:pPr>
        <w:pStyle w:val="Titulek"/>
      </w:pPr>
      <w:bookmarkStart w:id="69" w:name="_Toc417655518"/>
      <w:r>
        <w:t xml:space="preserve">Obrázek </w:t>
      </w:r>
      <w:r>
        <w:fldChar w:fldCharType="begin"/>
      </w:r>
      <w:r>
        <w:instrText xml:space="preserve"> SEQ Obrázek \* ARABIC </w:instrText>
      </w:r>
      <w:r>
        <w:fldChar w:fldCharType="separate"/>
      </w:r>
      <w:r>
        <w:rPr>
          <w:noProof/>
        </w:rPr>
        <w:t>4</w:t>
      </w:r>
      <w:r>
        <w:fldChar w:fldCharType="end"/>
      </w:r>
      <w:r>
        <w:t>: Závěry dotazníkového šetření – popis problémů zabezpečení externího financování investic</w:t>
      </w:r>
      <w:bookmarkEnd w:id="69"/>
    </w:p>
    <w:p w:rsidR="00D36F9D" w:rsidRDefault="00D36F9D" w:rsidP="00D36F9D">
      <w:r>
        <w:rPr>
          <w:b/>
        </w:rPr>
        <w:t xml:space="preserve">Na základě realizovaných analýz lze potvrdit, že </w:t>
      </w:r>
      <w:r w:rsidRPr="0082669D">
        <w:rPr>
          <w:b/>
        </w:rPr>
        <w:t xml:space="preserve">existuje významný potenciál absorpční kapacity ve výši </w:t>
      </w:r>
      <w:r>
        <w:rPr>
          <w:b/>
        </w:rPr>
        <w:t xml:space="preserve">desítek až </w:t>
      </w:r>
      <w:r w:rsidRPr="0082669D">
        <w:rPr>
          <w:b/>
        </w:rPr>
        <w:t xml:space="preserve">stovek miliard korun, který je zároveň možné považovat za objem tržního selhání či neoptimální tržní situace. </w:t>
      </w:r>
      <w:r>
        <w:t>Tyto investice mohou zůstat nerealizovány v případě, že nebude zavedena vhodná forma veřejné podpory – buď aktivizující bankovní sektor, či aktivizující vlastníky budov k vyšší investiční aktivitě.</w:t>
      </w:r>
    </w:p>
    <w:p w:rsidR="0069716F" w:rsidRDefault="0069716F" w:rsidP="00D36F9D">
      <w:pPr>
        <w:rPr>
          <w:b/>
          <w:color w:val="00A1DE"/>
          <w:sz w:val="24"/>
          <w:szCs w:val="22"/>
        </w:rPr>
      </w:pPr>
    </w:p>
    <w:p w:rsidR="00D36F9D" w:rsidRPr="006D3C6B" w:rsidRDefault="00D36F9D" w:rsidP="000979B7">
      <w:pPr>
        <w:pStyle w:val="Nadpis4"/>
      </w:pPr>
      <w:r w:rsidRPr="006D3C6B">
        <w:t>Analýza trendu sledovaného segmentu</w:t>
      </w:r>
    </w:p>
    <w:p w:rsidR="00D36F9D" w:rsidRDefault="00D36F9D" w:rsidP="00D36F9D">
      <w:r>
        <w:t>V tomto bodě je nutné zhodnotit očekávaný budoucí trend analyzovaného segmentu energetických úspor bytových domů – s důrazem na předpokládaný vývoj ve stavebnictví, ve finančním sektoru a obecných trendů strany poptávky konečných příjemců.</w:t>
      </w:r>
    </w:p>
    <w:p w:rsidR="00D36F9D" w:rsidRDefault="00D36F9D" w:rsidP="00D36F9D">
      <w:pPr>
        <w:rPr>
          <w:rFonts w:cs="Arial"/>
          <w:color w:val="222222"/>
          <w:sz w:val="21"/>
          <w:szCs w:val="21"/>
        </w:rPr>
      </w:pPr>
      <w:r>
        <w:t xml:space="preserve">Co se týče očekávaného vývoje v českém stavebnictví, lze předpokládat obecný trend růstu objemu stavebních aktivit, které byly významně utlumeny za posledních pět let, což dokládá níže přiložené grafické znázornění. Lze očekávat jak růst nové výstavby, tak vyšší míru stavebních aktivit formy revitalizace a rekonstrukce, s důrazem právě na bytové domy. Tento trend potvrzují jak statistická data ČSÚ, jednání s odbornou veřejností (závěry jednání se zástupci asociace Šance pro budovy, o.p.s. </w:t>
      </w:r>
      <w:r>
        <w:rPr>
          <w:rFonts w:cs="Arial"/>
          <w:color w:val="222222"/>
          <w:sz w:val="21"/>
          <w:szCs w:val="21"/>
        </w:rPr>
        <w:t>Středisko pro efektivní využívání energie, Státní fond rozvoje bydlení, vedení Svazu</w:t>
      </w:r>
      <w:r w:rsidRPr="005C45EF">
        <w:rPr>
          <w:rFonts w:cs="Arial"/>
          <w:color w:val="222222"/>
          <w:sz w:val="21"/>
          <w:szCs w:val="21"/>
        </w:rPr>
        <w:t xml:space="preserve"> českých a moravských bytových družstev</w:t>
      </w:r>
      <w:r>
        <w:rPr>
          <w:rFonts w:cs="Arial"/>
          <w:color w:val="222222"/>
          <w:sz w:val="21"/>
          <w:szCs w:val="21"/>
        </w:rPr>
        <w:t xml:space="preserve">, a dalších), tak odborné publikace (např. analytický materiál Úřadu vlády ČR – </w:t>
      </w:r>
      <w:r w:rsidRPr="005C45EF">
        <w:rPr>
          <w:rFonts w:cs="Arial"/>
          <w:color w:val="222222"/>
          <w:sz w:val="21"/>
          <w:szCs w:val="21"/>
        </w:rPr>
        <w:t>Dopady</w:t>
      </w:r>
      <w:r>
        <w:rPr>
          <w:rFonts w:cs="Arial"/>
          <w:color w:val="222222"/>
          <w:sz w:val="21"/>
          <w:szCs w:val="21"/>
        </w:rPr>
        <w:t xml:space="preserve"> </w:t>
      </w:r>
      <w:r w:rsidRPr="005C45EF">
        <w:rPr>
          <w:rFonts w:cs="Arial"/>
          <w:color w:val="222222"/>
          <w:sz w:val="21"/>
          <w:szCs w:val="21"/>
        </w:rPr>
        <w:t>zvýšení</w:t>
      </w:r>
      <w:r>
        <w:rPr>
          <w:rFonts w:cs="Arial"/>
          <w:color w:val="222222"/>
          <w:sz w:val="21"/>
          <w:szCs w:val="21"/>
        </w:rPr>
        <w:t xml:space="preserve"> </w:t>
      </w:r>
      <w:r w:rsidRPr="005C45EF">
        <w:rPr>
          <w:rFonts w:cs="Arial"/>
          <w:color w:val="222222"/>
          <w:sz w:val="21"/>
          <w:szCs w:val="21"/>
        </w:rPr>
        <w:t>energetické</w:t>
      </w:r>
      <w:r>
        <w:rPr>
          <w:rFonts w:cs="Arial"/>
          <w:color w:val="222222"/>
          <w:sz w:val="21"/>
          <w:szCs w:val="21"/>
        </w:rPr>
        <w:t xml:space="preserve"> </w:t>
      </w:r>
      <w:r w:rsidRPr="005C45EF">
        <w:rPr>
          <w:rFonts w:cs="Arial"/>
          <w:color w:val="222222"/>
          <w:sz w:val="21"/>
          <w:szCs w:val="21"/>
        </w:rPr>
        <w:t>účinnosti</w:t>
      </w:r>
      <w:r>
        <w:rPr>
          <w:rFonts w:cs="Arial"/>
          <w:color w:val="222222"/>
          <w:sz w:val="21"/>
          <w:szCs w:val="21"/>
        </w:rPr>
        <w:t xml:space="preserve"> </w:t>
      </w:r>
      <w:r w:rsidRPr="005C45EF">
        <w:rPr>
          <w:rFonts w:cs="Arial"/>
          <w:color w:val="222222"/>
          <w:sz w:val="21"/>
          <w:szCs w:val="21"/>
        </w:rPr>
        <w:t>na</w:t>
      </w:r>
      <w:r>
        <w:rPr>
          <w:rFonts w:cs="Arial"/>
          <w:color w:val="222222"/>
          <w:sz w:val="21"/>
          <w:szCs w:val="21"/>
        </w:rPr>
        <w:t xml:space="preserve"> </w:t>
      </w:r>
      <w:r w:rsidRPr="005C45EF">
        <w:rPr>
          <w:rFonts w:cs="Arial"/>
          <w:color w:val="222222"/>
          <w:sz w:val="21"/>
          <w:szCs w:val="21"/>
        </w:rPr>
        <w:t>českou</w:t>
      </w:r>
      <w:r>
        <w:rPr>
          <w:rFonts w:cs="Arial"/>
          <w:color w:val="222222"/>
          <w:sz w:val="21"/>
          <w:szCs w:val="21"/>
        </w:rPr>
        <w:t xml:space="preserve"> </w:t>
      </w:r>
      <w:r w:rsidRPr="005C45EF">
        <w:rPr>
          <w:rFonts w:cs="Arial"/>
          <w:color w:val="222222"/>
          <w:sz w:val="21"/>
          <w:szCs w:val="21"/>
        </w:rPr>
        <w:t>ekonomiku</w:t>
      </w:r>
      <w:r>
        <w:rPr>
          <w:rFonts w:cs="Arial"/>
          <w:color w:val="222222"/>
          <w:sz w:val="21"/>
          <w:szCs w:val="21"/>
        </w:rPr>
        <w:t xml:space="preserve">, již zmiňovaný materiál </w:t>
      </w:r>
      <w:r w:rsidRPr="00AC29CF">
        <w:rPr>
          <w:rFonts w:cs="Arial"/>
          <w:color w:val="222222"/>
          <w:sz w:val="21"/>
          <w:szCs w:val="21"/>
        </w:rPr>
        <w:t>Národní akčn</w:t>
      </w:r>
      <w:r>
        <w:rPr>
          <w:rFonts w:cs="Arial"/>
          <w:color w:val="222222"/>
          <w:sz w:val="21"/>
          <w:szCs w:val="21"/>
        </w:rPr>
        <w:t>í plán energetické účinnosti ČR) a v neposlední řadě vlastní analýzy dodavatele. V investičním horizontu programového období (tedy roky 2015 – 2023) lze očekávat adekvátní připravenost a kapacitní vybavenost českého stavebnictví uspokojit zvýšenou poptávku po realizaci projektů revitalizace bytových domů, akcelerovanou spuštěním podpory IROP.</w:t>
      </w:r>
    </w:p>
    <w:p w:rsidR="00D36F9D" w:rsidRDefault="00D36F9D" w:rsidP="00D36F9D">
      <w:r w:rsidRPr="00B351D9">
        <w:rPr>
          <w:noProof/>
          <w:lang w:eastAsia="cs-CZ"/>
        </w:rPr>
        <w:drawing>
          <wp:inline distT="0" distB="0" distL="0" distR="0" wp14:anchorId="06D7B1DD" wp14:editId="1BCF10D2">
            <wp:extent cx="5759450" cy="3533330"/>
            <wp:effectExtent l="19050" t="19050" r="1270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533330"/>
                    </a:xfrm>
                    <a:prstGeom prst="rect">
                      <a:avLst/>
                    </a:prstGeom>
                    <a:noFill/>
                    <a:ln>
                      <a:solidFill>
                        <a:schemeClr val="accent2"/>
                      </a:solidFill>
                    </a:ln>
                  </pic:spPr>
                </pic:pic>
              </a:graphicData>
            </a:graphic>
          </wp:inline>
        </w:drawing>
      </w:r>
    </w:p>
    <w:p w:rsidR="00D36F9D" w:rsidRDefault="00D36F9D" w:rsidP="00D36F9D">
      <w:pPr>
        <w:pStyle w:val="Titulek"/>
      </w:pPr>
      <w:bookmarkStart w:id="70" w:name="_Toc417655519"/>
      <w:r>
        <w:t xml:space="preserve">Obrázek </w:t>
      </w:r>
      <w:r>
        <w:fldChar w:fldCharType="begin"/>
      </w:r>
      <w:r>
        <w:instrText xml:space="preserve"> SEQ Obrázek \* ARABIC </w:instrText>
      </w:r>
      <w:r>
        <w:fldChar w:fldCharType="separate"/>
      </w:r>
      <w:r>
        <w:rPr>
          <w:noProof/>
        </w:rPr>
        <w:t>5</w:t>
      </w:r>
      <w:r>
        <w:fldChar w:fldCharType="end"/>
      </w:r>
      <w:r>
        <w:t>: Index stavební produkce dle dat ČSÚ</w:t>
      </w:r>
      <w:bookmarkEnd w:id="70"/>
    </w:p>
    <w:p w:rsidR="00D36F9D" w:rsidRDefault="00D36F9D" w:rsidP="00D36F9D">
      <w:r>
        <w:t xml:space="preserve">Co se týče vývoje ve finančním sektoru, obecným trendem let 2009 až 2014 je vyšší míra zdrženlivosti českých bankovních domů při poskytování nových úvěrů, včetně pro tuto analýzu důležitých hypotečních úvěrů, tzn. konzervativní strategie co se nastavení ratingu žadatelů o úvěr a jejich projektů týče, požadavků na ručení, požadavků na kratší dobu splatnosti. Dle statistických dat ČSÚ a ČNB lze pozorovat, že objemy celkových úvěrů na bydlení poskytovaných obyvatelstvu ČR (rezidentům) rostou, nikoli však takovým tempem, jako v letech konjunktury. Z dvojciferných meziročních přírůstků, které skončily v únoru 2010 (+10,5 %), tempo hypotečních úvěrů poskytovaných obyvatelstvu postupně klesalo až na poslední čtyři roky víceméně stabilních 5% - viz prezentovaný graf. </w:t>
      </w:r>
    </w:p>
    <w:p w:rsidR="00D36F9D" w:rsidRDefault="00D36F9D" w:rsidP="00D36F9D">
      <w:r>
        <w:t>Tento trend přetrvává dlouhodobě, nehledě na stále klesající cenu peněz, tedy úrokové míry hypotečních úvěrů – viz graf níže. Jak potvrzuje dotazníkové šetření, problém nízké investiční aktivity je dán více důvody, jedním z nich je vyčkávání připravených projektů na spuštění veřejné podpory z nového programového období č</w:t>
      </w:r>
      <w:r w:rsidR="00CD613B">
        <w:t>erpání ESI fondů</w:t>
      </w:r>
      <w:r>
        <w:t>.</w:t>
      </w:r>
    </w:p>
    <w:p w:rsidR="00D36F9D" w:rsidRPr="006D3C6B" w:rsidRDefault="00D36F9D" w:rsidP="00D36F9D">
      <w:pPr>
        <w:rPr>
          <w:rFonts w:cs="Arial"/>
          <w:b/>
          <w:color w:val="222222"/>
          <w:sz w:val="21"/>
          <w:szCs w:val="21"/>
        </w:rPr>
      </w:pPr>
      <w:r>
        <w:rPr>
          <w:rFonts w:cs="Arial"/>
          <w:color w:val="222222"/>
          <w:sz w:val="21"/>
          <w:szCs w:val="21"/>
        </w:rPr>
        <w:t xml:space="preserve">V investičním horizontu programového období (tedy roky 2015 – 2023) lze očekávat adekvátní připravenost a kapacitní vybavenost bankovního sektoru uspokojit zvýšenou poptávku po financování projektů revitalizace bytových domů, akcelerovanou spuštěním podpory IROP. Bankovní sektor je obecně připraven k financování sledovaných projektů v případě, že projekty dokáží splnit podmínky na ručení, případně pokud je zvýšena jejich kredibilita přidělením podpory z veřejných zdrojů, která sníží celkový objem zdrojů, který je po bance jako spolufinancujícím subjektu vyžadován (rozložení rizika). </w:t>
      </w:r>
      <w:r>
        <w:t xml:space="preserve">Co </w:t>
      </w:r>
      <w:r w:rsidRPr="00A9253B">
        <w:rPr>
          <w:rFonts w:cs="Arial"/>
          <w:color w:val="222222"/>
          <w:sz w:val="21"/>
          <w:szCs w:val="21"/>
        </w:rPr>
        <w:t>do odhadu vývoje ú</w:t>
      </w:r>
      <w:r>
        <w:rPr>
          <w:rFonts w:cs="Arial"/>
          <w:color w:val="222222"/>
          <w:sz w:val="21"/>
          <w:szCs w:val="21"/>
        </w:rPr>
        <w:t xml:space="preserve">rokové míry z hypotečních úvěrů, </w:t>
      </w:r>
      <w:r w:rsidRPr="00A9253B">
        <w:rPr>
          <w:rFonts w:cs="Arial"/>
          <w:color w:val="222222"/>
          <w:sz w:val="21"/>
          <w:szCs w:val="21"/>
        </w:rPr>
        <w:t>s ohledem na právě spuštěný evropský program kvantitativního uvolňování a současnou nízkou úroveň sazeb</w:t>
      </w:r>
      <w:r>
        <w:rPr>
          <w:rFonts w:cs="Arial"/>
          <w:color w:val="222222"/>
          <w:sz w:val="21"/>
          <w:szCs w:val="21"/>
        </w:rPr>
        <w:t>, lze</w:t>
      </w:r>
      <w:r w:rsidRPr="00A9253B">
        <w:rPr>
          <w:rFonts w:cs="Arial"/>
          <w:color w:val="222222"/>
          <w:sz w:val="21"/>
          <w:szCs w:val="21"/>
        </w:rPr>
        <w:t xml:space="preserve"> očekávat stagnaci.</w:t>
      </w:r>
      <w:r>
        <w:rPr>
          <w:rStyle w:val="Znakapoznpodarou"/>
          <w:rFonts w:cs="Arial"/>
          <w:b/>
          <w:color w:val="222222"/>
          <w:szCs w:val="21"/>
        </w:rPr>
        <w:footnoteReference w:id="7"/>
      </w:r>
      <w:r>
        <w:rPr>
          <w:rFonts w:cs="Arial"/>
          <w:color w:val="222222"/>
          <w:sz w:val="21"/>
          <w:szCs w:val="21"/>
        </w:rPr>
        <w:t xml:space="preserve"> </w:t>
      </w:r>
    </w:p>
    <w:p w:rsidR="00D36F9D" w:rsidRDefault="00D36F9D" w:rsidP="00D36F9D">
      <w:r>
        <w:rPr>
          <w:noProof/>
          <w:lang w:eastAsia="cs-CZ"/>
        </w:rPr>
        <w:drawing>
          <wp:anchor distT="0" distB="0" distL="114300" distR="114300" simplePos="0" relativeHeight="251940864" behindDoc="0" locked="0" layoutInCell="1" allowOverlap="1" wp14:anchorId="71C51A94" wp14:editId="319982B6">
            <wp:simplePos x="0" y="0"/>
            <wp:positionH relativeFrom="column">
              <wp:posOffset>-3810</wp:posOffset>
            </wp:positionH>
            <wp:positionV relativeFrom="paragraph">
              <wp:posOffset>3175</wp:posOffset>
            </wp:positionV>
            <wp:extent cx="2794635" cy="2607945"/>
            <wp:effectExtent l="0" t="0" r="5715"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635"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84D">
        <w:rPr>
          <w:noProof/>
          <w:lang w:eastAsia="cs-CZ"/>
        </w:rPr>
        <w:drawing>
          <wp:inline distT="0" distB="0" distL="0" distR="0" wp14:anchorId="6938413A" wp14:editId="2E2B485B">
            <wp:extent cx="2786333" cy="26143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6353" cy="2614407"/>
                    </a:xfrm>
                    <a:prstGeom prst="rect">
                      <a:avLst/>
                    </a:prstGeom>
                    <a:noFill/>
                    <a:ln>
                      <a:noFill/>
                    </a:ln>
                  </pic:spPr>
                </pic:pic>
              </a:graphicData>
            </a:graphic>
          </wp:inline>
        </w:drawing>
      </w:r>
    </w:p>
    <w:p w:rsidR="00D36F9D" w:rsidRDefault="00D36F9D" w:rsidP="00D36F9D">
      <w:pPr>
        <w:pStyle w:val="Titulek"/>
      </w:pPr>
      <w:bookmarkStart w:id="71" w:name="_Toc417655520"/>
      <w:r>
        <w:t xml:space="preserve">Obrázek </w:t>
      </w:r>
      <w:r>
        <w:fldChar w:fldCharType="begin"/>
      </w:r>
      <w:r>
        <w:instrText xml:space="preserve"> SEQ Obrázek \* ARABIC </w:instrText>
      </w:r>
      <w:r>
        <w:fldChar w:fldCharType="separate"/>
      </w:r>
      <w:r>
        <w:rPr>
          <w:noProof/>
        </w:rPr>
        <w:t>6</w:t>
      </w:r>
      <w:r>
        <w:fldChar w:fldCharType="end"/>
      </w:r>
      <w:r>
        <w:t>: Meziroční změna úvěrů na bydlení, Vývoj úrokových sazeb hypotečních úvěrů (převzato ze statistické publikace ČSÚ)</w:t>
      </w:r>
      <w:bookmarkEnd w:id="71"/>
    </w:p>
    <w:p w:rsidR="00D36F9D" w:rsidRDefault="00D36F9D" w:rsidP="00D36F9D">
      <w:r>
        <w:t xml:space="preserve">Dle výše uvedených analýz lze očekávat připravenost jak stavebního tak finančního sektoru na zvýšený počet projektů ve sledované oblasti. Část z těchto investic je vázána na existenci vhodně nastavené formy veřejné podpory, část bude realizována nehledě na tento trend, a to především ve vazbě na potřebu řešit nevyhovující technický stav budovy (viz grafy níže). </w:t>
      </w:r>
    </w:p>
    <w:p w:rsidR="00D36F9D" w:rsidRDefault="00D36F9D" w:rsidP="00D36F9D">
      <w:r w:rsidRPr="00A52740">
        <w:rPr>
          <w:b/>
        </w:rPr>
        <w:t>V každém případě dodavatel na základě shromážděných dat usuzuje, že lze očekávat růst investic do bytových domů, tedy aktivizaci poptávky po čerpání zdrojů, které hodlá nabízet IROP zapojením finančních nástrojů.</w:t>
      </w:r>
    </w:p>
    <w:p w:rsidR="00D36F9D" w:rsidRDefault="00D36F9D" w:rsidP="00D36F9D">
      <w:pPr>
        <w:jc w:val="center"/>
      </w:pPr>
      <w:r w:rsidRPr="00BD59EE">
        <w:rPr>
          <w:noProof/>
          <w:lang w:eastAsia="cs-CZ"/>
        </w:rPr>
        <w:drawing>
          <wp:inline distT="0" distB="0" distL="0" distR="0" wp14:anchorId="4D838F51" wp14:editId="4B1E0279">
            <wp:extent cx="5219700" cy="2667008"/>
            <wp:effectExtent l="0" t="0" r="0" b="0"/>
            <wp:docPr id="7173" name="Obrázek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18936" cy="2666617"/>
                    </a:xfrm>
                    <a:prstGeom prst="rect">
                      <a:avLst/>
                    </a:prstGeom>
                  </pic:spPr>
                </pic:pic>
              </a:graphicData>
            </a:graphic>
          </wp:inline>
        </w:drawing>
      </w:r>
    </w:p>
    <w:p w:rsidR="00D36F9D" w:rsidRDefault="00D36F9D" w:rsidP="00D36F9D">
      <w:pPr>
        <w:pStyle w:val="Titulek"/>
      </w:pPr>
      <w:bookmarkStart w:id="72" w:name="_Toc417655521"/>
      <w:r>
        <w:t xml:space="preserve">Obrázek </w:t>
      </w:r>
      <w:r>
        <w:fldChar w:fldCharType="begin"/>
      </w:r>
      <w:r>
        <w:instrText xml:space="preserve"> SEQ Obrázek \* ARABIC </w:instrText>
      </w:r>
      <w:r>
        <w:fldChar w:fldCharType="separate"/>
      </w:r>
      <w:r>
        <w:rPr>
          <w:noProof/>
        </w:rPr>
        <w:t>7</w:t>
      </w:r>
      <w:r>
        <w:fldChar w:fldCharType="end"/>
      </w:r>
      <w:r>
        <w:t>: Závěry dotazníkového šetření – důvody pro přípravu investice</w:t>
      </w:r>
      <w:bookmarkEnd w:id="72"/>
    </w:p>
    <w:p w:rsidR="00D36F9D" w:rsidRDefault="00D36F9D" w:rsidP="00D36F9D">
      <w:pPr>
        <w:jc w:val="center"/>
      </w:pPr>
      <w:r w:rsidRPr="00BD59EE">
        <w:rPr>
          <w:noProof/>
          <w:lang w:eastAsia="cs-CZ"/>
        </w:rPr>
        <w:drawing>
          <wp:inline distT="0" distB="0" distL="0" distR="0" wp14:anchorId="5951B2F3" wp14:editId="2E4AE9B2">
            <wp:extent cx="5238750" cy="2964769"/>
            <wp:effectExtent l="0" t="0" r="0" b="7620"/>
            <wp:docPr id="7174" name="Obrázek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38807" cy="2964801"/>
                    </a:xfrm>
                    <a:prstGeom prst="rect">
                      <a:avLst/>
                    </a:prstGeom>
                  </pic:spPr>
                </pic:pic>
              </a:graphicData>
            </a:graphic>
          </wp:inline>
        </w:drawing>
      </w:r>
    </w:p>
    <w:p w:rsidR="00D36F9D" w:rsidRDefault="00D36F9D" w:rsidP="00D36F9D">
      <w:pPr>
        <w:pStyle w:val="Titulek"/>
      </w:pPr>
      <w:bookmarkStart w:id="73" w:name="_Toc417655522"/>
      <w:r>
        <w:t xml:space="preserve">Obrázek </w:t>
      </w:r>
      <w:r>
        <w:fldChar w:fldCharType="begin"/>
      </w:r>
      <w:r>
        <w:instrText xml:space="preserve"> SEQ Obrázek \* ARABIC </w:instrText>
      </w:r>
      <w:r>
        <w:fldChar w:fldCharType="separate"/>
      </w:r>
      <w:r>
        <w:rPr>
          <w:noProof/>
        </w:rPr>
        <w:t>8</w:t>
      </w:r>
      <w:r>
        <w:fldChar w:fldCharType="end"/>
      </w:r>
      <w:r>
        <w:t>: Závěry dotazníkového šetření – připravenost investovat i bez existence veřejné podpory</w:t>
      </w:r>
      <w:bookmarkEnd w:id="73"/>
    </w:p>
    <w:p w:rsidR="00D36F9D" w:rsidRDefault="00D36F9D" w:rsidP="00D36F9D">
      <w:r>
        <w:t xml:space="preserve">Z obrázku č. 8 je zřejmé, že až 55% plánovaných investic bude realizováno, nehledě na existenci veřejné podpory – pravděpodobně v úzké vazbě na závěry viz obrázek č. 7, který poukazuje na skutečnost, že až 45% všech investic je podníceno potřebou řešit neuspokojivých technický stav budovy. Dle závěrů pohovorů s odborníky i dle analýzy dostupných dat je pak zřejmé, že tzv. vynucené projekty tendenčně směřují k minimalistickým úsporným variantám řešení neuspokojivého stavu – nedochází ke komplexnímu řešení problému, spíše k „zazáplatování“ kritických problémů. S ohledem na cíle ČR ve vztahu k dosahování vyšší energetické účinnosti, resp. závazku </w:t>
      </w:r>
      <w:r w:rsidRPr="00104960">
        <w:t xml:space="preserve">ČR </w:t>
      </w:r>
      <w:r>
        <w:t xml:space="preserve">plnit </w:t>
      </w:r>
      <w:r w:rsidRPr="00104960">
        <w:t>závazný cíl v oblasti dosažení úspory na konečné spotřebě energie do roku 2020</w:t>
      </w:r>
      <w:r>
        <w:t xml:space="preserve"> je nutné, aby na danou situaci bylo reagováno nastavením vhodného režimu veřejné podpory. </w:t>
      </w:r>
    </w:p>
    <w:p w:rsidR="00DA4E52" w:rsidRDefault="00D36F9D" w:rsidP="001B31DC">
      <w:r w:rsidRPr="00A52740">
        <w:rPr>
          <w:b/>
        </w:rPr>
        <w:t xml:space="preserve">Níže popsaný návrh zapojení finančního nástroje zabezpečí, že budou realizovány projekty, které by jinak </w:t>
      </w:r>
      <w:r>
        <w:rPr>
          <w:b/>
        </w:rPr>
        <w:t>nebyly realizovány</w:t>
      </w:r>
      <w:r w:rsidRPr="00A52740">
        <w:rPr>
          <w:b/>
        </w:rPr>
        <w:t xml:space="preserve">, resp. že bude docházet ke komplexním </w:t>
      </w:r>
      <w:r w:rsidR="000A6919">
        <w:rPr>
          <w:b/>
        </w:rPr>
        <w:t>či</w:t>
      </w:r>
      <w:r w:rsidRPr="00A52740">
        <w:rPr>
          <w:b/>
        </w:rPr>
        <w:t xml:space="preserve"> k dílčím </w:t>
      </w:r>
      <w:r w:rsidR="000A6919">
        <w:rPr>
          <w:b/>
        </w:rPr>
        <w:t xml:space="preserve">renovacím a </w:t>
      </w:r>
      <w:r w:rsidRPr="00A52740">
        <w:rPr>
          <w:b/>
        </w:rPr>
        <w:t>etapizovaným řešením</w:t>
      </w:r>
      <w:r w:rsidR="000A6919">
        <w:rPr>
          <w:b/>
        </w:rPr>
        <w:t>, nicméně v objemu významně převyšujícím tempo, kdy veřejná podpora není přítomna</w:t>
      </w:r>
      <w:r w:rsidRPr="00A52740">
        <w:rPr>
          <w:b/>
        </w:rPr>
        <w:t>.</w:t>
      </w:r>
      <w:r w:rsidR="00DA4E52">
        <w:br w:type="page"/>
      </w:r>
    </w:p>
    <w:p w:rsidR="00DA4E52" w:rsidRDefault="00DA4E52" w:rsidP="00DA4E52">
      <w:pPr>
        <w:pStyle w:val="Nadpis2"/>
      </w:pPr>
      <w:bookmarkStart w:id="74" w:name="_Toc400570383"/>
      <w:bookmarkStart w:id="75" w:name="_Toc401150112"/>
      <w:bookmarkStart w:id="76" w:name="_Toc409797486"/>
      <w:bookmarkStart w:id="77" w:name="_Toc418767144"/>
      <w:r>
        <w:rPr>
          <w:spacing w:val="-2"/>
        </w:rPr>
        <w:t>P</w:t>
      </w:r>
      <w:r w:rsidRPr="00090619">
        <w:rPr>
          <w:spacing w:val="-2"/>
        </w:rPr>
        <w:t>osouzení</w:t>
      </w:r>
      <w:r w:rsidRPr="00090619">
        <w:rPr>
          <w:spacing w:val="52"/>
        </w:rPr>
        <w:t xml:space="preserve"> </w:t>
      </w:r>
      <w:r w:rsidRPr="00090619">
        <w:t>přidané</w:t>
      </w:r>
      <w:r w:rsidRPr="00090619">
        <w:rPr>
          <w:spacing w:val="5"/>
        </w:rPr>
        <w:t xml:space="preserve"> </w:t>
      </w:r>
      <w:r w:rsidRPr="00090619">
        <w:t>hodnoty</w:t>
      </w:r>
      <w:r w:rsidRPr="00090619">
        <w:rPr>
          <w:spacing w:val="17"/>
        </w:rPr>
        <w:t xml:space="preserve"> </w:t>
      </w:r>
      <w:r w:rsidRPr="00090619">
        <w:t>finančních</w:t>
      </w:r>
      <w:r w:rsidRPr="00090619">
        <w:rPr>
          <w:spacing w:val="5"/>
        </w:rPr>
        <w:t xml:space="preserve"> </w:t>
      </w:r>
      <w:r w:rsidRPr="00090619">
        <w:rPr>
          <w:spacing w:val="-1"/>
        </w:rPr>
        <w:t>nástrojů</w:t>
      </w:r>
      <w:r>
        <w:rPr>
          <w:spacing w:val="-1"/>
        </w:rPr>
        <w:t xml:space="preserve"> a </w:t>
      </w:r>
      <w:r>
        <w:t>o</w:t>
      </w:r>
      <w:r w:rsidRPr="00E75445">
        <w:t>dhad dodatečných veřejných a soukromých zdrojů</w:t>
      </w:r>
      <w:bookmarkEnd w:id="74"/>
      <w:bookmarkEnd w:id="75"/>
      <w:bookmarkEnd w:id="76"/>
      <w:bookmarkEnd w:id="77"/>
    </w:p>
    <w:p w:rsidR="00DA4E52" w:rsidRDefault="00DA4E52" w:rsidP="00DA4E52">
      <w:r>
        <w:t xml:space="preserve">S ohledem na příbuznost a propojenost </w:t>
      </w:r>
      <w:r w:rsidR="00CD613B">
        <w:t xml:space="preserve">posouzení přidané hodnoty a pákového efektu byly v rámci ex ante analýzy tyto oblasti </w:t>
      </w:r>
      <w:r>
        <w:t>spojeny v jeden celek a závěry jsou prezentovány na jednom místě. Dodavatel tento postup považuje za logičtější a lépe srozumitelný, co se týče formy prezentace výsledného sdělení. V návaznosti na ukončenou analýzu tržních selhání byly vybrané oblasti podpory, navržené jako vhodné pro využití finančních nástrojů v novém programovém období, podrobeny modelování potenciální přidané hodnoty a schopnosti stimulace dodatečných veřejných a soukromých zdrojů (za využití pákového efektu).</w:t>
      </w:r>
    </w:p>
    <w:p w:rsidR="00DA4E52" w:rsidRDefault="00DA4E52" w:rsidP="00DA4E52">
      <w:r w:rsidRPr="009F5369">
        <w:rPr>
          <w:b/>
        </w:rPr>
        <w:t>Pákový efekt</w:t>
      </w:r>
      <w:r w:rsidRPr="009F5369">
        <w:t xml:space="preserve"> </w:t>
      </w:r>
      <w:r>
        <w:t xml:space="preserve">je dle metodického doporučení definován jako </w:t>
      </w:r>
      <w:r w:rsidRPr="00032621">
        <w:t>příspěvek Unie na finanční nástroj</w:t>
      </w:r>
      <w:r>
        <w:t>, který</w:t>
      </w:r>
      <w:r w:rsidRPr="00032621">
        <w:t xml:space="preserve"> má za cíl aktivovat v souladu s předem vymezenými ukazateli celkovou inves</w:t>
      </w:r>
      <w:r>
        <w:t>tici převyšující příspěvek Unie, jinak t</w:t>
      </w:r>
      <w:r w:rsidRPr="00032621">
        <w:t>éž aktivace mimorozpočtovýc</w:t>
      </w:r>
      <w:r>
        <w:t>h zdrojů.</w:t>
      </w:r>
    </w:p>
    <w:p w:rsidR="00DA4E52" w:rsidRPr="00DF6467" w:rsidRDefault="00DA4E52" w:rsidP="00DA4E52">
      <w:pPr>
        <w:rPr>
          <w:highlight w:val="yellow"/>
        </w:rPr>
      </w:pPr>
      <w:r>
        <w:rPr>
          <w:b/>
        </w:rPr>
        <w:t>Přidaná hodnota</w:t>
      </w:r>
      <w:r>
        <w:t xml:space="preserve"> vyjadřuje </w:t>
      </w:r>
      <w:r w:rsidRPr="00F608B1">
        <w:t xml:space="preserve">pákový efekt ESIF příspěvku, tj. dodatečné zdroje až po úroveň konečného příjemce. Čím vyšší pákový efekt, tím vyšší přidaná hodnota. Zahrnuje zejména dodatečné zdroje během prvního investičního cyklu. </w:t>
      </w:r>
      <w:r>
        <w:t>Při výpočtu přidané hodnoty je zohledněna intenzita</w:t>
      </w:r>
      <w:r w:rsidRPr="00F608B1">
        <w:t xml:space="preserve"> </w:t>
      </w:r>
      <w:r>
        <w:t>podpory</w:t>
      </w:r>
      <w:r w:rsidRPr="00F608B1">
        <w:t xml:space="preserve"> finančního nástroje</w:t>
      </w:r>
      <w:r>
        <w:t xml:space="preserve">, je zohledněn </w:t>
      </w:r>
      <w:r w:rsidRPr="00F608B1">
        <w:t>obrátkový efekt umožňující „protáčení“ prostředků</w:t>
      </w:r>
      <w:r w:rsidRPr="009F5369">
        <w:t>. Dodatečné příspěvky od konečného příjemce</w:t>
      </w:r>
      <w:r>
        <w:t xml:space="preserve"> s</w:t>
      </w:r>
      <w:r w:rsidRPr="009F5369">
        <w:t xml:space="preserve">e do </w:t>
      </w:r>
      <w:r>
        <w:t xml:space="preserve">výpočtu přidané </w:t>
      </w:r>
      <w:r w:rsidRPr="009F5369">
        <w:t xml:space="preserve">hodnoty </w:t>
      </w:r>
      <w:r>
        <w:t>započítávají</w:t>
      </w:r>
      <w:r w:rsidRPr="009F5369">
        <w:t>.</w:t>
      </w:r>
    </w:p>
    <w:p w:rsidR="00DA4E52" w:rsidRPr="00965274" w:rsidRDefault="00486BE0" w:rsidP="00DA4E52">
      <w:r>
        <w:t>Níže je uvedena modelace</w:t>
      </w:r>
      <w:r w:rsidR="00DA4E52">
        <w:t xml:space="preserve"> kvantitativního přínosu </w:t>
      </w:r>
      <w:r>
        <w:t xml:space="preserve">pro dále analyzovanou oblast specifického cíle 2.5 energetických úspor bytových domů. </w:t>
      </w:r>
      <w:r w:rsidR="00DA4E52">
        <w:t xml:space="preserve">Model je vystaven na řadě předpokladů, které bude možné měnit s dalším zpřesňováním návrhu nástrojů, návrhu implementační struktury, dle závěrů jednání s finančním sektorem a vyjasnění jeho možností a zájmů se do nových struktur IROP zapojit. </w:t>
      </w:r>
      <w:r w:rsidR="00965274" w:rsidRPr="00965274">
        <w:rPr>
          <w:b/>
        </w:rPr>
        <w:t>V</w:t>
      </w:r>
      <w:r w:rsidR="00965274">
        <w:rPr>
          <w:b/>
        </w:rPr>
        <w:t xml:space="preserve">eškeré podstatné informace ohledně parametrů modelu multiplikace jsou přímo vysvětleny v příloze č. 2 této zprávy, </w:t>
      </w:r>
      <w:r w:rsidR="00DA4E52" w:rsidRPr="00813F07">
        <w:rPr>
          <w:b/>
        </w:rPr>
        <w:t>v případě potřeby zohlednit úpravu vstupních parametrů nebo rozšíření sledovaných výstupů, je možné tyto podklady aktualizovat a opět využít.</w:t>
      </w:r>
    </w:p>
    <w:p w:rsidR="00DA4E52" w:rsidRPr="00965274" w:rsidRDefault="00DA4E52" w:rsidP="00DA4E52">
      <w:r w:rsidRPr="00965274">
        <w:t>V případě dodavatelem nastaveného modelu dosahuje finanční</w:t>
      </w:r>
      <w:r w:rsidR="00965274">
        <w:t xml:space="preserve"> nástroj následujících výsledků:</w:t>
      </w:r>
    </w:p>
    <w:p w:rsidR="00192AC5" w:rsidRDefault="00192AC5" w:rsidP="00192AC5">
      <w:pPr>
        <w:pStyle w:val="Odstavecseseznamem"/>
        <w:numPr>
          <w:ilvl w:val="0"/>
          <w:numId w:val="40"/>
        </w:numPr>
        <w:rPr>
          <w:b/>
        </w:rPr>
      </w:pPr>
      <w:r w:rsidRPr="00965274">
        <w:rPr>
          <w:b/>
        </w:rPr>
        <w:t>Alokace IROP</w:t>
      </w:r>
      <w:r w:rsidRPr="00965274">
        <w:rPr>
          <w:b/>
        </w:rPr>
        <w:tab/>
      </w:r>
      <w:r>
        <w:rPr>
          <w:b/>
        </w:rPr>
        <w:tab/>
      </w:r>
      <w:r>
        <w:rPr>
          <w:b/>
        </w:rPr>
        <w:tab/>
      </w:r>
      <w:r>
        <w:rPr>
          <w:b/>
        </w:rPr>
        <w:tab/>
      </w:r>
      <w:r>
        <w:rPr>
          <w:b/>
        </w:rPr>
        <w:tab/>
      </w:r>
      <w:r>
        <w:rPr>
          <w:b/>
        </w:rPr>
        <w:tab/>
      </w:r>
      <w:r w:rsidRPr="00965274">
        <w:rPr>
          <w:b/>
        </w:rPr>
        <w:t>16 800</w:t>
      </w:r>
      <w:r w:rsidRPr="00965274">
        <w:rPr>
          <w:b/>
        </w:rPr>
        <w:tab/>
        <w:t>mil. Kč</w:t>
      </w:r>
    </w:p>
    <w:p w:rsidR="00192AC5" w:rsidRDefault="00192AC5" w:rsidP="00192AC5">
      <w:pPr>
        <w:pStyle w:val="Odstavecseseznamem"/>
        <w:numPr>
          <w:ilvl w:val="0"/>
          <w:numId w:val="40"/>
        </w:numPr>
        <w:rPr>
          <w:b/>
        </w:rPr>
      </w:pPr>
      <w:r>
        <w:rPr>
          <w:b/>
        </w:rPr>
        <w:t>G</w:t>
      </w:r>
      <w:r w:rsidRPr="00965274">
        <w:rPr>
          <w:b/>
        </w:rPr>
        <w:t>enerované investice prvního cyklu</w:t>
      </w:r>
      <w:r w:rsidRPr="00965274">
        <w:rPr>
          <w:b/>
        </w:rPr>
        <w:tab/>
      </w:r>
      <w:r>
        <w:rPr>
          <w:b/>
        </w:rPr>
        <w:tab/>
      </w:r>
      <w:r>
        <w:rPr>
          <w:b/>
        </w:rPr>
        <w:tab/>
      </w:r>
      <w:r w:rsidRPr="00965274">
        <w:rPr>
          <w:b/>
        </w:rPr>
        <w:t>30 800</w:t>
      </w:r>
      <w:r w:rsidRPr="00965274">
        <w:rPr>
          <w:b/>
        </w:rPr>
        <w:tab/>
        <w:t>mil. Kč</w:t>
      </w:r>
    </w:p>
    <w:p w:rsidR="00192AC5" w:rsidRDefault="00192AC5" w:rsidP="00192AC5">
      <w:pPr>
        <w:pStyle w:val="Odstavecseseznamem"/>
        <w:numPr>
          <w:ilvl w:val="0"/>
          <w:numId w:val="40"/>
        </w:numPr>
        <w:rPr>
          <w:b/>
        </w:rPr>
      </w:pPr>
      <w:r w:rsidRPr="00965274">
        <w:rPr>
          <w:b/>
        </w:rPr>
        <w:t xml:space="preserve">Celkem proinvestováno </w:t>
      </w:r>
      <w:r>
        <w:rPr>
          <w:b/>
        </w:rPr>
        <w:t>do roku</w:t>
      </w:r>
      <w:r w:rsidRPr="00965274">
        <w:rPr>
          <w:b/>
        </w:rPr>
        <w:t xml:space="preserve"> 2023</w:t>
      </w:r>
      <w:r w:rsidRPr="00965274">
        <w:rPr>
          <w:b/>
        </w:rPr>
        <w:tab/>
      </w:r>
      <w:r>
        <w:rPr>
          <w:b/>
        </w:rPr>
        <w:tab/>
      </w:r>
      <w:r>
        <w:rPr>
          <w:b/>
        </w:rPr>
        <w:tab/>
        <w:t>38 107</w:t>
      </w:r>
      <w:r w:rsidRPr="00965274">
        <w:rPr>
          <w:b/>
        </w:rPr>
        <w:tab/>
        <w:t>mil. Kč</w:t>
      </w:r>
    </w:p>
    <w:p w:rsidR="00192AC5" w:rsidRPr="00965274" w:rsidRDefault="00192AC5" w:rsidP="00192AC5">
      <w:pPr>
        <w:pStyle w:val="Odstavecseseznamem"/>
        <w:numPr>
          <w:ilvl w:val="0"/>
          <w:numId w:val="40"/>
        </w:numPr>
        <w:spacing w:after="0"/>
        <w:jc w:val="left"/>
        <w:rPr>
          <w:b/>
        </w:rPr>
      </w:pPr>
      <w:r>
        <w:rPr>
          <w:b/>
        </w:rPr>
        <w:t>Celkem k dispozici pro re</w:t>
      </w:r>
      <w:r w:rsidRPr="00965274">
        <w:rPr>
          <w:b/>
        </w:rPr>
        <w:t>vo</w:t>
      </w:r>
      <w:r>
        <w:rPr>
          <w:b/>
        </w:rPr>
        <w:t>lving prostředků IROP</w:t>
      </w:r>
      <w:r>
        <w:rPr>
          <w:b/>
        </w:rPr>
        <w:tab/>
        <w:t>16 005</w:t>
      </w:r>
      <w:r w:rsidRPr="00965274">
        <w:rPr>
          <w:b/>
        </w:rPr>
        <w:tab/>
        <w:t>mil. Kč</w:t>
      </w:r>
    </w:p>
    <w:p w:rsidR="00192AC5" w:rsidRDefault="00192AC5" w:rsidP="00192AC5">
      <w:pPr>
        <w:pStyle w:val="Odstavecseseznamem"/>
        <w:numPr>
          <w:ilvl w:val="0"/>
          <w:numId w:val="40"/>
        </w:numPr>
        <w:spacing w:after="0"/>
        <w:jc w:val="left"/>
        <w:rPr>
          <w:b/>
        </w:rPr>
      </w:pPr>
      <w:r w:rsidRPr="00965274">
        <w:rPr>
          <w:b/>
        </w:rPr>
        <w:t>Přidaná hodnota</w:t>
      </w:r>
      <w:r w:rsidRPr="00965274">
        <w:rPr>
          <w:b/>
        </w:rPr>
        <w:tab/>
      </w:r>
      <w:r>
        <w:rPr>
          <w:b/>
        </w:rPr>
        <w:tab/>
      </w:r>
      <w:r>
        <w:rPr>
          <w:b/>
        </w:rPr>
        <w:tab/>
      </w:r>
      <w:r>
        <w:rPr>
          <w:b/>
        </w:rPr>
        <w:tab/>
      </w:r>
      <w:r>
        <w:rPr>
          <w:b/>
        </w:rPr>
        <w:tab/>
        <w:t>2,27</w:t>
      </w:r>
      <w:r w:rsidRPr="00965274">
        <w:rPr>
          <w:b/>
        </w:rPr>
        <w:tab/>
      </w:r>
    </w:p>
    <w:p w:rsidR="00192AC5" w:rsidRDefault="00192AC5" w:rsidP="00192AC5">
      <w:pPr>
        <w:pStyle w:val="Odstavecseseznamem"/>
        <w:numPr>
          <w:ilvl w:val="0"/>
          <w:numId w:val="40"/>
        </w:numPr>
        <w:spacing w:after="0"/>
        <w:jc w:val="left"/>
        <w:rPr>
          <w:b/>
        </w:rPr>
      </w:pPr>
      <w:r w:rsidRPr="005623C0">
        <w:rPr>
          <w:b/>
        </w:rPr>
        <w:t>Pákový efekt</w:t>
      </w:r>
      <w:r w:rsidRPr="005623C0">
        <w:rPr>
          <w:b/>
        </w:rPr>
        <w:tab/>
      </w:r>
      <w:r w:rsidRPr="005623C0">
        <w:rPr>
          <w:b/>
        </w:rPr>
        <w:tab/>
      </w:r>
      <w:r w:rsidRPr="005623C0">
        <w:rPr>
          <w:b/>
        </w:rPr>
        <w:tab/>
      </w:r>
      <w:r w:rsidRPr="005623C0">
        <w:rPr>
          <w:b/>
        </w:rPr>
        <w:tab/>
      </w:r>
      <w:r w:rsidRPr="005623C0">
        <w:rPr>
          <w:b/>
        </w:rPr>
        <w:tab/>
      </w:r>
      <w:r w:rsidRPr="005623C0">
        <w:rPr>
          <w:b/>
        </w:rPr>
        <w:tab/>
        <w:t>1,83</w:t>
      </w:r>
      <w:r w:rsidRPr="005623C0">
        <w:rPr>
          <w:b/>
        </w:rPr>
        <w:tab/>
      </w:r>
    </w:p>
    <w:p w:rsidR="00D321A5" w:rsidRDefault="00D321A5" w:rsidP="00BF23ED">
      <w:pPr>
        <w:spacing w:after="0"/>
        <w:ind w:left="720"/>
        <w:jc w:val="left"/>
        <w:rPr>
          <w:b/>
        </w:rPr>
      </w:pPr>
    </w:p>
    <w:p w:rsidR="00CC65C3" w:rsidRDefault="00CC65C3" w:rsidP="00377FA3">
      <w:r w:rsidRPr="00377FA3">
        <w:rPr>
          <w:b/>
        </w:rPr>
        <w:t>Výše uváděné potenciální finanční výsledky a uváděná potenciální přidaná hodnota zapojení finančního nástroje jsou výsledkem posouzení kvantitativních i kvalitativních aspektů.</w:t>
      </w:r>
      <w:r>
        <w:t xml:space="preserve"> Dodavatel při analytické i návrhové části v rámci kvalitativního „očištění“ dat vzal v souladu s doporučením kapitoly 4.1.2 obecné metodiky mj. v potaz následující aspekty:</w:t>
      </w:r>
    </w:p>
    <w:p w:rsidR="00CC65C3" w:rsidRDefault="00765037" w:rsidP="00872452">
      <w:pPr>
        <w:pStyle w:val="Odstavecseseznamem"/>
        <w:numPr>
          <w:ilvl w:val="0"/>
          <w:numId w:val="68"/>
        </w:numPr>
        <w:spacing w:after="0"/>
        <w:jc w:val="left"/>
      </w:pPr>
      <w:r>
        <w:t xml:space="preserve">Bylo ověřeno, </w:t>
      </w:r>
      <w:r w:rsidR="00CC65C3">
        <w:t>že o navrhovaný produkt by byl rámcový zájem, viz závěry dotazníkového šetření</w:t>
      </w:r>
      <w:r>
        <w:t>;</w:t>
      </w:r>
    </w:p>
    <w:p w:rsidR="00765037" w:rsidRDefault="00765037" w:rsidP="00872452">
      <w:pPr>
        <w:pStyle w:val="Odstavecseseznamem"/>
        <w:numPr>
          <w:ilvl w:val="0"/>
          <w:numId w:val="68"/>
        </w:numPr>
        <w:spacing w:after="0"/>
        <w:jc w:val="left"/>
      </w:pPr>
      <w:r>
        <w:t xml:space="preserve">V případě propočtů potenciální poptávky dle minulé zkušenosti s dotačním čerpáním byly závěry kvantitativní analýzy </w:t>
      </w:r>
      <w:r w:rsidR="00CC65C3">
        <w:t>oči</w:t>
      </w:r>
      <w:r>
        <w:t>štěny</w:t>
      </w:r>
      <w:r w:rsidR="00CC65C3">
        <w:t xml:space="preserve"> koeficientem, zohledňující subjektivní názor </w:t>
      </w:r>
      <w:r>
        <w:t xml:space="preserve">dodavatele vycházející ze zkušenosti, </w:t>
      </w:r>
      <w:r w:rsidR="00CC65C3">
        <w:t>že ne všichni</w:t>
      </w:r>
      <w:r>
        <w:t xml:space="preserve"> minulí žadatelé</w:t>
      </w:r>
      <w:r w:rsidR="00CC65C3">
        <w:t xml:space="preserve"> by chtěli/mohli žádat </w:t>
      </w:r>
      <w:r>
        <w:t>v rámci SC 2.5 IROP;</w:t>
      </w:r>
    </w:p>
    <w:p w:rsidR="00377FA3" w:rsidRDefault="00377FA3" w:rsidP="00872452">
      <w:pPr>
        <w:pStyle w:val="Odstavecseseznamem"/>
        <w:numPr>
          <w:ilvl w:val="0"/>
          <w:numId w:val="68"/>
        </w:numPr>
        <w:spacing w:after="0"/>
        <w:jc w:val="left"/>
      </w:pPr>
      <w:r>
        <w:t>V případě propočtu potenciální poptávky dle výsledků dotazníkového šetření dodavatel využil rozmezí korekčního koeficientu, který usiluje o postižení nedostatků kvantitativní stránky šetření;</w:t>
      </w:r>
    </w:p>
    <w:p w:rsidR="00CC65C3" w:rsidRDefault="00765037" w:rsidP="00872452">
      <w:pPr>
        <w:pStyle w:val="Odstavecseseznamem"/>
        <w:numPr>
          <w:ilvl w:val="0"/>
          <w:numId w:val="68"/>
        </w:numPr>
        <w:spacing w:after="0"/>
        <w:jc w:val="left"/>
      </w:pPr>
      <w:r>
        <w:t>Samotný návrh úvěrov</w:t>
      </w:r>
      <w:r w:rsidR="00CC65C3">
        <w:t xml:space="preserve">ého nástroje bere v potaz, že projekty jsou připraveny v různém čase (nejen v prvních letech, kdy se </w:t>
      </w:r>
      <w:r>
        <w:t>zpravidla</w:t>
      </w:r>
      <w:r w:rsidR="00CC65C3">
        <w:t xml:space="preserve"> vyčerpá</w:t>
      </w:r>
      <w:r>
        <w:t xml:space="preserve"> alokace</w:t>
      </w:r>
      <w:r w:rsidR="00377FA3">
        <w:t>)</w:t>
      </w:r>
      <w:r>
        <w:t>, naopak</w:t>
      </w:r>
      <w:r w:rsidR="00CC65C3">
        <w:t xml:space="preserve"> podpor</w:t>
      </w:r>
      <w:r>
        <w:t>u lze díky revolvingovému efektu poskytovat</w:t>
      </w:r>
      <w:r w:rsidR="00CC65C3">
        <w:t xml:space="preserve"> velmi dlouhodobě</w:t>
      </w:r>
      <w:r>
        <w:t xml:space="preserve"> (i za horizontem programového </w:t>
      </w:r>
      <w:r w:rsidR="00377FA3">
        <w:t>období</w:t>
      </w:r>
      <w:r>
        <w:t>);</w:t>
      </w:r>
    </w:p>
    <w:p w:rsidR="00CC65C3" w:rsidRDefault="00765037" w:rsidP="00872452">
      <w:pPr>
        <w:pStyle w:val="Odstavecseseznamem"/>
        <w:numPr>
          <w:ilvl w:val="0"/>
          <w:numId w:val="68"/>
        </w:numPr>
        <w:spacing w:after="0"/>
        <w:jc w:val="left"/>
      </w:pPr>
      <w:r>
        <w:t>V</w:t>
      </w:r>
      <w:r w:rsidR="00CC65C3">
        <w:t xml:space="preserve"> návrhu implementa</w:t>
      </w:r>
      <w:r>
        <w:t>ční</w:t>
      </w:r>
      <w:r w:rsidR="00CC65C3">
        <w:t xml:space="preserve"> i investiční strategie</w:t>
      </w:r>
      <w:r>
        <w:t xml:space="preserve"> jsou</w:t>
      </w:r>
      <w:r w:rsidR="00CC65C3">
        <w:t xml:space="preserve"> jmenovány konkrétní doporučení</w:t>
      </w:r>
      <w:r>
        <w:t>,</w:t>
      </w:r>
      <w:r w:rsidR="00CC65C3">
        <w:t xml:space="preserve"> co se </w:t>
      </w:r>
      <w:r>
        <w:t xml:space="preserve">vhodných doplňujících </w:t>
      </w:r>
      <w:r w:rsidR="00CC65C3">
        <w:t>"soft" kroků týče, aby byla zajištěna aktivizace poptávky (využití zkušené a známé SFRB, zavedení informační kampaně v předstihu, zvážení sdílených struktur s dalšími ŘO jako možnost vyšší transparentnosti druhů nabízených podpor, hledání synergií s národními programy)</w:t>
      </w:r>
      <w:r>
        <w:t>;</w:t>
      </w:r>
    </w:p>
    <w:p w:rsidR="00CC65C3" w:rsidRDefault="00765037" w:rsidP="00872452">
      <w:pPr>
        <w:pStyle w:val="Odstavecseseznamem"/>
        <w:numPr>
          <w:ilvl w:val="0"/>
          <w:numId w:val="68"/>
        </w:numPr>
        <w:spacing w:after="0"/>
        <w:jc w:val="left"/>
      </w:pPr>
      <w:r>
        <w:t>V</w:t>
      </w:r>
      <w:r w:rsidR="00CC65C3">
        <w:t xml:space="preserve"> kapitole </w:t>
      </w:r>
      <w:r>
        <w:t>věnované</w:t>
      </w:r>
      <w:r w:rsidR="00CC65C3">
        <w:t xml:space="preserve"> indikátorům </w:t>
      </w:r>
      <w:r>
        <w:t xml:space="preserve">dodavatel jmenuje </w:t>
      </w:r>
      <w:r w:rsidR="00CC65C3">
        <w:t xml:space="preserve">sadu kvalitativních kritérií, které </w:t>
      </w:r>
      <w:r>
        <w:t>doporučuje při přepočtu cílových hodnot v</w:t>
      </w:r>
      <w:r w:rsidR="00CC65C3">
        <w:t xml:space="preserve">zít </w:t>
      </w:r>
      <w:r>
        <w:t>dle zkušeností gestora v potaz;</w:t>
      </w:r>
    </w:p>
    <w:p w:rsidR="00CC65C3" w:rsidRDefault="00765037" w:rsidP="00872452">
      <w:pPr>
        <w:pStyle w:val="Odstavecseseznamem"/>
        <w:numPr>
          <w:ilvl w:val="0"/>
          <w:numId w:val="68"/>
        </w:numPr>
        <w:spacing w:after="0"/>
        <w:jc w:val="left"/>
      </w:pPr>
      <w:r>
        <w:t>N</w:t>
      </w:r>
      <w:r w:rsidR="00CC65C3">
        <w:t xml:space="preserve">ávrh nástroje byl </w:t>
      </w:r>
      <w:r w:rsidR="00377FA3">
        <w:t>zpracován</w:t>
      </w:r>
      <w:r w:rsidR="00CC65C3">
        <w:t xml:space="preserve"> variant</w:t>
      </w:r>
      <w:r w:rsidR="00377FA3">
        <w:t>ně</w:t>
      </w:r>
      <w:r w:rsidR="00CC65C3">
        <w:t>, aby byla zajištěna variabilita v případě nečekaných problémů v další fázi přípravy nástroje, resp. aby ŘO měl více flexibility při rozhodování</w:t>
      </w:r>
      <w:r>
        <w:t>.</w:t>
      </w:r>
    </w:p>
    <w:p w:rsidR="00CC65C3" w:rsidRDefault="00CC65C3" w:rsidP="00BF23ED">
      <w:pPr>
        <w:spacing w:after="0"/>
        <w:jc w:val="left"/>
      </w:pPr>
    </w:p>
    <w:p w:rsidR="00C247EC" w:rsidRDefault="00D321A5" w:rsidP="00AE1942">
      <w:r w:rsidRPr="00BF23ED">
        <w:t>Ve snaze zmapovat potenciál zájmu vhodných spolufinancujících subjektů o zapojení se do navrhovaných implementačních struktur finančního nástroje dodavatel uskutečnil jednání se zástupci hlavních českých bankovních domů, sdružených v rámci České bankovní asociace.</w:t>
      </w:r>
      <w:r w:rsidR="00C247EC">
        <w:t xml:space="preserve"> </w:t>
      </w:r>
      <w:r w:rsidR="00272881">
        <w:t>H</w:t>
      </w:r>
      <w:r w:rsidR="00C247EC">
        <w:t>lavní závěry lze shrnout následovně:</w:t>
      </w:r>
    </w:p>
    <w:p w:rsidR="00C6084C" w:rsidRDefault="00C6084C" w:rsidP="00C6084C">
      <w:pPr>
        <w:pStyle w:val="Odstavecseseznamem"/>
        <w:numPr>
          <w:ilvl w:val="0"/>
          <w:numId w:val="61"/>
        </w:numPr>
        <w:spacing w:after="0"/>
      </w:pPr>
      <w:r>
        <w:t>Klíčové je nastavit systém transparentně a stabilně, podmínky by se neměly v čase měnit.</w:t>
      </w:r>
    </w:p>
    <w:p w:rsidR="00C6084C" w:rsidRDefault="00C6084C" w:rsidP="00C6084C">
      <w:pPr>
        <w:pStyle w:val="Odstavecseseznamem"/>
        <w:numPr>
          <w:ilvl w:val="0"/>
          <w:numId w:val="61"/>
        </w:numPr>
        <w:spacing w:after="0"/>
      </w:pPr>
      <w:r>
        <w:t>Sledovaná oblast bytových domů nevykazuje významné tržní selhání, projekty jsou realizovány i bez veřejné intervence = úvěrový finanční nástroj může akcelerovat tempo investiční aktivity.</w:t>
      </w:r>
    </w:p>
    <w:p w:rsidR="00C6084C" w:rsidRDefault="00C6084C" w:rsidP="00C6084C">
      <w:pPr>
        <w:pStyle w:val="Odstavecseseznamem"/>
        <w:numPr>
          <w:ilvl w:val="0"/>
          <w:numId w:val="61"/>
        </w:numPr>
        <w:spacing w:after="0"/>
      </w:pPr>
      <w:r>
        <w:t>Je důležité nastavit nástroj tak, aby rozdíl proti tržnímu úroku byl alespoň 1,0 – 1,5 % p.a.</w:t>
      </w:r>
      <w:r w:rsidR="008712A0">
        <w:t>(nutné vzít do úvahy i dlouhou dobu fixace tohoto úroku)</w:t>
      </w:r>
      <w:r w:rsidR="00AE1942">
        <w:t>.</w:t>
      </w:r>
    </w:p>
    <w:p w:rsidR="00C6084C" w:rsidRDefault="00C6084C" w:rsidP="00C6084C">
      <w:pPr>
        <w:pStyle w:val="Odstavecseseznamem"/>
        <w:numPr>
          <w:ilvl w:val="0"/>
          <w:numId w:val="61"/>
        </w:numPr>
        <w:spacing w:after="0"/>
      </w:pPr>
      <w:r>
        <w:t xml:space="preserve">Návrh rámcové spolupráce s více bankami je vhodné řešení, celou alokaci bude možné rozdělit mezi všechny banky, které budou schopny splnit vymezená kritéria spolupráce. Je žádoucí, aby byly nastaveny pravidla hodnocení projektů tak, aby bylo možné dosáhnout porovnatelnosti při stanovení výše veřejné podpory. </w:t>
      </w:r>
    </w:p>
    <w:p w:rsidR="00C6084C" w:rsidRDefault="00C6084C" w:rsidP="00C6084C">
      <w:pPr>
        <w:pStyle w:val="Odstavecseseznamem"/>
        <w:numPr>
          <w:ilvl w:val="0"/>
          <w:numId w:val="61"/>
        </w:numPr>
        <w:spacing w:after="0"/>
      </w:pPr>
      <w:r>
        <w:rPr>
          <w:b/>
        </w:rPr>
        <w:t>Důležité je nastavení uvolňování prostředků v tranších</w:t>
      </w:r>
      <w:r>
        <w:t>, tedy aby se nevyjednávalo o podmínkách na každém projektu (podíl zdrojů IROP a banka, úroková míra), ale aby se dohodnuly jednotně za celý balík prostředků, který má daná komerční banka rozdělit.</w:t>
      </w:r>
    </w:p>
    <w:p w:rsidR="00C6084C" w:rsidRDefault="00C6084C" w:rsidP="00C6084C">
      <w:pPr>
        <w:pStyle w:val="Odstavecseseznamem"/>
        <w:numPr>
          <w:ilvl w:val="0"/>
          <w:numId w:val="61"/>
        </w:numPr>
        <w:spacing w:after="0"/>
      </w:pPr>
      <w:r>
        <w:t xml:space="preserve">Technika uvolňování tranší by měla být variabilní a měla by umožňovat nejenom „nalévání“ prostředků do bank, kdy účetně a daňově z pohledu banky je obtížné definovat, o jaké prostředky se jedná a jak je zaúčtovat, ale též by to mohlo být řešeno např. formou (bezúročné) „půjčky“, což bylo diskutováno již v případě tendru SFRB pro program JESSICA, podporovaný v období </w:t>
      </w:r>
      <w:r w:rsidR="00AE1942">
        <w:br/>
      </w:r>
      <w:r>
        <w:t>2007-2013 z IOP, avšak nebylo vyslyšeno.</w:t>
      </w:r>
    </w:p>
    <w:p w:rsidR="00C6084C" w:rsidRDefault="00C6084C" w:rsidP="00872452">
      <w:pPr>
        <w:pStyle w:val="Odstavecseseznamem"/>
        <w:numPr>
          <w:ilvl w:val="0"/>
          <w:numId w:val="61"/>
        </w:numPr>
        <w:spacing w:after="0"/>
      </w:pPr>
      <w:r>
        <w:t>Není vhodné využití režimu de minimis (off-the-shelf), neboť bytová družstva již mají většinou limit pro de minimis vyčerpaný.</w:t>
      </w:r>
      <w:r w:rsidR="008020D8">
        <w:t xml:space="preserve"> </w:t>
      </w:r>
      <w:r w:rsidR="00AE1942">
        <w:t>Uvedené</w:t>
      </w:r>
      <w:r w:rsidR="008020D8">
        <w:t xml:space="preserve"> ale nevylučuje možnost mít variantní formu podpory a umožnit i menším subjektům aby čerpaly pomoc dle schématu de minimis. </w:t>
      </w:r>
    </w:p>
    <w:p w:rsidR="00872452" w:rsidRDefault="00872452">
      <w:pPr>
        <w:spacing w:after="0"/>
        <w:jc w:val="left"/>
      </w:pPr>
      <w:r>
        <w:br w:type="page"/>
      </w:r>
    </w:p>
    <w:p w:rsidR="00DA4E52" w:rsidRDefault="00DA4E52" w:rsidP="00DA4E52">
      <w:pPr>
        <w:pStyle w:val="Nadpis2"/>
      </w:pPr>
      <w:bookmarkStart w:id="78" w:name="_Toc402012686"/>
      <w:bookmarkStart w:id="79" w:name="_Toc409797489"/>
      <w:bookmarkStart w:id="80" w:name="_Toc418767145"/>
      <w:r w:rsidRPr="00EF526D">
        <w:t>Zkušenosti s finančními nástroji v</w:t>
      </w:r>
      <w:r w:rsidR="003151F2">
        <w:t> </w:t>
      </w:r>
      <w:bookmarkEnd w:id="78"/>
      <w:bookmarkEnd w:id="79"/>
      <w:r w:rsidR="003151F2">
        <w:t>ČR a vybraných členských státech EU</w:t>
      </w:r>
      <w:bookmarkEnd w:id="80"/>
    </w:p>
    <w:p w:rsidR="00606034" w:rsidRDefault="00606034" w:rsidP="00606034">
      <w:pPr>
        <w:pStyle w:val="Nadpis3"/>
      </w:pPr>
      <w:bookmarkStart w:id="81" w:name="_Toc414373301"/>
      <w:bookmarkStart w:id="82" w:name="_Toc418767146"/>
      <w:r>
        <w:t>Přenesení</w:t>
      </w:r>
      <w:r w:rsidRPr="001E2AAA">
        <w:t xml:space="preserve"> zkušeností při využívání </w:t>
      </w:r>
      <w:r>
        <w:t xml:space="preserve">podobných již realizovaných nástrojů do návrhu inovativních finančních nástrojů v </w:t>
      </w:r>
      <w:bookmarkEnd w:id="81"/>
      <w:r>
        <w:t>IROP</w:t>
      </w:r>
      <w:bookmarkEnd w:id="82"/>
    </w:p>
    <w:p w:rsidR="00DA4E52" w:rsidRDefault="001333E5" w:rsidP="00DA4E52">
      <w:r>
        <w:t xml:space="preserve">Dodavatel využil získaných informací z již aplikovaných finančních nástrojů v zahraničí především k identifikaci vhodných směrů analýz o využití nástrojů v rámci analytické fáze, dále pak v rámci návrhové části ex-ante analýzy – s důrazem na návrh investiční strategie a implementačního uspořádání. </w:t>
      </w:r>
      <w:r w:rsidR="00DA4E52" w:rsidRPr="00EF526D">
        <w:t>Cílem této kapitoly je popis vybran</w:t>
      </w:r>
      <w:r w:rsidR="00DA4E52">
        <w:t xml:space="preserve">ých finančních nástrojů/fondů se </w:t>
      </w:r>
      <w:r w:rsidR="00DA4E52" w:rsidRPr="00EF526D">
        <w:t>zaměřením</w:t>
      </w:r>
      <w:r w:rsidR="00DA4E52">
        <w:t xml:space="preserve"> na podporu projektů energetických úspor a projektů zaměřených na budování kapacit pro sociální bydlení</w:t>
      </w:r>
      <w:r w:rsidR="00DA4E52" w:rsidRPr="00EF526D">
        <w:t xml:space="preserve">. Do popisu jsou cíleně zahrnuty zejména fondy s obdobnou </w:t>
      </w:r>
      <w:r w:rsidR="00DA4E52">
        <w:t xml:space="preserve">charakteristikou a velikostí, u kterých lze předpokládat, že obdobné vzniknou i v prostředí ČR. </w:t>
      </w:r>
    </w:p>
    <w:p w:rsidR="00DA4E52" w:rsidRDefault="00DA4E52" w:rsidP="00DA4E52">
      <w:r>
        <w:t>Dalším kritériem výběru byla regionální působnost/blízkost fondů. Úvodním posouzením tak prošla také Slovenská Republika, Maďarsko a Polsko. Pro potřeby srovnání v oblasti zkušeností s podporou environmentálních opatření byl podrobněji rozpracován polský model a to zejména kvůli aktivnímu využívání možnosti umoření části jistiny úvěru – tedy kombinace dotace a úvěrového nástroje a možnému použití tohoto modelu v prostředí ČR. Obdobně pro posouzení vhodnosti podpory pro sociální bydlení byla blíže popsána varianta řešení této problematiky ve Francii.</w:t>
      </w:r>
      <w:r w:rsidR="00483256">
        <w:t xml:space="preserve"> V úplném závěru této kapitoly je uvedena zkušenost a ponaučení, které dodavatel považuje za důležité s ohledem na využití nástroje JESSICA v rámci IOP 2007-2013.</w:t>
      </w:r>
    </w:p>
    <w:p w:rsidR="00DA4E52" w:rsidRDefault="00DA4E52" w:rsidP="00DA4E52">
      <w:r>
        <w:t xml:space="preserve">Maďarsko bylo v minulosti hodně aktivní ve využívání finančních prostředků (PHARE, EBRD), nicméně po jistém „boomu“ využívání i návratné formy investování v letech 2003 – 2006 došlo ke zpomalení vývoje v této oblasti. Budapešťská kancelář Deloitte </w:t>
      </w:r>
      <w:r w:rsidR="00935256">
        <w:t xml:space="preserve">realizuje </w:t>
      </w:r>
      <w:r>
        <w:t xml:space="preserve">audit využití IFN v Maďarsku za programové období 2007 – 2013, </w:t>
      </w:r>
      <w:r w:rsidR="00935256">
        <w:t>dodavatel zkušenosti získané od kolegů z Maďarska zohlednil v návrhu nástroje.</w:t>
      </w:r>
      <w:r>
        <w:t xml:space="preserve"> </w:t>
      </w:r>
    </w:p>
    <w:p w:rsidR="00DA4E52" w:rsidRDefault="00DA4E52" w:rsidP="00DA4E52">
      <w:r>
        <w:t>V případě Německé spolkové republiky byla do srovnání zahrnuta K</w:t>
      </w:r>
      <w:r w:rsidR="003152C7">
        <w:t>f</w:t>
      </w:r>
      <w:r>
        <w:t>W jakožto regionální lídr v poskytování návratných forem podpo</w:t>
      </w:r>
      <w:r w:rsidR="003152C7">
        <w:t>ry v environmentální oblasti. Kf</w:t>
      </w:r>
      <w:r>
        <w:t xml:space="preserve">W (obdobně jako v Polsku) používá tzv. „bonus“ ve formě odpuštění splátek – reálně snížení jistiny úvěru.   </w:t>
      </w:r>
    </w:p>
    <w:p w:rsidR="001333E5" w:rsidRDefault="001333E5" w:rsidP="001333E5">
      <w:r>
        <w:t>Zkušenosti s existujícími polskými a německými finančními nástroji byly využity především při řešení vhodného implementačního uspořádání finančního nástroje, kdy byly zohledněny příklady dobré praxe i zjištěných mezer a nedostatků při motivaci konečných příjemců, tzn. aktivizaci zásobníku projektů, které jsou absorpční kapacitou programu. Na základě analýzy zkušeností v Polsku a Německu bylo dodavatelem navrženo využít podpory formou kombinace finančního nástroje a dotace, která by měla zabezpečit, aby důsledky opuštění dotačního schématu neměly zásadní dopad na pokles absorpčních kapacit. Obdobně bylo těchto zkušeností reflektováno při přípravě tzv. syndikovaného úvěru, který spojením ESIF prostředků a zdrojů bankovních domů bez přímého zapojení konečného žadatele cílí na překlenutí problému s nižší mírou zájmu o finanční nástroje z řad konečných příjemců, než jak je tomu u nabídky klasického dotačního financování.</w:t>
      </w:r>
    </w:p>
    <w:p w:rsidR="001333E5" w:rsidRPr="00331A9A" w:rsidRDefault="001333E5" w:rsidP="001333E5">
      <w:r>
        <w:t>Zkušeností ze zahraničí bylo dále reflektováno při zvažování konkrétních parametrů navrhovaných nástrojů pro IROP, jako je doba splatnosti úvěru či limit úrokové míry, případně možnosti, resp. výhody využití sekuritizace. Klíčová zjištění a ponaučení o fungování již existujících zahraničních forem podpory finančními nástroji dále referují především další podkapitoly.</w:t>
      </w:r>
    </w:p>
    <w:p w:rsidR="00D1228F" w:rsidRDefault="00DA4E52" w:rsidP="00DA4E52">
      <w:pPr>
        <w:rPr>
          <w:b/>
        </w:rPr>
      </w:pPr>
      <w:r w:rsidRPr="00E7146A">
        <w:rPr>
          <w:b/>
        </w:rPr>
        <w:t>Obecně lze zhodnotit, že v zahraničí (čím vyspělejší v používání IF</w:t>
      </w:r>
      <w:r>
        <w:rPr>
          <w:b/>
        </w:rPr>
        <w:t>N</w:t>
      </w:r>
      <w:r w:rsidRPr="00E7146A">
        <w:rPr>
          <w:b/>
        </w:rPr>
        <w:t xml:space="preserve">, tím víc) se mimo úvěrových finančních nástrojů využívají </w:t>
      </w:r>
      <w:r>
        <w:rPr>
          <w:b/>
        </w:rPr>
        <w:t>kapitálové</w:t>
      </w:r>
      <w:r w:rsidRPr="00E7146A">
        <w:rPr>
          <w:b/>
        </w:rPr>
        <w:t xml:space="preserve"> finanční nástroje a to i v případě kombinace národních, evropských a municipálních zdrojů. Nejčastěji uvažovanou a pro investory zajímavou dobou návratnosti finančních prostředků je horizont 10 let. V oblasti průměrné délky fungování fondu (do umožnění exitu investorům) je toto období 5 – 7 let. Častým jevem je také to, že po „ukončení“ fondu se tento fond plynule transformuje do fondu následnického – zejména britský model. </w:t>
      </w:r>
      <w:r>
        <w:rPr>
          <w:b/>
        </w:rPr>
        <w:t xml:space="preserve">Nejčastější úrokovou sazbou u finančních nástrojů ve formě zvýhodněných úvěrů je rozmezí </w:t>
      </w:r>
      <w:r>
        <w:rPr>
          <w:b/>
        </w:rPr>
        <w:br/>
        <w:t>1 – 3,5</w:t>
      </w:r>
      <w:r w:rsidRPr="00747486">
        <w:rPr>
          <w:b/>
        </w:rPr>
        <w:t xml:space="preserve">%. </w:t>
      </w:r>
    </w:p>
    <w:p w:rsidR="00DA4E52" w:rsidRDefault="00872452" w:rsidP="00DA4E52">
      <w:pPr>
        <w:pStyle w:val="Nadpis3"/>
      </w:pPr>
      <w:bookmarkStart w:id="83" w:name="_Toc409797490"/>
      <w:bookmarkStart w:id="84" w:name="_Toc418767147"/>
      <w:r>
        <w:t>Zkušenosti v oblasti</w:t>
      </w:r>
      <w:r w:rsidR="008020D8">
        <w:t xml:space="preserve"> s</w:t>
      </w:r>
      <w:r w:rsidR="00DA4E52">
        <w:t>ociální</w:t>
      </w:r>
      <w:r w:rsidR="008020D8">
        <w:t>ho</w:t>
      </w:r>
      <w:r w:rsidR="00DA4E52">
        <w:t xml:space="preserve"> bydlení</w:t>
      </w:r>
      <w:bookmarkEnd w:id="83"/>
      <w:bookmarkEnd w:id="84"/>
    </w:p>
    <w:p w:rsidR="00DA4E52" w:rsidRPr="00E15207" w:rsidRDefault="00DA4E52" w:rsidP="00DA4E52">
      <w:pPr>
        <w:rPr>
          <w:rFonts w:cs="Arial"/>
        </w:rPr>
      </w:pPr>
      <w:r w:rsidRPr="00E15207">
        <w:t xml:space="preserve">V následující kapitole popisujeme úspěšnou aplikaci nástrojů podpory sociálního bydlení v zemích EU. Vzhledem ke koncensu vládních i nevládních organizací ohledně potřeby zajištění dlouhodobého nájemního bydlení nezmiňujeme koncepty na bázi azylových domů a ubytoven, o jejichž užitečnosti lze zejména ve střednědobém a delším období důvodně pochybovat. Uvádíme koncepty podpory nabídky, tedy bytových kapacit, nikoli možnosti stimulace poptávky po nich (kupní síly nájemců), pro kterou je z principu použití finančních nástrojů nevhodné. </w:t>
      </w:r>
    </w:p>
    <w:p w:rsidR="00DA4E52" w:rsidRPr="00E15207" w:rsidRDefault="00DA4E52" w:rsidP="00DA4E52">
      <w:pPr>
        <w:rPr>
          <w:rFonts w:cs="Arial"/>
        </w:rPr>
      </w:pPr>
      <w:r w:rsidRPr="00E15207">
        <w:t xml:space="preserve">Celoevropsky lze pozorovat snahu o spolupráci veřejného, soukromého a nevládního sektoru, s jasnou tendencí omezovat roli veřejné správy pouze na finanční stránku věci, čímž se celý proces oprošťuje od byrokracie, sbírání politických bodů a otevřeného klientelismu. Roste význam nevládních organizací (např. ve VB nejsou byty v majetku obcí, ale pouze NGO, které jsou jako jediné oprávněné žádat o zvýhodněné úvěry). </w:t>
      </w:r>
    </w:p>
    <w:p w:rsidR="00DA4E52" w:rsidRPr="00E15207" w:rsidRDefault="00DA4E52" w:rsidP="00DA4E52">
      <w:pPr>
        <w:rPr>
          <w:rFonts w:cs="Arial"/>
        </w:rPr>
      </w:pPr>
      <w:r w:rsidRPr="00E15207">
        <w:t>Prioritní skupinu při při</w:t>
      </w:r>
      <w:r w:rsidRPr="00E15207">
        <w:softHyphen/>
        <w:t>dělování sociálních bytů tvoří domácnosti s nízkými příjmy; zejména pak bez</w:t>
      </w:r>
      <w:r>
        <w:t>domovci, mladé rodiny s dětmi</w:t>
      </w:r>
      <w:r w:rsidRPr="00E15207">
        <w:t xml:space="preserve">, domácnosti s handicapovanými členy, domácnosti imigrantů a </w:t>
      </w:r>
      <w:r>
        <w:t>seniorů</w:t>
      </w:r>
      <w:r w:rsidRPr="00E15207">
        <w:t>, tedy lidé kompetentní k samostatnému bydlení, kteří ale z různých důvodů jsou pro pronajímatele neatraktivní.</w:t>
      </w:r>
    </w:p>
    <w:p w:rsidR="00DA4E52" w:rsidRPr="00E15207" w:rsidRDefault="00DA4E52" w:rsidP="00DA4E52">
      <w:r w:rsidRPr="00E15207">
        <w:t xml:space="preserve">Je kladen důraz na integraci sociálního bydlení do komplexního rámce dlouhodobé sociální pomoci. Agentura s klientem dlouhodobě spolupracuje a pomáhá mu řešit administrativu a případné problémy s bydlením spojené. Používané mechanismy můžeme rozdělit </w:t>
      </w:r>
      <w:r>
        <w:t>po</w:t>
      </w:r>
      <w:r w:rsidRPr="00E15207">
        <w:t>dle</w:t>
      </w:r>
      <w:r>
        <w:t xml:space="preserve"> vlastníka nemovitosti</w:t>
      </w:r>
      <w:r w:rsidRPr="00E15207">
        <w:t>.</w:t>
      </w:r>
    </w:p>
    <w:p w:rsidR="00DA4E52" w:rsidRPr="00E15207" w:rsidRDefault="00DA4E52" w:rsidP="00DA4E52">
      <w:pPr>
        <w:pStyle w:val="Default"/>
        <w:rPr>
          <w:rFonts w:ascii="Arial" w:hAnsi="Arial" w:cs="Arial"/>
        </w:rPr>
      </w:pPr>
    </w:p>
    <w:tbl>
      <w:tblPr>
        <w:tblStyle w:val="Deloittetable1"/>
        <w:tblW w:w="8796" w:type="dxa"/>
        <w:tblLook w:val="04A0" w:firstRow="1" w:lastRow="0" w:firstColumn="1" w:lastColumn="0" w:noHBand="0" w:noVBand="1"/>
      </w:tblPr>
      <w:tblGrid>
        <w:gridCol w:w="1394"/>
        <w:gridCol w:w="1186"/>
        <w:gridCol w:w="2669"/>
        <w:gridCol w:w="1725"/>
        <w:gridCol w:w="1822"/>
      </w:tblGrid>
      <w:tr w:rsidR="00DA4E52" w:rsidRPr="00E15207" w:rsidTr="00A16727">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94" w:type="dxa"/>
            <w:hideMark/>
          </w:tcPr>
          <w:p w:rsidR="00DA4E52" w:rsidRPr="00331F00" w:rsidRDefault="00DA4E52" w:rsidP="00A16727">
            <w:pPr>
              <w:keepNext/>
              <w:spacing w:after="0"/>
              <w:jc w:val="center"/>
              <w:rPr>
                <w:rFonts w:cs="Arial"/>
                <w:b w:val="0"/>
                <w:bCs/>
                <w:color w:val="FFFFFF" w:themeColor="background1"/>
                <w:sz w:val="18"/>
                <w:lang w:eastAsia="cs-CZ"/>
              </w:rPr>
            </w:pPr>
            <w:r w:rsidRPr="00331F00">
              <w:rPr>
                <w:rFonts w:cs="Arial"/>
                <w:b w:val="0"/>
                <w:bCs/>
                <w:color w:val="FFFFFF" w:themeColor="background1"/>
                <w:sz w:val="18"/>
                <w:lang w:eastAsia="cs-CZ"/>
              </w:rPr>
              <w:t>Model vlastnictví</w:t>
            </w:r>
          </w:p>
        </w:tc>
        <w:tc>
          <w:tcPr>
            <w:tcW w:w="1186" w:type="dxa"/>
            <w:hideMark/>
          </w:tcPr>
          <w:p w:rsidR="00DA4E52" w:rsidRPr="00331F00" w:rsidRDefault="00DA4E52" w:rsidP="00A16727">
            <w:pPr>
              <w:keepNext/>
              <w:spacing w:after="0"/>
              <w:jc w:val="center"/>
              <w:cnfStyle w:val="100000000000" w:firstRow="1" w:lastRow="0" w:firstColumn="0" w:lastColumn="0" w:oddVBand="0" w:evenVBand="0" w:oddHBand="0" w:evenHBand="0" w:firstRowFirstColumn="0" w:firstRowLastColumn="0" w:lastRowFirstColumn="0" w:lastRowLastColumn="0"/>
              <w:rPr>
                <w:rFonts w:cs="Arial"/>
                <w:b w:val="0"/>
                <w:bCs/>
                <w:color w:val="FFFFFF" w:themeColor="background1"/>
                <w:sz w:val="18"/>
                <w:lang w:eastAsia="cs-CZ"/>
              </w:rPr>
            </w:pPr>
            <w:r w:rsidRPr="00331F00">
              <w:rPr>
                <w:rFonts w:cs="Arial"/>
                <w:b w:val="0"/>
                <w:bCs/>
                <w:color w:val="FFFFFF" w:themeColor="background1"/>
                <w:sz w:val="18"/>
                <w:lang w:eastAsia="cs-CZ"/>
              </w:rPr>
              <w:t>Účast soukromého sektoru</w:t>
            </w:r>
          </w:p>
        </w:tc>
        <w:tc>
          <w:tcPr>
            <w:tcW w:w="2669" w:type="dxa"/>
            <w:hideMark/>
          </w:tcPr>
          <w:p w:rsidR="00DA4E52" w:rsidRPr="00331F00" w:rsidRDefault="00DA4E52" w:rsidP="00A16727">
            <w:pPr>
              <w:keepNext/>
              <w:spacing w:after="0"/>
              <w:jc w:val="center"/>
              <w:cnfStyle w:val="100000000000" w:firstRow="1" w:lastRow="0" w:firstColumn="0" w:lastColumn="0" w:oddVBand="0" w:evenVBand="0" w:oddHBand="0" w:evenHBand="0" w:firstRowFirstColumn="0" w:firstRowLastColumn="0" w:lastRowFirstColumn="0" w:lastRowLastColumn="0"/>
              <w:rPr>
                <w:rFonts w:cs="Arial"/>
                <w:b w:val="0"/>
                <w:bCs/>
                <w:color w:val="FFFFFF" w:themeColor="background1"/>
                <w:sz w:val="18"/>
                <w:lang w:eastAsia="cs-CZ"/>
              </w:rPr>
            </w:pPr>
            <w:r w:rsidRPr="00331F00">
              <w:rPr>
                <w:rFonts w:cs="Arial"/>
                <w:b w:val="0"/>
                <w:bCs/>
                <w:color w:val="FFFFFF" w:themeColor="background1"/>
                <w:sz w:val="18"/>
                <w:lang w:eastAsia="cs-CZ"/>
              </w:rPr>
              <w:t>Činnosti agentury</w:t>
            </w:r>
          </w:p>
        </w:tc>
        <w:tc>
          <w:tcPr>
            <w:tcW w:w="1725" w:type="dxa"/>
            <w:hideMark/>
          </w:tcPr>
          <w:p w:rsidR="00DA4E52" w:rsidRPr="00331F00" w:rsidRDefault="00DA4E52" w:rsidP="00A16727">
            <w:pPr>
              <w:keepNext/>
              <w:spacing w:after="0"/>
              <w:jc w:val="center"/>
              <w:cnfStyle w:val="100000000000" w:firstRow="1" w:lastRow="0" w:firstColumn="0" w:lastColumn="0" w:oddVBand="0" w:evenVBand="0" w:oddHBand="0" w:evenHBand="0" w:firstRowFirstColumn="0" w:firstRowLastColumn="0" w:lastRowFirstColumn="0" w:lastRowLastColumn="0"/>
              <w:rPr>
                <w:rFonts w:cs="Arial"/>
                <w:b w:val="0"/>
                <w:bCs/>
                <w:color w:val="FFFFFF" w:themeColor="background1"/>
                <w:sz w:val="18"/>
                <w:lang w:eastAsia="cs-CZ"/>
              </w:rPr>
            </w:pPr>
            <w:r w:rsidRPr="00331F00">
              <w:rPr>
                <w:rFonts w:cs="Arial"/>
                <w:b w:val="0"/>
                <w:bCs/>
                <w:color w:val="FFFFFF" w:themeColor="background1"/>
                <w:sz w:val="18"/>
                <w:lang w:eastAsia="cs-CZ"/>
              </w:rPr>
              <w:t>Benefit soukromého sektoru</w:t>
            </w:r>
          </w:p>
        </w:tc>
        <w:tc>
          <w:tcPr>
            <w:tcW w:w="1822" w:type="dxa"/>
            <w:hideMark/>
          </w:tcPr>
          <w:p w:rsidR="00DA4E52" w:rsidRPr="00331F00" w:rsidRDefault="00DA4E52" w:rsidP="00A16727">
            <w:pPr>
              <w:keepNext/>
              <w:spacing w:after="0"/>
              <w:jc w:val="center"/>
              <w:cnfStyle w:val="100000000000" w:firstRow="1" w:lastRow="0" w:firstColumn="0" w:lastColumn="0" w:oddVBand="0" w:evenVBand="0" w:oddHBand="0" w:evenHBand="0" w:firstRowFirstColumn="0" w:firstRowLastColumn="0" w:lastRowFirstColumn="0" w:lastRowLastColumn="0"/>
              <w:rPr>
                <w:rFonts w:cs="Arial"/>
                <w:b w:val="0"/>
                <w:bCs/>
                <w:color w:val="FFFFFF" w:themeColor="background1"/>
                <w:sz w:val="18"/>
                <w:lang w:eastAsia="cs-CZ"/>
              </w:rPr>
            </w:pPr>
            <w:r w:rsidRPr="00331F00">
              <w:rPr>
                <w:rFonts w:cs="Arial"/>
                <w:b w:val="0"/>
                <w:bCs/>
                <w:color w:val="FFFFFF" w:themeColor="background1"/>
                <w:sz w:val="18"/>
                <w:lang w:eastAsia="cs-CZ"/>
              </w:rPr>
              <w:t>Financování</w:t>
            </w:r>
          </w:p>
        </w:tc>
      </w:tr>
      <w:tr w:rsidR="00DA4E52" w:rsidRPr="00E15207" w:rsidTr="00A16727">
        <w:trPr>
          <w:trHeight w:val="1213"/>
        </w:trPr>
        <w:tc>
          <w:tcPr>
            <w:cnfStyle w:val="001000000000" w:firstRow="0" w:lastRow="0" w:firstColumn="1" w:lastColumn="0" w:oddVBand="0" w:evenVBand="0" w:oddHBand="0" w:evenHBand="0" w:firstRowFirstColumn="0" w:firstRowLastColumn="0" w:lastRowFirstColumn="0" w:lastRowLastColumn="0"/>
            <w:tcW w:w="1394" w:type="dxa"/>
            <w:hideMark/>
          </w:tcPr>
          <w:p w:rsidR="00DA4E52" w:rsidRPr="00E15207" w:rsidRDefault="00DA4E52" w:rsidP="00A16727">
            <w:pPr>
              <w:keepNext/>
              <w:spacing w:after="0"/>
              <w:jc w:val="center"/>
              <w:rPr>
                <w:rFonts w:cs="Arial"/>
                <w:color w:val="000000"/>
                <w:sz w:val="18"/>
                <w:lang w:eastAsia="cs-CZ"/>
              </w:rPr>
            </w:pPr>
            <w:r>
              <w:rPr>
                <w:rFonts w:cs="Arial"/>
                <w:color w:val="000000"/>
                <w:sz w:val="18"/>
                <w:lang w:eastAsia="cs-CZ"/>
              </w:rPr>
              <w:t>Veřejný sektor</w:t>
            </w:r>
          </w:p>
        </w:tc>
        <w:tc>
          <w:tcPr>
            <w:tcW w:w="1186"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NE</w:t>
            </w:r>
          </w:p>
        </w:tc>
        <w:tc>
          <w:tcPr>
            <w:tcW w:w="2669"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Výstavba, správa a údržba bytového fondu, přidělování bytů nájemníkům, další sociální služby</w:t>
            </w:r>
          </w:p>
        </w:tc>
        <w:tc>
          <w:tcPr>
            <w:tcW w:w="1725"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NE</w:t>
            </w:r>
          </w:p>
        </w:tc>
        <w:tc>
          <w:tcPr>
            <w:tcW w:w="1822"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Veřejné - zvýhodněný úvěr na pořízení, dotace na rekonstrukci, provoz agentury, příspěvky na bydlení</w:t>
            </w:r>
          </w:p>
        </w:tc>
      </w:tr>
      <w:tr w:rsidR="00DA4E52" w:rsidRPr="00E15207" w:rsidTr="00A16727">
        <w:trPr>
          <w:trHeight w:val="649"/>
        </w:trPr>
        <w:tc>
          <w:tcPr>
            <w:cnfStyle w:val="001000000000" w:firstRow="0" w:lastRow="0" w:firstColumn="1" w:lastColumn="0" w:oddVBand="0" w:evenVBand="0" w:oddHBand="0" w:evenHBand="0" w:firstRowFirstColumn="0" w:firstRowLastColumn="0" w:lastRowFirstColumn="0" w:lastRowLastColumn="0"/>
            <w:tcW w:w="1394" w:type="dxa"/>
            <w:hideMark/>
          </w:tcPr>
          <w:p w:rsidR="00DA4E52" w:rsidRPr="00E15207" w:rsidRDefault="00DA4E52" w:rsidP="00A16727">
            <w:pPr>
              <w:keepNext/>
              <w:spacing w:after="0"/>
              <w:jc w:val="center"/>
              <w:rPr>
                <w:rFonts w:cs="Arial"/>
                <w:color w:val="000000"/>
                <w:sz w:val="18"/>
                <w:lang w:eastAsia="cs-CZ"/>
              </w:rPr>
            </w:pPr>
            <w:r>
              <w:rPr>
                <w:rFonts w:cs="Arial"/>
                <w:color w:val="000000"/>
                <w:sz w:val="18"/>
                <w:lang w:eastAsia="cs-CZ"/>
              </w:rPr>
              <w:t>Soukromý sektor</w:t>
            </w:r>
          </w:p>
        </w:tc>
        <w:tc>
          <w:tcPr>
            <w:tcW w:w="1186"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ANO</w:t>
            </w:r>
          </w:p>
        </w:tc>
        <w:tc>
          <w:tcPr>
            <w:tcW w:w="2669"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Vyhledání vhodných bytů v soukromém vlastnictví, výběr nájemníků, výběr plateb nájemného, řešení konfliktů, další sociální služby</w:t>
            </w:r>
          </w:p>
        </w:tc>
        <w:tc>
          <w:tcPr>
            <w:tcW w:w="1725"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Dotace, úroková dotace (až 77%), garance placení nájmu, dlouhodobá smlouva (typ 9 let), garance údržby bytu</w:t>
            </w:r>
          </w:p>
        </w:tc>
        <w:tc>
          <w:tcPr>
            <w:tcW w:w="1822"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Veřejné - (úroková) dotace na rekonstrukci, provoz agentury, příspěvky na bydlení</w:t>
            </w:r>
          </w:p>
        </w:tc>
      </w:tr>
    </w:tbl>
    <w:p w:rsidR="00DA4E52" w:rsidRPr="00E15207" w:rsidRDefault="00DA4E52" w:rsidP="00DA4E52">
      <w:pPr>
        <w:pStyle w:val="Default"/>
        <w:rPr>
          <w:rFonts w:ascii="Arial" w:hAnsi="Arial" w:cs="Arial"/>
        </w:rPr>
      </w:pPr>
    </w:p>
    <w:p w:rsidR="00DA4E52" w:rsidRPr="00E15207" w:rsidRDefault="00DA4E52" w:rsidP="00DA4E52">
      <w:r w:rsidRPr="00E15207">
        <w:t>Vlastnický model se týká situace, kdy je byt přímo ve vlastnictví obce či agentury a jeho pořízení, ať už koupí, rekonstrukcí či výstavbou, je spojeno s investičním výdajem. Financování těchto nákupů probíhá formou dotací a zvýhodněných úvěrů.</w:t>
      </w:r>
    </w:p>
    <w:p w:rsidR="00DA4E52" w:rsidRDefault="00DA4E52" w:rsidP="00DA4E52">
      <w:r w:rsidRPr="00E15207">
        <w:t>Prostřednictví</w:t>
      </w:r>
      <w:r>
        <w:t xml:space="preserve"> (model vlastnictví soukromý sektor)</w:t>
      </w:r>
      <w:r w:rsidRPr="00E15207">
        <w:t xml:space="preserve"> popisuje stav, kdy je nemovitost soukromým majetkem a agentura či obec pouze zprostředkovávají její pronájem cílové skupině osob. Tato činnost je zpravidla dotována státem, jedná se ovšem o dotace neinvestičního typu. </w:t>
      </w:r>
    </w:p>
    <w:p w:rsidR="00DA4E52" w:rsidRPr="00E15207" w:rsidRDefault="00DA4E52" w:rsidP="00DA4E52">
      <w:r>
        <w:t>Zásadním rozdílem mezi částečným a plným zprostředkováním tkví v právním vztahu mezi majitelem, agenturou a klientem. V případě částečného prostřednictví je agentura pouhým prostředníkem a do právního vztahu vstupují pouze majitel nemovitosti jako pronajímatel a klient jako nájemce. V modelu plného prostřednictví se klient stává podnájemníkem agentury, která je nájemcem nemovitosti patřící majiteli, který ji pronajímá.</w:t>
      </w:r>
    </w:p>
    <w:p w:rsidR="00DA4E52" w:rsidRPr="00E15207" w:rsidRDefault="00DA4E52" w:rsidP="00DA4E52">
      <w:pPr>
        <w:rPr>
          <w:rFonts w:cs="Arial"/>
        </w:rPr>
      </w:pPr>
      <w:r w:rsidRPr="00E15207">
        <w:t>Několik příkladů z praxe:</w:t>
      </w:r>
    </w:p>
    <w:p w:rsidR="00DA4E52" w:rsidRPr="00E15207" w:rsidRDefault="00DA4E52" w:rsidP="00DA4E52">
      <w:r w:rsidRPr="00E15207">
        <w:rPr>
          <w:b/>
        </w:rPr>
        <w:t>Francie</w:t>
      </w:r>
      <w:r w:rsidRPr="00E15207">
        <w:t xml:space="preserve"> – Byty ve vlastnictví nevládní organizace jsou financovány ze 77 % státní dotací, z 13% úvěrem a zbylých 10 % pokryje organizace prostřednictvím fundraisingu. Kromě vlastních bytů je zprostředkováváno bydlení v soukromých nemovitostech, jejichž majitelé mají možnost čerpat dotaci či zvýhodněný úvěr na rekonstrukci, který je podmíněn následným svěřením nemovitosti do správy, nikoli však majetku, obce či NGO.</w:t>
      </w:r>
    </w:p>
    <w:p w:rsidR="00DA4E52" w:rsidRPr="00E15207" w:rsidRDefault="00DA4E52" w:rsidP="00DA4E52">
      <w:r w:rsidRPr="00E15207">
        <w:rPr>
          <w:b/>
        </w:rPr>
        <w:t>Kolín nad Rýnem</w:t>
      </w:r>
      <w:r w:rsidRPr="00E15207">
        <w:t xml:space="preserve"> – obec disponuje v boji s bezdomovectvím fondem 5400 bytů, pořízených většinou z vlastních prostředků. Někteří nájemníci hradí sociální nájemné 5,1 € m</w:t>
      </w:r>
      <w:r w:rsidRPr="00E15207">
        <w:rPr>
          <w:vertAlign w:val="superscript"/>
        </w:rPr>
        <w:t>2</w:t>
      </w:r>
      <w:r w:rsidRPr="00E15207">
        <w:t>, pracující nájemníci 11 €/m</w:t>
      </w:r>
      <w:r w:rsidRPr="00E15207">
        <w:rPr>
          <w:vertAlign w:val="superscript"/>
        </w:rPr>
        <w:t>2</w:t>
      </w:r>
      <w:r w:rsidRPr="00E15207">
        <w:t>. I u pracujících nájemníků se jedná o rizikovou skupinu obyvatel, která konzumuje jiné související sociální služby. Provoz agentury dotuje stát, krytí investičních nákladů z vlastních zdrojů si i v Německu mohou dovolit jen nejbohatší města.</w:t>
      </w:r>
    </w:p>
    <w:p w:rsidR="00DA4E52" w:rsidRPr="00E15207" w:rsidRDefault="00DA4E52" w:rsidP="00DA4E52">
      <w:pPr>
        <w:rPr>
          <w:bCs/>
          <w:sz w:val="26"/>
          <w:szCs w:val="26"/>
        </w:rPr>
      </w:pPr>
      <w:r w:rsidRPr="00E15207">
        <w:rPr>
          <w:b/>
        </w:rPr>
        <w:t>Belgie</w:t>
      </w:r>
      <w:r w:rsidRPr="00E15207">
        <w:rPr>
          <w:bCs/>
          <w:sz w:val="26"/>
          <w:szCs w:val="26"/>
        </w:rPr>
        <w:t xml:space="preserve"> </w:t>
      </w:r>
      <w:r w:rsidRPr="00E15207">
        <w:t>-</w:t>
      </w:r>
      <w:r w:rsidRPr="00E15207">
        <w:rPr>
          <w:bCs/>
          <w:sz w:val="26"/>
          <w:szCs w:val="26"/>
        </w:rPr>
        <w:t xml:space="preserve"> </w:t>
      </w:r>
      <w:r w:rsidRPr="00E15207">
        <w:t>nezisková agentura sociálního bydlení působí jako státem subvencovaný mediátor mezi problematickými nájemníky a soukromými majiteli nemovitostí s cílem dosáhnout uzavření dlouhodobé smlouvy o pronájmu za nižší než tržní nájemné. Majitelům se zaručuje jak za včasné placení nájmu, tak za náhrady všech případných škod a obstarává veškerou administrativu. Belgický systém funguje bez investičních subvencí.</w:t>
      </w:r>
    </w:p>
    <w:p w:rsidR="008020D8" w:rsidRDefault="00DA4E52" w:rsidP="00DA4E52">
      <w:r w:rsidRPr="00E15207">
        <w:rPr>
          <w:b/>
        </w:rPr>
        <w:t>Velká Británie</w:t>
      </w:r>
      <w:r w:rsidRPr="00E15207">
        <w:t xml:space="preserve"> –</w:t>
      </w:r>
      <w:r w:rsidRPr="00E15207">
        <w:rPr>
          <w:sz w:val="20"/>
          <w:szCs w:val="20"/>
        </w:rPr>
        <w:t xml:space="preserve"> </w:t>
      </w:r>
      <w:r w:rsidRPr="00E15207">
        <w:t>obce jsou ze zákona povinny obstarávat sociální bydlení. Na principu plného prostřednictví si NGO nebo obce od soukromých majitelů pronajímají byty, které pak přidělují potřebným podnájemníkům. Majitelé mají garantovaný příjem nehledě na obsazenost bytu, jsou ušetřeni nákladů na bytovou správu i nákladů na případné škody a drobné opravy či nákladů na vystěhování neplatiče, které hradí prostředník. Některé obce navíc poskytují zvýhodněné úvěry na rekonstrukci předmětných bytů.</w:t>
      </w:r>
    </w:p>
    <w:p w:rsidR="008020D8" w:rsidRDefault="008020D8">
      <w:pPr>
        <w:spacing w:after="0"/>
        <w:jc w:val="left"/>
      </w:pPr>
      <w:r>
        <w:br w:type="page"/>
      </w:r>
    </w:p>
    <w:p w:rsidR="00DA4E52" w:rsidRDefault="008020D8" w:rsidP="00884652">
      <w:pPr>
        <w:pStyle w:val="Nadpis3"/>
      </w:pPr>
      <w:bookmarkStart w:id="85" w:name="_Toc418767148"/>
      <w:r>
        <w:t>Zkušenosti v oblasti s</w:t>
      </w:r>
      <w:r w:rsidR="00DA4E52" w:rsidRPr="00331F00">
        <w:t>nížení energetické náročnosti v sektoru bydlení</w:t>
      </w:r>
      <w:bookmarkEnd w:id="85"/>
      <w:r w:rsidR="00DA4E52" w:rsidRPr="00331F00">
        <w:t xml:space="preserve"> </w:t>
      </w:r>
    </w:p>
    <w:p w:rsidR="00DA4E52" w:rsidRDefault="00DA4E52" w:rsidP="00DA4E52">
      <w:r w:rsidRPr="00AB434E">
        <w:t xml:space="preserve">Následující přehledová tabulka obsahuje základní atributy finančních nástrojů/fondů zahrnutých do benchmarkingového posuzování. V dalším textu jsou pak podrobněji uvedeny popisy k jednotlivým fondům.  </w:t>
      </w:r>
    </w:p>
    <w:tbl>
      <w:tblPr>
        <w:tblStyle w:val="Mkatabulky8"/>
        <w:tblpPr w:leftFromText="142" w:rightFromText="142" w:vertAnchor="text" w:tblpY="1"/>
        <w:tblW w:w="9747" w:type="dxa"/>
        <w:tblLayout w:type="fixed"/>
        <w:tblLook w:val="04A0" w:firstRow="1" w:lastRow="0" w:firstColumn="1" w:lastColumn="0" w:noHBand="0" w:noVBand="1"/>
      </w:tblPr>
      <w:tblGrid>
        <w:gridCol w:w="1751"/>
        <w:gridCol w:w="1570"/>
        <w:gridCol w:w="1182"/>
        <w:gridCol w:w="1417"/>
        <w:gridCol w:w="1559"/>
        <w:gridCol w:w="2268"/>
      </w:tblGrid>
      <w:tr w:rsidR="00DA4E52" w:rsidRPr="00EF526D" w:rsidTr="00A16727">
        <w:trPr>
          <w:cnfStyle w:val="100000000000" w:firstRow="1" w:lastRow="0" w:firstColumn="0" w:lastColumn="0" w:oddVBand="0" w:evenVBand="0" w:oddHBand="0" w:evenHBand="0" w:firstRowFirstColumn="0" w:firstRowLastColumn="0" w:lastRowFirstColumn="0" w:lastRowLastColumn="0"/>
          <w:trHeight w:val="529"/>
          <w:tblHeader/>
        </w:trPr>
        <w:tc>
          <w:tcPr>
            <w:tcW w:w="1751" w:type="dxa"/>
          </w:tcPr>
          <w:p w:rsidR="00DA4E52" w:rsidRPr="00EF526D" w:rsidRDefault="00DA4E52" w:rsidP="00A16727">
            <w:pPr>
              <w:keepNext/>
              <w:spacing w:after="0"/>
              <w:jc w:val="center"/>
              <w:rPr>
                <w:rStyle w:val="hps"/>
              </w:rPr>
            </w:pPr>
            <w:r w:rsidRPr="00EF526D">
              <w:rPr>
                <w:rStyle w:val="hps"/>
              </w:rPr>
              <w:t>Název fondu/instituce</w:t>
            </w:r>
          </w:p>
        </w:tc>
        <w:tc>
          <w:tcPr>
            <w:tcW w:w="1570" w:type="dxa"/>
          </w:tcPr>
          <w:p w:rsidR="00DA4E52" w:rsidRPr="00EF526D" w:rsidRDefault="00DA4E52" w:rsidP="00A16727">
            <w:pPr>
              <w:keepNext/>
              <w:spacing w:after="0"/>
              <w:jc w:val="center"/>
              <w:rPr>
                <w:rStyle w:val="hps"/>
              </w:rPr>
            </w:pPr>
            <w:r w:rsidRPr="00EF526D">
              <w:rPr>
                <w:rStyle w:val="hps"/>
              </w:rPr>
              <w:t>Zaměření fondu</w:t>
            </w:r>
          </w:p>
        </w:tc>
        <w:tc>
          <w:tcPr>
            <w:tcW w:w="1182" w:type="dxa"/>
          </w:tcPr>
          <w:p w:rsidR="00DA4E52" w:rsidRPr="00EF526D" w:rsidRDefault="00DA4E52" w:rsidP="00A16727">
            <w:pPr>
              <w:keepNext/>
              <w:spacing w:after="0"/>
              <w:jc w:val="center"/>
              <w:rPr>
                <w:rStyle w:val="hps"/>
              </w:rPr>
            </w:pPr>
            <w:r w:rsidRPr="00EF526D">
              <w:rPr>
                <w:rStyle w:val="hps"/>
              </w:rPr>
              <w:t xml:space="preserve">Alokace kapitálu </w:t>
            </w:r>
          </w:p>
        </w:tc>
        <w:tc>
          <w:tcPr>
            <w:tcW w:w="1417" w:type="dxa"/>
          </w:tcPr>
          <w:p w:rsidR="00DA4E52" w:rsidRPr="00EF526D" w:rsidRDefault="00DA4E52" w:rsidP="00A16727">
            <w:pPr>
              <w:keepNext/>
              <w:spacing w:after="0"/>
              <w:jc w:val="center"/>
              <w:rPr>
                <w:rStyle w:val="hps"/>
              </w:rPr>
            </w:pPr>
            <w:r w:rsidRPr="00EF526D">
              <w:rPr>
                <w:rStyle w:val="hps"/>
              </w:rPr>
              <w:t xml:space="preserve">Velikost projektů </w:t>
            </w:r>
          </w:p>
        </w:tc>
        <w:tc>
          <w:tcPr>
            <w:tcW w:w="1559" w:type="dxa"/>
          </w:tcPr>
          <w:p w:rsidR="00DA4E52" w:rsidRPr="00EF526D" w:rsidRDefault="00DA4E52" w:rsidP="00A16727">
            <w:pPr>
              <w:keepNext/>
              <w:spacing w:after="0"/>
              <w:jc w:val="center"/>
              <w:rPr>
                <w:rStyle w:val="hps"/>
              </w:rPr>
            </w:pPr>
            <w:r w:rsidRPr="00EF526D">
              <w:rPr>
                <w:rStyle w:val="hps"/>
              </w:rPr>
              <w:t>Typ finančního nástroje</w:t>
            </w:r>
          </w:p>
        </w:tc>
        <w:tc>
          <w:tcPr>
            <w:tcW w:w="2268" w:type="dxa"/>
          </w:tcPr>
          <w:p w:rsidR="00DA4E52" w:rsidRPr="00EF526D" w:rsidRDefault="00DA4E52" w:rsidP="00A16727">
            <w:pPr>
              <w:keepNext/>
              <w:spacing w:after="0"/>
              <w:jc w:val="center"/>
              <w:rPr>
                <w:rStyle w:val="hps"/>
              </w:rPr>
            </w:pPr>
            <w:r w:rsidRPr="00EF526D">
              <w:rPr>
                <w:rStyle w:val="hps"/>
              </w:rPr>
              <w:t>Podmínky poskytnutí</w:t>
            </w:r>
          </w:p>
        </w:tc>
      </w:tr>
      <w:tr w:rsidR="00DA4E52" w:rsidRPr="00EF526D" w:rsidTr="00A16727">
        <w:tc>
          <w:tcPr>
            <w:tcW w:w="9747" w:type="dxa"/>
            <w:gridSpan w:val="6"/>
            <w:shd w:val="clear" w:color="auto" w:fill="B0CAFF" w:themeFill="accent1" w:themeFillTint="33"/>
            <w:vAlign w:val="center"/>
          </w:tcPr>
          <w:p w:rsidR="00DA4E52" w:rsidRPr="00EF526D" w:rsidRDefault="00DA4E52" w:rsidP="00A16727">
            <w:pPr>
              <w:keepNext/>
              <w:spacing w:after="0"/>
              <w:jc w:val="center"/>
              <w:rPr>
                <w:rStyle w:val="hps"/>
              </w:rPr>
            </w:pPr>
            <w:r w:rsidRPr="00EF526D">
              <w:rPr>
                <w:rStyle w:val="hps"/>
              </w:rPr>
              <w:t>Velká Británie, Wales</w:t>
            </w:r>
          </w:p>
        </w:tc>
      </w:tr>
      <w:tr w:rsidR="00DA4E52" w:rsidRPr="00EF526D" w:rsidTr="00A16727">
        <w:tc>
          <w:tcPr>
            <w:tcW w:w="1751" w:type="dxa"/>
            <w:vAlign w:val="center"/>
          </w:tcPr>
          <w:p w:rsidR="00DA4E52" w:rsidRPr="00EF526D" w:rsidRDefault="00DA4E52" w:rsidP="00A16727">
            <w:pPr>
              <w:keepNext/>
              <w:spacing w:after="0"/>
              <w:jc w:val="center"/>
              <w:rPr>
                <w:rStyle w:val="hps"/>
              </w:rPr>
            </w:pPr>
            <w:r w:rsidRPr="00EF526D">
              <w:rPr>
                <w:rStyle w:val="hps"/>
              </w:rPr>
              <w:t>EEUD</w:t>
            </w:r>
          </w:p>
        </w:tc>
        <w:tc>
          <w:tcPr>
            <w:tcW w:w="1570" w:type="dxa"/>
            <w:vAlign w:val="center"/>
          </w:tcPr>
          <w:p w:rsidR="00DA4E52" w:rsidRPr="00EF526D" w:rsidRDefault="00DA4E52" w:rsidP="00A16727">
            <w:pPr>
              <w:keepNext/>
              <w:spacing w:after="0"/>
              <w:jc w:val="center"/>
              <w:rPr>
                <w:rStyle w:val="hps"/>
              </w:rPr>
            </w:pPr>
            <w:r w:rsidRPr="00EF526D">
              <w:rPr>
                <w:rStyle w:val="hps"/>
              </w:rPr>
              <w:t>Energetická náročnost, rekonstrukce budov</w:t>
            </w:r>
          </w:p>
        </w:tc>
        <w:tc>
          <w:tcPr>
            <w:tcW w:w="1182" w:type="dxa"/>
            <w:vAlign w:val="center"/>
          </w:tcPr>
          <w:p w:rsidR="00DA4E52" w:rsidRPr="00EF526D" w:rsidRDefault="00DA4E52" w:rsidP="00A16727">
            <w:pPr>
              <w:keepNext/>
              <w:spacing w:after="0"/>
              <w:jc w:val="center"/>
              <w:rPr>
                <w:rStyle w:val="hps"/>
              </w:rPr>
            </w:pPr>
            <w:r w:rsidRPr="00EF526D">
              <w:rPr>
                <w:rStyle w:val="hps"/>
              </w:rPr>
              <w:t>50 mil £</w:t>
            </w:r>
            <w:r>
              <w:rPr>
                <w:rStyle w:val="hps"/>
              </w:rPr>
              <w:t>,</w:t>
            </w:r>
          </w:p>
        </w:tc>
        <w:tc>
          <w:tcPr>
            <w:tcW w:w="1417" w:type="dxa"/>
            <w:vAlign w:val="center"/>
          </w:tcPr>
          <w:p w:rsidR="00DA4E52" w:rsidRPr="00EF526D" w:rsidRDefault="00DA4E52" w:rsidP="00A16727">
            <w:pPr>
              <w:keepNext/>
              <w:spacing w:after="0"/>
              <w:jc w:val="center"/>
              <w:rPr>
                <w:rStyle w:val="hps"/>
              </w:rPr>
            </w:pPr>
            <w:r>
              <w:rPr>
                <w:rStyle w:val="hps"/>
              </w:rPr>
              <w:t>3,5 -</w:t>
            </w:r>
            <w:r w:rsidRPr="00EF526D">
              <w:rPr>
                <w:rStyle w:val="hps"/>
              </w:rPr>
              <w:t xml:space="preserve"> 14 mil £</w:t>
            </w:r>
          </w:p>
        </w:tc>
        <w:tc>
          <w:tcPr>
            <w:tcW w:w="1559" w:type="dxa"/>
            <w:vAlign w:val="center"/>
          </w:tcPr>
          <w:p w:rsidR="00DA4E52" w:rsidRPr="00EF526D" w:rsidRDefault="00DA4E52" w:rsidP="00A16727">
            <w:pPr>
              <w:keepNext/>
              <w:spacing w:after="0"/>
              <w:jc w:val="center"/>
              <w:rPr>
                <w:rStyle w:val="hps"/>
              </w:rPr>
            </w:pPr>
            <w:r w:rsidRPr="00EF526D">
              <w:rPr>
                <w:rStyle w:val="hps"/>
              </w:rPr>
              <w:t>Dluhové, equity</w:t>
            </w:r>
          </w:p>
        </w:tc>
        <w:tc>
          <w:tcPr>
            <w:tcW w:w="2268" w:type="dxa"/>
            <w:vAlign w:val="center"/>
          </w:tcPr>
          <w:p w:rsidR="00DA4E52" w:rsidRPr="00EF526D" w:rsidRDefault="00DA4E52" w:rsidP="00A16727">
            <w:pPr>
              <w:keepNext/>
              <w:spacing w:after="0"/>
              <w:jc w:val="center"/>
              <w:rPr>
                <w:rStyle w:val="hps"/>
              </w:rPr>
            </w:pPr>
            <w:r w:rsidRPr="00EF526D">
              <w:rPr>
                <w:rStyle w:val="hps"/>
              </w:rPr>
              <w:t>Úsporné projekty, splatnost do 10-ti let</w:t>
            </w:r>
          </w:p>
        </w:tc>
      </w:tr>
      <w:tr w:rsidR="00DA4E52" w:rsidRPr="00EF526D" w:rsidTr="00A16727">
        <w:tc>
          <w:tcPr>
            <w:tcW w:w="9747" w:type="dxa"/>
            <w:gridSpan w:val="6"/>
            <w:shd w:val="clear" w:color="auto" w:fill="72C7E7" w:themeFill="accent4"/>
            <w:vAlign w:val="center"/>
          </w:tcPr>
          <w:p w:rsidR="00DA4E52" w:rsidRPr="00EF526D" w:rsidRDefault="00DA4E52" w:rsidP="00A16727">
            <w:pPr>
              <w:keepNext/>
              <w:spacing w:after="0"/>
              <w:jc w:val="center"/>
              <w:rPr>
                <w:rStyle w:val="hps"/>
              </w:rPr>
            </w:pPr>
            <w:r w:rsidRPr="00EF526D">
              <w:rPr>
                <w:rStyle w:val="hps"/>
              </w:rPr>
              <w:t>Polsko</w:t>
            </w:r>
          </w:p>
        </w:tc>
      </w:tr>
      <w:tr w:rsidR="00DA4E52" w:rsidRPr="00EF526D" w:rsidTr="00A16727">
        <w:tc>
          <w:tcPr>
            <w:tcW w:w="1751" w:type="dxa"/>
            <w:vAlign w:val="center"/>
          </w:tcPr>
          <w:p w:rsidR="00DA4E52" w:rsidRPr="00EF526D" w:rsidRDefault="00DA4E52" w:rsidP="00A16727">
            <w:pPr>
              <w:keepNext/>
              <w:spacing w:after="0"/>
              <w:jc w:val="center"/>
              <w:rPr>
                <w:rStyle w:val="hps"/>
              </w:rPr>
            </w:pPr>
            <w:r w:rsidRPr="00EF526D">
              <w:rPr>
                <w:rStyle w:val="hps"/>
              </w:rPr>
              <w:t>NFOŚiGW</w:t>
            </w:r>
          </w:p>
          <w:p w:rsidR="00DA4E52" w:rsidRPr="00EF526D" w:rsidRDefault="00DA4E52" w:rsidP="00A16727">
            <w:pPr>
              <w:keepNext/>
              <w:spacing w:after="0"/>
              <w:jc w:val="center"/>
              <w:rPr>
                <w:rStyle w:val="hps"/>
              </w:rPr>
            </w:pPr>
          </w:p>
        </w:tc>
        <w:tc>
          <w:tcPr>
            <w:tcW w:w="1570" w:type="dxa"/>
            <w:vAlign w:val="center"/>
          </w:tcPr>
          <w:p w:rsidR="00DA4E52" w:rsidRPr="00EF526D" w:rsidRDefault="00DA4E52" w:rsidP="00A16727">
            <w:pPr>
              <w:keepNext/>
              <w:spacing w:after="0"/>
              <w:jc w:val="center"/>
              <w:rPr>
                <w:rStyle w:val="hps"/>
              </w:rPr>
            </w:pPr>
            <w:r w:rsidRPr="00EF526D">
              <w:rPr>
                <w:rStyle w:val="hps"/>
              </w:rPr>
              <w:t>Veškeré dlouhodobě podporované ekologické projekty</w:t>
            </w:r>
          </w:p>
        </w:tc>
        <w:tc>
          <w:tcPr>
            <w:tcW w:w="1182" w:type="dxa"/>
            <w:vAlign w:val="center"/>
          </w:tcPr>
          <w:p w:rsidR="00DA4E52" w:rsidRPr="00EF526D" w:rsidRDefault="00DA4E52" w:rsidP="00A16727">
            <w:pPr>
              <w:keepNext/>
              <w:spacing w:after="0"/>
              <w:jc w:val="center"/>
              <w:rPr>
                <w:rStyle w:val="hps"/>
              </w:rPr>
            </w:pPr>
            <w:r w:rsidRPr="00EF526D">
              <w:rPr>
                <w:rStyle w:val="hps"/>
              </w:rPr>
              <w:t>5,2</w:t>
            </w:r>
            <w:r>
              <w:rPr>
                <w:rStyle w:val="hps"/>
              </w:rPr>
              <w:t xml:space="preserve"> mld PLZ</w:t>
            </w:r>
          </w:p>
        </w:tc>
        <w:tc>
          <w:tcPr>
            <w:tcW w:w="1417" w:type="dxa"/>
            <w:vAlign w:val="center"/>
          </w:tcPr>
          <w:p w:rsidR="00DA4E52" w:rsidRPr="00EF526D" w:rsidRDefault="00DA4E52" w:rsidP="00A16727">
            <w:pPr>
              <w:keepNext/>
              <w:spacing w:after="0"/>
              <w:jc w:val="center"/>
              <w:rPr>
                <w:rStyle w:val="hps"/>
              </w:rPr>
            </w:pPr>
          </w:p>
        </w:tc>
        <w:tc>
          <w:tcPr>
            <w:tcW w:w="1559" w:type="dxa"/>
            <w:vAlign w:val="center"/>
          </w:tcPr>
          <w:p w:rsidR="00DA4E52" w:rsidRPr="00EF526D" w:rsidRDefault="00DA4E52" w:rsidP="00A16727">
            <w:pPr>
              <w:keepNext/>
              <w:spacing w:after="0"/>
              <w:jc w:val="center"/>
              <w:rPr>
                <w:rStyle w:val="hps"/>
              </w:rPr>
            </w:pPr>
            <w:r>
              <w:rPr>
                <w:rStyle w:val="hps"/>
              </w:rPr>
              <w:t>Úvěry</w:t>
            </w:r>
            <w:r w:rsidRPr="00EF526D">
              <w:rPr>
                <w:rStyle w:val="hps"/>
              </w:rPr>
              <w:t>, úvěrové linky, dotace, úhrady úroků, equity</w:t>
            </w:r>
          </w:p>
        </w:tc>
        <w:tc>
          <w:tcPr>
            <w:tcW w:w="2268" w:type="dxa"/>
            <w:vAlign w:val="center"/>
          </w:tcPr>
          <w:p w:rsidR="00DA4E52" w:rsidRPr="00EF526D" w:rsidRDefault="00DA4E52" w:rsidP="00A16727">
            <w:pPr>
              <w:keepNext/>
              <w:spacing w:after="0"/>
              <w:rPr>
                <w:rStyle w:val="hps"/>
              </w:rPr>
            </w:pPr>
            <w:r w:rsidRPr="00EF526D">
              <w:rPr>
                <w:rStyle w:val="hps"/>
              </w:rPr>
              <w:t>Délka splácení úvěru, úroková sazba, povaha projektu</w:t>
            </w:r>
          </w:p>
        </w:tc>
      </w:tr>
      <w:tr w:rsidR="00DA4E52" w:rsidRPr="00EF526D" w:rsidTr="00A16727">
        <w:tc>
          <w:tcPr>
            <w:tcW w:w="1751" w:type="dxa"/>
            <w:vAlign w:val="center"/>
          </w:tcPr>
          <w:p w:rsidR="00DA4E52" w:rsidRPr="00EF526D" w:rsidRDefault="00DA4E52" w:rsidP="00A16727">
            <w:pPr>
              <w:keepNext/>
              <w:spacing w:after="0"/>
              <w:jc w:val="center"/>
              <w:rPr>
                <w:rStyle w:val="hps"/>
              </w:rPr>
            </w:pPr>
            <w:r w:rsidRPr="00EF526D">
              <w:rPr>
                <w:rStyle w:val="hps"/>
              </w:rPr>
              <w:t>WFOŚiGW**</w:t>
            </w:r>
          </w:p>
        </w:tc>
        <w:tc>
          <w:tcPr>
            <w:tcW w:w="1570" w:type="dxa"/>
            <w:vAlign w:val="center"/>
          </w:tcPr>
          <w:p w:rsidR="00DA4E52" w:rsidRPr="00EF526D" w:rsidRDefault="00DA4E52" w:rsidP="00A16727">
            <w:pPr>
              <w:keepNext/>
              <w:spacing w:after="0"/>
              <w:jc w:val="center"/>
              <w:rPr>
                <w:rStyle w:val="hps"/>
              </w:rPr>
            </w:pPr>
            <w:r w:rsidRPr="00EF526D">
              <w:rPr>
                <w:rStyle w:val="hps"/>
              </w:rPr>
              <w:t>Vodní a odpadní hospodářství, nakládání s odpady a recyklace, ochrana ovzduší, likvidace havárií, znečištění a živelných pohrom</w:t>
            </w:r>
          </w:p>
        </w:tc>
        <w:tc>
          <w:tcPr>
            <w:tcW w:w="1182" w:type="dxa"/>
            <w:vAlign w:val="center"/>
          </w:tcPr>
          <w:p w:rsidR="00DA4E52" w:rsidRPr="00EF526D" w:rsidRDefault="00DA4E52" w:rsidP="00A16727">
            <w:pPr>
              <w:keepNext/>
              <w:spacing w:after="0"/>
              <w:jc w:val="center"/>
              <w:rPr>
                <w:rStyle w:val="hps"/>
              </w:rPr>
            </w:pPr>
            <w:r w:rsidRPr="00EF526D">
              <w:rPr>
                <w:rStyle w:val="hps"/>
              </w:rPr>
              <w:t>493,5</w:t>
            </w:r>
            <w:r>
              <w:rPr>
                <w:rStyle w:val="hps"/>
              </w:rPr>
              <w:t xml:space="preserve"> mld PZL</w:t>
            </w:r>
          </w:p>
        </w:tc>
        <w:tc>
          <w:tcPr>
            <w:tcW w:w="1417" w:type="dxa"/>
            <w:vAlign w:val="center"/>
          </w:tcPr>
          <w:p w:rsidR="00DA4E52" w:rsidRPr="00EF526D" w:rsidRDefault="00DA4E52" w:rsidP="00A16727">
            <w:pPr>
              <w:keepNext/>
              <w:spacing w:after="0"/>
              <w:jc w:val="center"/>
              <w:rPr>
                <w:rStyle w:val="hps"/>
              </w:rPr>
            </w:pPr>
          </w:p>
        </w:tc>
        <w:tc>
          <w:tcPr>
            <w:tcW w:w="1559" w:type="dxa"/>
            <w:vAlign w:val="center"/>
          </w:tcPr>
          <w:p w:rsidR="00DA4E52" w:rsidRDefault="00DA4E52" w:rsidP="00A16727">
            <w:pPr>
              <w:keepNext/>
              <w:spacing w:after="0"/>
              <w:jc w:val="center"/>
              <w:rPr>
                <w:rStyle w:val="hps"/>
              </w:rPr>
            </w:pPr>
            <w:r>
              <w:rPr>
                <w:rStyle w:val="hps"/>
              </w:rPr>
              <w:t>Úvěry</w:t>
            </w:r>
            <w:r w:rsidRPr="00EF526D">
              <w:rPr>
                <w:rStyle w:val="hps"/>
              </w:rPr>
              <w:t>, úvěrové linky, dotace, úhrady úroků</w:t>
            </w:r>
          </w:p>
        </w:tc>
        <w:tc>
          <w:tcPr>
            <w:tcW w:w="2268" w:type="dxa"/>
            <w:vAlign w:val="center"/>
          </w:tcPr>
          <w:p w:rsidR="00DA4E52" w:rsidRPr="00EF526D" w:rsidRDefault="00DA4E52" w:rsidP="00A16727">
            <w:pPr>
              <w:keepNext/>
              <w:spacing w:after="0"/>
              <w:rPr>
                <w:rStyle w:val="hps"/>
              </w:rPr>
            </w:pPr>
            <w:r w:rsidRPr="00EF526D">
              <w:rPr>
                <w:rStyle w:val="hps"/>
              </w:rPr>
              <w:t>Délka splácení úvěru, úroková sazba, povaha projektu</w:t>
            </w:r>
          </w:p>
        </w:tc>
      </w:tr>
      <w:tr w:rsidR="00DA4E52" w:rsidRPr="00EF526D" w:rsidTr="00A16727">
        <w:tc>
          <w:tcPr>
            <w:tcW w:w="9747" w:type="dxa"/>
            <w:gridSpan w:val="6"/>
            <w:shd w:val="clear" w:color="auto" w:fill="72C7E7" w:themeFill="accent4"/>
            <w:vAlign w:val="center"/>
          </w:tcPr>
          <w:p w:rsidR="00DA4E52" w:rsidRPr="00EF526D" w:rsidRDefault="00DA4E52" w:rsidP="00A16727">
            <w:pPr>
              <w:keepNext/>
              <w:spacing w:after="0"/>
              <w:jc w:val="center"/>
              <w:rPr>
                <w:rStyle w:val="hps"/>
              </w:rPr>
            </w:pPr>
            <w:r>
              <w:rPr>
                <w:rStyle w:val="hps"/>
              </w:rPr>
              <w:t>Německo</w:t>
            </w:r>
          </w:p>
        </w:tc>
      </w:tr>
      <w:tr w:rsidR="00DA4E52" w:rsidRPr="00EF526D" w:rsidTr="00A16727">
        <w:tc>
          <w:tcPr>
            <w:tcW w:w="1751" w:type="dxa"/>
            <w:vAlign w:val="center"/>
          </w:tcPr>
          <w:p w:rsidR="00DA4E52" w:rsidRPr="00EF526D" w:rsidRDefault="00DA4E52" w:rsidP="00A16727">
            <w:pPr>
              <w:keepNext/>
              <w:spacing w:after="0"/>
              <w:jc w:val="center"/>
              <w:rPr>
                <w:rStyle w:val="hps"/>
              </w:rPr>
            </w:pPr>
            <w:r>
              <w:rPr>
                <w:rStyle w:val="hps"/>
              </w:rPr>
              <w:t>KFW</w:t>
            </w:r>
          </w:p>
        </w:tc>
        <w:tc>
          <w:tcPr>
            <w:tcW w:w="1570" w:type="dxa"/>
            <w:vAlign w:val="center"/>
          </w:tcPr>
          <w:p w:rsidR="00DA4E52" w:rsidRPr="00EF526D" w:rsidRDefault="00DA4E52" w:rsidP="00A16727">
            <w:pPr>
              <w:keepNext/>
              <w:spacing w:after="0"/>
              <w:jc w:val="center"/>
              <w:rPr>
                <w:rStyle w:val="hps"/>
              </w:rPr>
            </w:pPr>
            <w:r>
              <w:rPr>
                <w:rStyle w:val="hps"/>
              </w:rPr>
              <w:t xml:space="preserve">Opatření ke zvýšení energetické účinnosti budov, vzdělávání v env. oblasti, podpora start-ups, environmentální projekty </w:t>
            </w:r>
          </w:p>
        </w:tc>
        <w:tc>
          <w:tcPr>
            <w:tcW w:w="1182" w:type="dxa"/>
            <w:vAlign w:val="center"/>
          </w:tcPr>
          <w:p w:rsidR="00DA4E52" w:rsidRPr="00EF526D" w:rsidRDefault="00DA4E52" w:rsidP="00A16727">
            <w:pPr>
              <w:keepNext/>
              <w:spacing w:after="0"/>
              <w:jc w:val="center"/>
              <w:rPr>
                <w:rStyle w:val="hps"/>
              </w:rPr>
            </w:pPr>
            <w:r>
              <w:rPr>
                <w:rStyle w:val="hps"/>
              </w:rPr>
              <w:t>57,4 mld za rok 2014 (celá skupina KFW)</w:t>
            </w:r>
          </w:p>
        </w:tc>
        <w:tc>
          <w:tcPr>
            <w:tcW w:w="1417" w:type="dxa"/>
            <w:vAlign w:val="center"/>
          </w:tcPr>
          <w:p w:rsidR="00DA4E52" w:rsidRPr="00EF526D" w:rsidRDefault="00DA4E52" w:rsidP="00A16727">
            <w:pPr>
              <w:keepNext/>
              <w:spacing w:after="0"/>
              <w:jc w:val="center"/>
              <w:rPr>
                <w:rStyle w:val="hps"/>
              </w:rPr>
            </w:pPr>
            <w:r>
              <w:rPr>
                <w:rStyle w:val="hps"/>
              </w:rPr>
              <w:t xml:space="preserve">Max 75 000 EUR na jednu bytovou jednotku </w:t>
            </w:r>
          </w:p>
        </w:tc>
        <w:tc>
          <w:tcPr>
            <w:tcW w:w="1559" w:type="dxa"/>
            <w:vAlign w:val="center"/>
          </w:tcPr>
          <w:p w:rsidR="00DA4E52" w:rsidRDefault="00DA4E52" w:rsidP="00A16727">
            <w:pPr>
              <w:keepNext/>
              <w:spacing w:after="0"/>
              <w:jc w:val="center"/>
              <w:rPr>
                <w:rStyle w:val="hps"/>
              </w:rPr>
            </w:pPr>
            <w:r>
              <w:rPr>
                <w:rStyle w:val="hps"/>
              </w:rPr>
              <w:t xml:space="preserve">Kombinace úvěru a dotačního financování. </w:t>
            </w:r>
          </w:p>
        </w:tc>
        <w:tc>
          <w:tcPr>
            <w:tcW w:w="2268" w:type="dxa"/>
            <w:vAlign w:val="center"/>
          </w:tcPr>
          <w:p w:rsidR="00DA4E52" w:rsidRPr="00EF526D" w:rsidRDefault="00DA4E52" w:rsidP="00A16727">
            <w:pPr>
              <w:keepNext/>
              <w:spacing w:after="0"/>
              <w:rPr>
                <w:rStyle w:val="hps"/>
              </w:rPr>
            </w:pPr>
            <w:r>
              <w:rPr>
                <w:rStyle w:val="hps"/>
              </w:rPr>
              <w:t>Splnění stanovených podmínek úspory (podrobněji uvedeno v popisu níže v rámci příslušné kapitoly)</w:t>
            </w:r>
          </w:p>
        </w:tc>
      </w:tr>
      <w:tr w:rsidR="00DA4E52" w:rsidRPr="00EF526D" w:rsidTr="00A16727">
        <w:tc>
          <w:tcPr>
            <w:tcW w:w="9747" w:type="dxa"/>
            <w:gridSpan w:val="6"/>
            <w:shd w:val="clear" w:color="auto" w:fill="72C7E7" w:themeFill="accent4"/>
            <w:vAlign w:val="center"/>
          </w:tcPr>
          <w:p w:rsidR="00DA4E52" w:rsidRPr="00EF526D" w:rsidRDefault="00DA4E52" w:rsidP="00A16727">
            <w:pPr>
              <w:keepNext/>
              <w:spacing w:after="0"/>
              <w:jc w:val="center"/>
              <w:rPr>
                <w:rStyle w:val="hps"/>
              </w:rPr>
            </w:pPr>
            <w:r>
              <w:rPr>
                <w:rStyle w:val="hps"/>
              </w:rPr>
              <w:t>Slovenská republika</w:t>
            </w:r>
          </w:p>
        </w:tc>
      </w:tr>
      <w:tr w:rsidR="00DA4E52" w:rsidRPr="00EF526D" w:rsidTr="00A16727">
        <w:tc>
          <w:tcPr>
            <w:tcW w:w="1751" w:type="dxa"/>
            <w:vAlign w:val="center"/>
          </w:tcPr>
          <w:p w:rsidR="00DA4E52" w:rsidRPr="00EF526D" w:rsidRDefault="00DA4E52" w:rsidP="00A16727">
            <w:pPr>
              <w:keepNext/>
              <w:spacing w:after="0"/>
              <w:jc w:val="center"/>
              <w:rPr>
                <w:rStyle w:val="hps"/>
              </w:rPr>
            </w:pPr>
            <w:r>
              <w:rPr>
                <w:rStyle w:val="hps"/>
              </w:rPr>
              <w:t xml:space="preserve">Environmentálny fond </w:t>
            </w:r>
          </w:p>
        </w:tc>
        <w:tc>
          <w:tcPr>
            <w:tcW w:w="1570" w:type="dxa"/>
            <w:vAlign w:val="center"/>
          </w:tcPr>
          <w:p w:rsidR="00DA4E52" w:rsidRPr="00EF526D" w:rsidRDefault="00DA4E52" w:rsidP="00A16727">
            <w:pPr>
              <w:keepNext/>
              <w:spacing w:after="0"/>
              <w:jc w:val="center"/>
              <w:rPr>
                <w:rStyle w:val="hps"/>
              </w:rPr>
            </w:pPr>
            <w:r w:rsidRPr="00EF526D">
              <w:rPr>
                <w:rStyle w:val="hps"/>
              </w:rPr>
              <w:t>Veškeré dlouhodobě podporované ekologické projekty</w:t>
            </w:r>
          </w:p>
        </w:tc>
        <w:tc>
          <w:tcPr>
            <w:tcW w:w="1182" w:type="dxa"/>
            <w:vAlign w:val="center"/>
          </w:tcPr>
          <w:p w:rsidR="00DA4E52" w:rsidRPr="00EF526D" w:rsidRDefault="00DA4E52" w:rsidP="00A16727">
            <w:pPr>
              <w:keepNext/>
              <w:spacing w:after="0"/>
              <w:jc w:val="center"/>
              <w:rPr>
                <w:rStyle w:val="hps"/>
              </w:rPr>
            </w:pPr>
            <w:r>
              <w:rPr>
                <w:rStyle w:val="hps"/>
              </w:rPr>
              <w:t>6 – 10 mil EUR</w:t>
            </w:r>
          </w:p>
        </w:tc>
        <w:tc>
          <w:tcPr>
            <w:tcW w:w="1417" w:type="dxa"/>
            <w:vAlign w:val="center"/>
          </w:tcPr>
          <w:p w:rsidR="00DA4E52" w:rsidRPr="00EF526D" w:rsidRDefault="00DA4E52" w:rsidP="00A16727">
            <w:pPr>
              <w:keepNext/>
              <w:spacing w:after="0"/>
              <w:jc w:val="center"/>
              <w:rPr>
                <w:rStyle w:val="hps"/>
              </w:rPr>
            </w:pPr>
          </w:p>
        </w:tc>
        <w:tc>
          <w:tcPr>
            <w:tcW w:w="1559" w:type="dxa"/>
            <w:vAlign w:val="center"/>
          </w:tcPr>
          <w:p w:rsidR="00DA4E52" w:rsidRPr="00EF526D" w:rsidRDefault="00DA4E52" w:rsidP="00A16727">
            <w:pPr>
              <w:keepNext/>
              <w:spacing w:after="0"/>
              <w:jc w:val="center"/>
              <w:rPr>
                <w:rStyle w:val="hps"/>
              </w:rPr>
            </w:pPr>
            <w:r>
              <w:rPr>
                <w:rStyle w:val="hps"/>
              </w:rPr>
              <w:t xml:space="preserve">Úvěrové financování </w:t>
            </w:r>
          </w:p>
        </w:tc>
        <w:tc>
          <w:tcPr>
            <w:tcW w:w="2268" w:type="dxa"/>
            <w:vAlign w:val="center"/>
          </w:tcPr>
          <w:p w:rsidR="00DA4E52" w:rsidRPr="00747486" w:rsidRDefault="00DA4E52" w:rsidP="00A16727">
            <w:pPr>
              <w:keepNext/>
              <w:spacing w:after="0"/>
              <w:rPr>
                <w:rStyle w:val="hps"/>
              </w:rPr>
            </w:pPr>
            <w:r w:rsidRPr="00EF526D">
              <w:rPr>
                <w:rStyle w:val="hps"/>
              </w:rPr>
              <w:t xml:space="preserve">Délka splácení úvěru, úroková sazba, </w:t>
            </w:r>
            <w:r>
              <w:rPr>
                <w:rStyle w:val="hps"/>
              </w:rPr>
              <w:t>ručení za úvěr 130</w:t>
            </w:r>
            <w:r w:rsidRPr="00747486">
              <w:rPr>
                <w:rStyle w:val="hps"/>
              </w:rPr>
              <w:t>% hodnoty</w:t>
            </w:r>
          </w:p>
        </w:tc>
      </w:tr>
      <w:tr w:rsidR="00DA4E52" w:rsidRPr="00EF526D" w:rsidTr="00A16727">
        <w:tc>
          <w:tcPr>
            <w:tcW w:w="1751" w:type="dxa"/>
            <w:vAlign w:val="center"/>
          </w:tcPr>
          <w:p w:rsidR="00DA4E52" w:rsidRDefault="00DA4E52" w:rsidP="00A16727">
            <w:pPr>
              <w:keepNext/>
              <w:spacing w:after="0"/>
              <w:jc w:val="center"/>
              <w:rPr>
                <w:rStyle w:val="hps"/>
              </w:rPr>
            </w:pPr>
            <w:r w:rsidRPr="00690C5A">
              <w:rPr>
                <w:rStyle w:val="hps"/>
              </w:rPr>
              <w:t>Štátny fond rozvoja bývania</w:t>
            </w:r>
            <w:r>
              <w:rPr>
                <w:rStyle w:val="hps"/>
              </w:rPr>
              <w:t>- JESSICA</w:t>
            </w:r>
          </w:p>
        </w:tc>
        <w:tc>
          <w:tcPr>
            <w:tcW w:w="1570" w:type="dxa"/>
            <w:vAlign w:val="center"/>
          </w:tcPr>
          <w:p w:rsidR="00DA4E52" w:rsidRPr="00EF526D" w:rsidRDefault="00DA4E52" w:rsidP="00A16727">
            <w:pPr>
              <w:keepNext/>
              <w:spacing w:after="0"/>
              <w:jc w:val="center"/>
              <w:rPr>
                <w:rStyle w:val="hps"/>
              </w:rPr>
            </w:pPr>
            <w:r>
              <w:rPr>
                <w:rStyle w:val="hps"/>
              </w:rPr>
              <w:t>Obnova bytových budov a zateplení</w:t>
            </w:r>
          </w:p>
        </w:tc>
        <w:tc>
          <w:tcPr>
            <w:tcW w:w="1182" w:type="dxa"/>
            <w:vAlign w:val="center"/>
          </w:tcPr>
          <w:p w:rsidR="00DA4E52" w:rsidRDefault="00DA4E52" w:rsidP="00A16727">
            <w:pPr>
              <w:keepNext/>
              <w:spacing w:after="0"/>
              <w:jc w:val="center"/>
              <w:rPr>
                <w:rStyle w:val="hps"/>
              </w:rPr>
            </w:pPr>
          </w:p>
        </w:tc>
        <w:tc>
          <w:tcPr>
            <w:tcW w:w="1417" w:type="dxa"/>
            <w:vAlign w:val="center"/>
          </w:tcPr>
          <w:p w:rsidR="00DA4E52" w:rsidRPr="00EF526D" w:rsidRDefault="00DA4E52" w:rsidP="00A16727">
            <w:pPr>
              <w:keepNext/>
              <w:spacing w:after="0"/>
              <w:jc w:val="center"/>
              <w:rPr>
                <w:rStyle w:val="hps"/>
              </w:rPr>
            </w:pPr>
            <w:r>
              <w:rPr>
                <w:rStyle w:val="hps"/>
              </w:rPr>
              <w:t>Max 200.000 EUR přepočteno přes HGE</w:t>
            </w:r>
          </w:p>
        </w:tc>
        <w:tc>
          <w:tcPr>
            <w:tcW w:w="1559" w:type="dxa"/>
            <w:vAlign w:val="center"/>
          </w:tcPr>
          <w:p w:rsidR="00DA4E52" w:rsidRDefault="00DA4E52" w:rsidP="00A16727">
            <w:pPr>
              <w:keepNext/>
              <w:spacing w:after="0"/>
              <w:jc w:val="center"/>
              <w:rPr>
                <w:rStyle w:val="hps"/>
              </w:rPr>
            </w:pPr>
            <w:r>
              <w:rPr>
                <w:rStyle w:val="hps"/>
              </w:rPr>
              <w:t>Úvěrové financování</w:t>
            </w:r>
          </w:p>
        </w:tc>
        <w:tc>
          <w:tcPr>
            <w:tcW w:w="2268" w:type="dxa"/>
            <w:vAlign w:val="center"/>
          </w:tcPr>
          <w:p w:rsidR="00DA4E52" w:rsidRDefault="00DA4E52" w:rsidP="00A16727">
            <w:pPr>
              <w:keepNext/>
              <w:spacing w:after="0"/>
              <w:rPr>
                <w:rStyle w:val="hps"/>
              </w:rPr>
            </w:pPr>
            <w:r>
              <w:rPr>
                <w:rStyle w:val="hps"/>
              </w:rPr>
              <w:t>Forma podpory:</w:t>
            </w:r>
          </w:p>
          <w:p w:rsidR="00DA4E52" w:rsidRDefault="00DA4E52" w:rsidP="00A16727">
            <w:pPr>
              <w:keepNext/>
              <w:spacing w:after="0"/>
              <w:rPr>
                <w:rStyle w:val="hps"/>
              </w:rPr>
            </w:pPr>
            <w:r w:rsidRPr="00522328">
              <w:rPr>
                <w:rStyle w:val="hps"/>
              </w:rPr>
              <w:t>-</w:t>
            </w:r>
            <w:r>
              <w:rPr>
                <w:rStyle w:val="hps"/>
              </w:rPr>
              <w:t xml:space="preserve"> </w:t>
            </w:r>
            <w:r w:rsidRPr="00522328">
              <w:rPr>
                <w:rStyle w:val="hps"/>
              </w:rPr>
              <w:t>úrok 1,5 % p.a.</w:t>
            </w:r>
            <w:r>
              <w:rPr>
                <w:rStyle w:val="hps"/>
              </w:rPr>
              <w:t>.</w:t>
            </w:r>
          </w:p>
          <w:p w:rsidR="00DA4E52" w:rsidRDefault="00DA4E52" w:rsidP="00A16727">
            <w:pPr>
              <w:keepNext/>
              <w:spacing w:after="0"/>
              <w:rPr>
                <w:rStyle w:val="hps"/>
              </w:rPr>
            </w:pPr>
            <w:r>
              <w:rPr>
                <w:rStyle w:val="hps"/>
              </w:rPr>
              <w:t>- délka splatnosti max. 20 let</w:t>
            </w:r>
          </w:p>
          <w:p w:rsidR="00DA4E52" w:rsidRPr="00522328" w:rsidRDefault="00DA4E52" w:rsidP="00A16727">
            <w:pPr>
              <w:keepNext/>
              <w:spacing w:after="0"/>
              <w:rPr>
                <w:rStyle w:val="hps"/>
              </w:rPr>
            </w:pPr>
            <w:r>
              <w:rPr>
                <w:rStyle w:val="hps"/>
              </w:rPr>
              <w:t xml:space="preserve">- </w:t>
            </w:r>
            <w:r w:rsidRPr="00522328">
              <w:rPr>
                <w:rStyle w:val="hps"/>
              </w:rPr>
              <w:t>výška úv</w:t>
            </w:r>
            <w:r>
              <w:rPr>
                <w:rStyle w:val="hps"/>
              </w:rPr>
              <w:t>ěru do 75% ze způsobilých výdajů</w:t>
            </w:r>
          </w:p>
          <w:p w:rsidR="00DA4E52" w:rsidRPr="00EF526D" w:rsidRDefault="00DA4E52" w:rsidP="00A16727">
            <w:pPr>
              <w:keepNext/>
              <w:spacing w:after="0"/>
              <w:rPr>
                <w:rStyle w:val="hps"/>
              </w:rPr>
            </w:pPr>
            <w:r>
              <w:rPr>
                <w:rStyle w:val="hps"/>
              </w:rPr>
              <w:t>- zapojení v</w:t>
            </w:r>
            <w:r w:rsidRPr="00522328">
              <w:rPr>
                <w:rStyle w:val="hps"/>
              </w:rPr>
              <w:t>lastn</w:t>
            </w:r>
            <w:r>
              <w:rPr>
                <w:rStyle w:val="hps"/>
              </w:rPr>
              <w:t>ích zdrojů min. 25% ZV</w:t>
            </w:r>
          </w:p>
        </w:tc>
      </w:tr>
    </w:tbl>
    <w:p w:rsidR="00DA4E52" w:rsidRPr="00EF526D" w:rsidRDefault="00DA4E52" w:rsidP="00DA4E52">
      <w:pPr>
        <w:pStyle w:val="Titulek"/>
      </w:pPr>
      <w:bookmarkStart w:id="86" w:name="_Toc409795568"/>
      <w:bookmarkStart w:id="87" w:name="_Toc417655505"/>
      <w:r>
        <w:t xml:space="preserve">Tabulka </w:t>
      </w:r>
      <w:r>
        <w:fldChar w:fldCharType="begin"/>
      </w:r>
      <w:r>
        <w:instrText xml:space="preserve"> SEQ Tabulka \* ARABIC </w:instrText>
      </w:r>
      <w:r>
        <w:fldChar w:fldCharType="separate"/>
      </w:r>
      <w:r w:rsidR="007813A3">
        <w:rPr>
          <w:noProof/>
        </w:rPr>
        <w:t>7</w:t>
      </w:r>
      <w:r>
        <w:fldChar w:fldCharType="end"/>
      </w:r>
      <w:r w:rsidRPr="00EF526D">
        <w:t xml:space="preserve">: </w:t>
      </w:r>
      <w:r>
        <w:rPr>
          <w:rFonts w:cs="Arial"/>
          <w:szCs w:val="19"/>
        </w:rPr>
        <w:t>Porovnání základních atributů vybraných IFN v zahraničí</w:t>
      </w:r>
      <w:bookmarkEnd w:id="86"/>
      <w:bookmarkEnd w:id="87"/>
      <w:r>
        <w:rPr>
          <w:rFonts w:cs="Arial"/>
          <w:szCs w:val="19"/>
        </w:rPr>
        <w:t xml:space="preserve"> </w:t>
      </w:r>
    </w:p>
    <w:p w:rsidR="00DA4E52" w:rsidRPr="00852E78" w:rsidRDefault="00DA4E52" w:rsidP="00DA4E52">
      <w:pPr>
        <w:pStyle w:val="CaptionIntroductionparagraph"/>
        <w:rPr>
          <w:rStyle w:val="Odkazintenzivn"/>
          <w:b/>
          <w:bCs w:val="0"/>
          <w:smallCaps w:val="0"/>
          <w:color w:val="00A1DE"/>
        </w:rPr>
      </w:pPr>
      <w:r>
        <w:t xml:space="preserve">Velká Británie - </w:t>
      </w:r>
      <w:r w:rsidRPr="00B84390">
        <w:t>London Green Fund</w:t>
      </w:r>
      <w:r w:rsidRPr="00852E78">
        <w:rPr>
          <w:rStyle w:val="Odkazintenzivn"/>
          <w:color w:val="00A1DE"/>
        </w:rPr>
        <w:t xml:space="preserve"> </w:t>
      </w:r>
    </w:p>
    <w:p w:rsidR="00DA4E52" w:rsidRPr="00EF526D" w:rsidRDefault="00DA4E52" w:rsidP="00DA4E52">
      <w:r w:rsidRPr="00EF526D">
        <w:t xml:space="preserve">London Green fund (dále jen LGF) byl založen v roce 2009. Jedná se o holdingový fond, do něhož byly vloženy prostředky Evropského fondu regionálního rozvoje ve výši 50 mil. £, London Development Agency ve výši 32 mil. £ (dále jen LDA) a městem vlastněný London Waste and Recycling Board ve výši 18 mil. £ (dále jen LWARB). </w:t>
      </w:r>
    </w:p>
    <w:p w:rsidR="00DA4E52" w:rsidRPr="00EF526D" w:rsidRDefault="00DA4E52" w:rsidP="00DA4E52">
      <w:r w:rsidRPr="00EF526D">
        <w:t xml:space="preserve">LGF investuje finanční prostředky do dvou menších fondů (Fondů rozvoje měst), které jsou řízeny samostatně a investují přímo do projektů snižující energetickou náročnost uhlíkové emise. Jedná se o "revolvingové" investiční fondy, v nichž jsou finanční prostředky investovány v rámci jednoho projektu a po splacení znovu investovány do nových projektů. Do revolvingových fondů bylo vloženo celkem 50 mil. £ (Energy Efficiency Urban Development Fund) a 35 mil. £ (Waste Urban Development Fund), který je spíše známý pod názvem Foresight Environmental Fund. </w:t>
      </w:r>
    </w:p>
    <w:p w:rsidR="00DA4E52" w:rsidRPr="00EF526D" w:rsidRDefault="00DA4E52" w:rsidP="00DA4E52">
      <w:r w:rsidRPr="00EF526D">
        <w:t>Fond na zvýšení energetické účinnosti, který byl zřízen v srpnu 2011, poskytuje především dluhové financování (případně kapitálové financování) projektů úpravy nebo rekonstrukce stávajících veřejných a soukromých budov, které sníží jejich energetickou náročnost, a zavádění decentralizovaných energetických systémů. Jednotlivé projekty mohou čerpat úvěry od 3,5 do 14 mil. £ (v oblasti sociálního bydlení 14 mil. £) s maximální dobou splatnosti 10 let.</w:t>
      </w:r>
    </w:p>
    <w:p w:rsidR="00DA4E52" w:rsidRPr="00EF526D" w:rsidRDefault="00DA4E52" w:rsidP="00CE41CE">
      <w:pPr>
        <w:jc w:val="center"/>
        <w:rPr>
          <w:rStyle w:val="hps"/>
          <w:rFonts w:cs="Arial"/>
          <w:color w:val="222222"/>
          <w:szCs w:val="19"/>
        </w:rPr>
      </w:pPr>
      <w:r w:rsidRPr="00EF526D">
        <w:rPr>
          <w:rStyle w:val="hps"/>
          <w:rFonts w:cs="Arial"/>
          <w:noProof/>
          <w:color w:val="222222"/>
          <w:szCs w:val="19"/>
          <w:lang w:eastAsia="cs-CZ"/>
        </w:rPr>
        <w:drawing>
          <wp:inline distT="0" distB="0" distL="0" distR="0" wp14:anchorId="0AF42E34" wp14:editId="549D40E1">
            <wp:extent cx="4965330" cy="2714625"/>
            <wp:effectExtent l="0" t="0" r="6985" b="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69928" cy="2717139"/>
                    </a:xfrm>
                    <a:prstGeom prst="rect">
                      <a:avLst/>
                    </a:prstGeom>
                    <a:noFill/>
                  </pic:spPr>
                </pic:pic>
              </a:graphicData>
            </a:graphic>
          </wp:inline>
        </w:drawing>
      </w:r>
    </w:p>
    <w:p w:rsidR="00DA4E52" w:rsidRPr="00EF526D" w:rsidRDefault="00DA4E52" w:rsidP="00DA4E52">
      <w:pPr>
        <w:pStyle w:val="Titulek"/>
      </w:pPr>
      <w:bookmarkStart w:id="88" w:name="_Toc402012888"/>
      <w:bookmarkStart w:id="89" w:name="_Toc409795572"/>
      <w:bookmarkStart w:id="90" w:name="_Toc417655523"/>
      <w:r>
        <w:t xml:space="preserve">Obrázek </w:t>
      </w:r>
      <w:r>
        <w:fldChar w:fldCharType="begin"/>
      </w:r>
      <w:r>
        <w:instrText xml:space="preserve"> SEQ Obrázek \* ARABIC </w:instrText>
      </w:r>
      <w:r>
        <w:fldChar w:fldCharType="separate"/>
      </w:r>
      <w:r w:rsidR="00337437">
        <w:rPr>
          <w:noProof/>
        </w:rPr>
        <w:t>9</w:t>
      </w:r>
      <w:r>
        <w:fldChar w:fldCharType="end"/>
      </w:r>
      <w:r>
        <w:t xml:space="preserve">: </w:t>
      </w:r>
      <w:r w:rsidRPr="00EF526D">
        <w:rPr>
          <w:rFonts w:cs="Arial"/>
          <w:szCs w:val="19"/>
        </w:rPr>
        <w:t>Schéma realizace London Green Fund</w:t>
      </w:r>
      <w:bookmarkEnd w:id="88"/>
      <w:bookmarkEnd w:id="89"/>
      <w:bookmarkEnd w:id="90"/>
    </w:p>
    <w:p w:rsidR="00DA4E52" w:rsidRPr="00EF526D" w:rsidRDefault="00DA4E52" w:rsidP="00DA4E52">
      <w:r w:rsidRPr="00EF526D">
        <w:t xml:space="preserve">Činnost LGF bude ukončena na konci roku 2015, již nyní se ovšem pracuje na ustavení jeho nástupce, který bude jeho přímým pokračovatelem za podpory prostředků z Evropských a strukturálních fondů. V období 2015 – 2020 bude nástupnický fond podporovat zejména budování zařízení na recyklaci odpadu v duchu cíle evropské komise recyklovat do roku 2030 70% komunálního odpadu. Jen v Londýně to znamená nutnost vybudovat přes 40 nových recyklačních objektů. </w:t>
      </w:r>
    </w:p>
    <w:p w:rsidR="00DA4E52" w:rsidRPr="00EF526D" w:rsidRDefault="00DA4E52" w:rsidP="00DA4E52">
      <w:pPr>
        <w:rPr>
          <w:b/>
        </w:rPr>
      </w:pPr>
      <w:r w:rsidRPr="00EF526D">
        <w:t xml:space="preserve">Současné plány LWARB hovoří o alokaci 20 mil. £ do roku 2020, z toho 7 mil. </w:t>
      </w:r>
      <w:r w:rsidRPr="00EF526D">
        <w:rPr>
          <w:b/>
          <w:szCs w:val="19"/>
        </w:rPr>
        <w:t>£</w:t>
      </w:r>
      <w:r w:rsidRPr="00EF526D">
        <w:t xml:space="preserve">  formou equity v nástupnickém fondu (pracovně LGF2) a zbylé prostředky formou dluhového financování a přímých venture capital investic.</w:t>
      </w:r>
    </w:p>
    <w:p w:rsidR="00DA4E52" w:rsidRDefault="00DA4E52" w:rsidP="00DA4E52">
      <w:pPr>
        <w:rPr>
          <w:b/>
          <w:szCs w:val="19"/>
        </w:rPr>
      </w:pPr>
      <w:r>
        <w:rPr>
          <w:szCs w:val="19"/>
        </w:rPr>
        <w:t>Vedle LGF zaštiťuje LWA</w:t>
      </w:r>
      <w:r w:rsidRPr="00EF526D">
        <w:rPr>
          <w:szCs w:val="19"/>
        </w:rPr>
        <w:t>RB též Infrastructure Investment Programme (IIP), kde poskytuje pouze dluhové financování.</w:t>
      </w:r>
    </w:p>
    <w:p w:rsidR="00DA4E52" w:rsidRPr="00403C49" w:rsidRDefault="00DA4E52" w:rsidP="00DA4E52">
      <w:pPr>
        <w:pStyle w:val="CaptionIntroductionparagraph"/>
      </w:pPr>
      <w:r w:rsidRPr="00403C49">
        <w:t xml:space="preserve">Polsko </w:t>
      </w:r>
    </w:p>
    <w:p w:rsidR="00DA4E52" w:rsidRPr="00B5430B" w:rsidRDefault="00DA4E52" w:rsidP="00DA4E52">
      <w:r w:rsidRPr="00B5430B">
        <w:t>Národní a krajské fondy na ochranu životního prostředí a vodního hospodářství byly založeny v Polsku v roce 1989 v rámci post socialistické transformace země. Na těchto fondech stojí celý mechanismus financování investičních projektů</w:t>
      </w:r>
    </w:p>
    <w:p w:rsidR="00CE41CE" w:rsidRDefault="00CE41CE" w:rsidP="00DA4E52">
      <w:pPr>
        <w:pStyle w:val="Highlight3"/>
        <w:rPr>
          <w:shd w:val="clear" w:color="auto" w:fill="FFFFFF"/>
        </w:rPr>
      </w:pPr>
    </w:p>
    <w:p w:rsidR="00CE41CE" w:rsidRDefault="00CE41CE" w:rsidP="00DA4E52">
      <w:pPr>
        <w:pStyle w:val="Highlight3"/>
        <w:rPr>
          <w:shd w:val="clear" w:color="auto" w:fill="FFFFFF"/>
        </w:rPr>
      </w:pPr>
    </w:p>
    <w:p w:rsidR="00DA4E52" w:rsidRPr="00EF526D" w:rsidRDefault="00DA4E52" w:rsidP="00DA4E52">
      <w:pPr>
        <w:pStyle w:val="Highlight3"/>
        <w:rPr>
          <w:shd w:val="clear" w:color="auto" w:fill="FFFFFF"/>
        </w:rPr>
      </w:pPr>
      <w:r w:rsidRPr="00EF526D">
        <w:rPr>
          <w:shd w:val="clear" w:color="auto" w:fill="FFFFFF"/>
        </w:rPr>
        <w:t>Narodowy Fundusz Ochrony Środowiska i Gospodarki Wodnej</w:t>
      </w:r>
    </w:p>
    <w:p w:rsidR="00DA4E52" w:rsidRPr="00EF526D" w:rsidRDefault="00DA4E52" w:rsidP="00DA4E52">
      <w:pPr>
        <w:rPr>
          <w:b/>
        </w:rPr>
      </w:pPr>
      <w:r w:rsidRPr="00EF526D">
        <w:t xml:space="preserve">Na programové období 2014 – 2020 se počítá </w:t>
      </w:r>
      <w:r>
        <w:t xml:space="preserve">v rámci fondu </w:t>
      </w:r>
      <w:r w:rsidRPr="00B5430B">
        <w:t>Narodowy Fundusz Ochrony Środowiska i Gospodarki Wodnej</w:t>
      </w:r>
      <w:r>
        <w:t xml:space="preserve">  (dále „NFOSiGW“) </w:t>
      </w:r>
      <w:r w:rsidRPr="00EF526D">
        <w:t>s evropskými dotačními prostředky ve výši 3 808,2 mil. €. Zdroji financování jsou Fond Soudržnosti a Evropský Fond Regionálního Rozvoje. Další prostředky národní a regionální Fondy načerpají z programu Life +, Norského finančního mechanismu a Mechanismu Evropského Hospodářského Pr</w:t>
      </w:r>
      <w:r>
        <w:t>ostoru.  Další finance získává fond</w:t>
      </w:r>
      <w:r w:rsidRPr="00EF526D">
        <w:t xml:space="preserve"> prodejem emisních poukázek CO2 přidělených v rámci Kjótského protokolu.</w:t>
      </w:r>
    </w:p>
    <w:p w:rsidR="00DA4E52" w:rsidRPr="00EF526D" w:rsidRDefault="00DA4E52" w:rsidP="00DA4E52">
      <w:pPr>
        <w:rPr>
          <w:b/>
        </w:rPr>
      </w:pPr>
      <w:r w:rsidRPr="00EF526D">
        <w:t>V roce 2013 poskytl NFOSiGW financování ve výši 5,2 mld. PLN, z čehož téměř polovina pocházela z evropských zdrojů. Metody poskytovaného financování</w:t>
      </w:r>
      <w:r>
        <w:t xml:space="preserve"> jsou zejména následující</w:t>
      </w:r>
      <w:r w:rsidRPr="00EF526D">
        <w:t>:</w:t>
      </w:r>
    </w:p>
    <w:p w:rsidR="00DA4E52" w:rsidRPr="00BD7BD2" w:rsidRDefault="00DA4E52" w:rsidP="002D2639">
      <w:pPr>
        <w:pStyle w:val="Odstavecseseznamem"/>
        <w:numPr>
          <w:ilvl w:val="0"/>
          <w:numId w:val="49"/>
        </w:numPr>
        <w:rPr>
          <w:b/>
        </w:rPr>
      </w:pPr>
      <w:r w:rsidRPr="00EF526D">
        <w:t>Investiční a neinvestiční dotace</w:t>
      </w:r>
    </w:p>
    <w:p w:rsidR="00DA4E52" w:rsidRPr="00BD7BD2" w:rsidRDefault="00DA4E52" w:rsidP="002D2639">
      <w:pPr>
        <w:pStyle w:val="Odstavecseseznamem"/>
        <w:numPr>
          <w:ilvl w:val="0"/>
          <w:numId w:val="49"/>
        </w:numPr>
        <w:rPr>
          <w:b/>
        </w:rPr>
      </w:pPr>
      <w:r w:rsidRPr="00EF526D">
        <w:t>Půjčky, úvěrové linky</w:t>
      </w:r>
    </w:p>
    <w:p w:rsidR="00DA4E52" w:rsidRPr="00BD7BD2" w:rsidRDefault="00DA4E52" w:rsidP="002D2639">
      <w:pPr>
        <w:pStyle w:val="Odstavecseseznamem"/>
        <w:numPr>
          <w:ilvl w:val="0"/>
          <w:numId w:val="49"/>
        </w:numPr>
        <w:rPr>
          <w:b/>
        </w:rPr>
      </w:pPr>
      <w:r w:rsidRPr="00EF526D">
        <w:t>Úvěrování prostřednictvím bank</w:t>
      </w:r>
    </w:p>
    <w:p w:rsidR="00DA4E52" w:rsidRPr="00BD7BD2" w:rsidRDefault="00DA4E52" w:rsidP="002D2639">
      <w:pPr>
        <w:pStyle w:val="Odstavecseseznamem"/>
        <w:numPr>
          <w:ilvl w:val="0"/>
          <w:numId w:val="49"/>
        </w:numPr>
        <w:rPr>
          <w:b/>
        </w:rPr>
      </w:pPr>
      <w:r w:rsidRPr="00EF526D">
        <w:t>Úlevy na rekultivaci prostředí po ukončení činnosti</w:t>
      </w:r>
    </w:p>
    <w:p w:rsidR="00DA4E52" w:rsidRPr="00BD7BD2" w:rsidRDefault="00DA4E52" w:rsidP="002D2639">
      <w:pPr>
        <w:pStyle w:val="Odstavecseseznamem"/>
        <w:numPr>
          <w:ilvl w:val="0"/>
          <w:numId w:val="49"/>
        </w:numPr>
        <w:rPr>
          <w:b/>
        </w:rPr>
      </w:pPr>
      <w:r w:rsidRPr="00EF526D">
        <w:t>Equity investice</w:t>
      </w:r>
    </w:p>
    <w:p w:rsidR="00DA4E52" w:rsidRPr="00BD7BD2" w:rsidRDefault="00DA4E52" w:rsidP="002D2639">
      <w:pPr>
        <w:pStyle w:val="Odstavecseseznamem"/>
        <w:numPr>
          <w:ilvl w:val="0"/>
          <w:numId w:val="49"/>
        </w:numPr>
        <w:rPr>
          <w:b/>
        </w:rPr>
      </w:pPr>
      <w:r w:rsidRPr="00EF526D">
        <w:t>Dotace na úhradu bankovních úroků</w:t>
      </w:r>
    </w:p>
    <w:p w:rsidR="00DA4E52" w:rsidRPr="00ED6618" w:rsidRDefault="00DA4E52" w:rsidP="002D2639">
      <w:pPr>
        <w:pStyle w:val="Odstavecseseznamem"/>
        <w:numPr>
          <w:ilvl w:val="0"/>
          <w:numId w:val="49"/>
        </w:numPr>
        <w:rPr>
          <w:b/>
        </w:rPr>
      </w:pPr>
      <w:r w:rsidRPr="00EF526D">
        <w:t>Umoření části jistiny komerčních úvěrů</w:t>
      </w:r>
    </w:p>
    <w:p w:rsidR="00DA4E52" w:rsidRPr="00EF526D" w:rsidRDefault="00DA4E52" w:rsidP="00DA4E52">
      <w:pPr>
        <w:pStyle w:val="Highlight3"/>
      </w:pPr>
      <w:r w:rsidRPr="00EF526D">
        <w:t>Wojewódzki Fundusz Ochrony Środowiska i Gospodarki Wodnej w Katowicach (WFOŚiGWvK)</w:t>
      </w:r>
    </w:p>
    <w:p w:rsidR="00DA4E52" w:rsidRPr="00EF526D" w:rsidRDefault="00DA4E52" w:rsidP="00DA4E52">
      <w:pPr>
        <w:rPr>
          <w:b/>
        </w:rPr>
      </w:pPr>
      <w:r w:rsidRPr="00EF526D">
        <w:t xml:space="preserve">Každé vojvodství má svůj fond fungující na stejném principu. </w:t>
      </w:r>
      <w:r>
        <w:t>Pro potřeby mezinárodního srovnání byl vybrán Fond vojvodství Katowice. Tento fond</w:t>
      </w:r>
      <w:r w:rsidRPr="00EF526D">
        <w:t xml:space="preserve"> byl založen roku 1993 jako veřejná finanční instituce realizující ekologickou politiku slezského vojvodství. Fond podporuje ekologické projekty realizované veřejnými i soukromými subjekty s využitím evropských prostředků určených na ochranu životního prostředí a vodního hospodářství. Fond podporuje projekty nejčastěji formou dotací</w:t>
      </w:r>
      <w:r>
        <w:t xml:space="preserve"> a úvěrů</w:t>
      </w:r>
      <w:r w:rsidRPr="00EF526D">
        <w:t>, se souhlasem vojvody se může stát i equity investorem.</w:t>
      </w:r>
      <w:r>
        <w:t xml:space="preserve"> Oblasti investic jsou zejména:</w:t>
      </w:r>
    </w:p>
    <w:p w:rsidR="00DA4E52" w:rsidRPr="00BD7BD2" w:rsidRDefault="00DA4E52" w:rsidP="002D2639">
      <w:pPr>
        <w:pStyle w:val="Odstavecseseznamem"/>
        <w:numPr>
          <w:ilvl w:val="0"/>
          <w:numId w:val="50"/>
        </w:numPr>
        <w:rPr>
          <w:b/>
        </w:rPr>
      </w:pPr>
      <w:r w:rsidRPr="00EF526D">
        <w:t>Vodní a odpadní hospodářství</w:t>
      </w:r>
      <w:r>
        <w:t>;</w:t>
      </w:r>
    </w:p>
    <w:p w:rsidR="00DA4E52" w:rsidRPr="00BD7BD2" w:rsidRDefault="00DA4E52" w:rsidP="002D2639">
      <w:pPr>
        <w:pStyle w:val="Odstavecseseznamem"/>
        <w:numPr>
          <w:ilvl w:val="0"/>
          <w:numId w:val="50"/>
        </w:numPr>
        <w:rPr>
          <w:b/>
        </w:rPr>
      </w:pPr>
      <w:r w:rsidRPr="00EF526D">
        <w:t>Nakládání s odpady a jejich recyklace</w:t>
      </w:r>
      <w:r>
        <w:t>;</w:t>
      </w:r>
    </w:p>
    <w:p w:rsidR="00DA4E52" w:rsidRPr="00BD7BD2" w:rsidRDefault="00DA4E52" w:rsidP="002D2639">
      <w:pPr>
        <w:pStyle w:val="Odstavecseseznamem"/>
        <w:numPr>
          <w:ilvl w:val="0"/>
          <w:numId w:val="50"/>
        </w:numPr>
        <w:rPr>
          <w:b/>
        </w:rPr>
      </w:pPr>
      <w:r w:rsidRPr="00EF526D">
        <w:t>Ochrana ovzduší</w:t>
      </w:r>
      <w:r>
        <w:t>;</w:t>
      </w:r>
    </w:p>
    <w:p w:rsidR="00DA4E52" w:rsidRPr="00BD7BD2" w:rsidRDefault="00DA4E52" w:rsidP="002D2639">
      <w:pPr>
        <w:pStyle w:val="Odstavecseseznamem"/>
        <w:numPr>
          <w:ilvl w:val="0"/>
          <w:numId w:val="50"/>
        </w:numPr>
        <w:rPr>
          <w:b/>
        </w:rPr>
      </w:pPr>
      <w:r w:rsidRPr="00EF526D">
        <w:t>Likvidace následků havárií, znečištění a živelných pohrom</w:t>
      </w:r>
      <w:r>
        <w:t>.</w:t>
      </w:r>
    </w:p>
    <w:p w:rsidR="00DA4E52" w:rsidRPr="00BD7BD2" w:rsidRDefault="00DA4E52" w:rsidP="00DA4E52">
      <w:pPr>
        <w:rPr>
          <w:b/>
        </w:rPr>
      </w:pPr>
      <w:r w:rsidRPr="00EF526D">
        <w:t>V praxi pak vojvodský fond dotuje nejčastěji následující typy projektů:</w:t>
      </w:r>
    </w:p>
    <w:p w:rsidR="00DA4E52" w:rsidRPr="00BD7BD2" w:rsidRDefault="00DA4E52" w:rsidP="002D2639">
      <w:pPr>
        <w:pStyle w:val="Odstavecseseznamem"/>
        <w:numPr>
          <w:ilvl w:val="0"/>
          <w:numId w:val="50"/>
        </w:numPr>
        <w:rPr>
          <w:b/>
        </w:rPr>
      </w:pPr>
      <w:r w:rsidRPr="00EF526D">
        <w:t>Zateplení budov</w:t>
      </w:r>
      <w:r>
        <w:t>;</w:t>
      </w:r>
    </w:p>
    <w:p w:rsidR="00DA4E52" w:rsidRPr="00BD7BD2" w:rsidRDefault="00DA4E52" w:rsidP="002D2639">
      <w:pPr>
        <w:pStyle w:val="Odstavecseseznamem"/>
        <w:numPr>
          <w:ilvl w:val="0"/>
          <w:numId w:val="50"/>
        </w:numPr>
        <w:rPr>
          <w:b/>
        </w:rPr>
      </w:pPr>
      <w:r w:rsidRPr="00EF526D">
        <w:t>Likvidace azbestu</w:t>
      </w:r>
      <w:r>
        <w:t>;</w:t>
      </w:r>
    </w:p>
    <w:p w:rsidR="00DA4E52" w:rsidRPr="00BD7BD2" w:rsidRDefault="00DA4E52" w:rsidP="002D2639">
      <w:pPr>
        <w:pStyle w:val="Odstavecseseznamem"/>
        <w:numPr>
          <w:ilvl w:val="0"/>
          <w:numId w:val="50"/>
        </w:numPr>
        <w:rPr>
          <w:b/>
        </w:rPr>
      </w:pPr>
      <w:r w:rsidRPr="00EF526D">
        <w:t>Ekologické zdroje energie</w:t>
      </w:r>
      <w:r>
        <w:t>;</w:t>
      </w:r>
    </w:p>
    <w:p w:rsidR="00DA4E52" w:rsidRPr="00BD7BD2" w:rsidRDefault="00DA4E52" w:rsidP="002D2639">
      <w:pPr>
        <w:pStyle w:val="Odstavecseseznamem"/>
        <w:numPr>
          <w:ilvl w:val="0"/>
          <w:numId w:val="50"/>
        </w:numPr>
        <w:rPr>
          <w:b/>
        </w:rPr>
      </w:pPr>
      <w:r w:rsidRPr="00EF526D">
        <w:t>Výměna tepelných jednotek</w:t>
      </w:r>
      <w:r>
        <w:t>.</w:t>
      </w:r>
    </w:p>
    <w:p w:rsidR="00DA4E52" w:rsidRPr="00EF526D" w:rsidRDefault="00DA4E52" w:rsidP="00DA4E52">
      <w:pPr>
        <w:rPr>
          <w:b/>
        </w:rPr>
      </w:pPr>
      <w:r w:rsidRPr="00EF526D">
        <w:t xml:space="preserve">Stěžejní roli při financování fondu hrají prostředky </w:t>
      </w:r>
      <w:r>
        <w:t>EU</w:t>
      </w:r>
      <w:r w:rsidRPr="00EF526D">
        <w:t xml:space="preserve"> a další zahraniční zdroje financování, které jsou doplňovány z centrálního a regionálního rozpočtu. Na začátku roku bude Fond disponovat 1 225,5 mld. PLN a dalších 155,8 mld. PLN do jeho rozpočtu přiteče v průběhu roku. Celkové výdaje na rok 2015 se očekávají ve výši 493,5 mld. PLN (488,2 mld. PLN v roce 2014, 374,8 mld. PLN v roce 2013). </w:t>
      </w:r>
    </w:p>
    <w:p w:rsidR="00DA4E52" w:rsidRPr="00EF526D" w:rsidRDefault="00DA4E52" w:rsidP="00DA4E52">
      <w:pPr>
        <w:rPr>
          <w:b/>
        </w:rPr>
      </w:pPr>
      <w:r w:rsidRPr="00EF526D">
        <w:t xml:space="preserve">Fond poskytuje financování </w:t>
      </w:r>
      <w:r>
        <w:t xml:space="preserve">formou finančních nástrojů </w:t>
      </w:r>
      <w:r w:rsidRPr="00EF526D">
        <w:t>v následujících podobách:</w:t>
      </w:r>
    </w:p>
    <w:p w:rsidR="00DA4E52" w:rsidRPr="00BD7BD2" w:rsidRDefault="00DA4E52" w:rsidP="00DA4E52">
      <w:pPr>
        <w:rPr>
          <w:b/>
        </w:rPr>
      </w:pPr>
      <w:r w:rsidRPr="00BD7BD2">
        <w:rPr>
          <w:b/>
        </w:rPr>
        <w:t>Úvěry, včetně překlenovacích</w:t>
      </w:r>
    </w:p>
    <w:p w:rsidR="00DA4E52" w:rsidRPr="00EF526D" w:rsidRDefault="00DA4E52" w:rsidP="00DA4E52">
      <w:pPr>
        <w:rPr>
          <w:b/>
        </w:rPr>
      </w:pPr>
      <w:r w:rsidRPr="00EF526D">
        <w:t>Až do výše 80% kvalifikovaných nákladů s přihlédnutím k ekologickému významu projektu a možnostem Fondu. V případě kombinace půjčky a dotace nesmí souhrnná podpora přesáhnout 80% způsobilých nákladů. Výjimku tvoří projekty na odstraňování azbestu, které jsou oprávněny získat pokrytí 100% nákladů. V případě financování za použití evropských zdrojů nemůže podpora přesáhnout 80% vlastních prostředků žadatele.</w:t>
      </w:r>
    </w:p>
    <w:p w:rsidR="00DA4E52" w:rsidRPr="00EF526D" w:rsidRDefault="00DA4E52" w:rsidP="00DA4E52">
      <w:pPr>
        <w:rPr>
          <w:b/>
        </w:rPr>
      </w:pPr>
      <w:r w:rsidRPr="00EF526D">
        <w:t>Úroková sazba se odvozuje jako 0,95*repo sazba publikované polskou centrální bankou, nikoli však méně než 3,5%. Půjčka musí být splacena v rozmezí 3 – 12 let, přičemž první splátka je splatná 3 – 12 měsíců po dokončení realizace projektu. Překlenovací úvěry se řídí speciálními podmínkami. Půjčka je poskytována prostřednictvím spolupracující banky, která má v kompetenci posuzování bonity žadatele a řídí standardními procedurami běžnými v bankovním sektoru.</w:t>
      </w:r>
    </w:p>
    <w:p w:rsidR="00CE41CE" w:rsidRDefault="00CE41CE" w:rsidP="00DA4E52">
      <w:pPr>
        <w:rPr>
          <w:b/>
        </w:rPr>
      </w:pPr>
    </w:p>
    <w:p w:rsidR="00CE41CE" w:rsidRDefault="00CE41CE" w:rsidP="00DA4E52">
      <w:pPr>
        <w:rPr>
          <w:b/>
        </w:rPr>
      </w:pPr>
    </w:p>
    <w:p w:rsidR="00CE41CE" w:rsidRDefault="00CE41CE" w:rsidP="00DA4E52">
      <w:pPr>
        <w:rPr>
          <w:b/>
        </w:rPr>
      </w:pPr>
    </w:p>
    <w:p w:rsidR="00DA4E52" w:rsidRPr="00BD7BD2" w:rsidRDefault="00DA4E52" w:rsidP="00DA4E52">
      <w:pPr>
        <w:rPr>
          <w:b/>
        </w:rPr>
      </w:pPr>
      <w:r w:rsidRPr="00BD7BD2">
        <w:rPr>
          <w:b/>
        </w:rPr>
        <w:t>Umoření části čerpaného úvěru</w:t>
      </w:r>
    </w:p>
    <w:p w:rsidR="00DA4E52" w:rsidRPr="00EF526D" w:rsidRDefault="00DA4E52" w:rsidP="00DA4E52">
      <w:pPr>
        <w:rPr>
          <w:b/>
        </w:rPr>
      </w:pPr>
      <w:r w:rsidRPr="00EF526D">
        <w:t xml:space="preserve">Fond nabízí umoření části jistiny běžného komerčního úvěru čerpaného žadatelem v souvislosti s projektem. K umoření může dojít v případě, kdy byl celý projekt dokončen podle plánu, v odpovídajícím období přinesl dohodnuté ekologické benefity a zároveň byla řádně splacena alespoň polovina půjčky. </w:t>
      </w:r>
    </w:p>
    <w:p w:rsidR="00DA4E52" w:rsidRDefault="00DA4E52" w:rsidP="00DA4E52">
      <w:r w:rsidRPr="00EF526D">
        <w:t>Umořeno může být 20% půjčky, nebo až 40 % (v některých případech až 45%) půjčky v případě, že se dlužník zaváže ekvivalent umořené částky reinvestovat do jiného projektu podporovaného typu.</w:t>
      </w:r>
      <w:r>
        <w:t xml:space="preserve"> </w:t>
      </w:r>
    </w:p>
    <w:p w:rsidR="00DA4E52" w:rsidRPr="00BD7BD2" w:rsidRDefault="00DA4E52" w:rsidP="00DA4E52">
      <w:pPr>
        <w:rPr>
          <w:b/>
        </w:rPr>
      </w:pPr>
      <w:r w:rsidRPr="00BD7BD2">
        <w:rPr>
          <w:b/>
        </w:rPr>
        <w:t>Dotace na úhradu úrokových nákladů čerpaného úvěru</w:t>
      </w:r>
    </w:p>
    <w:p w:rsidR="00DA4E52" w:rsidRPr="00EF526D" w:rsidRDefault="00DA4E52" w:rsidP="00DA4E52">
      <w:pPr>
        <w:rPr>
          <w:b/>
        </w:rPr>
      </w:pPr>
      <w:r>
        <w:t>Dotace je p</w:t>
      </w:r>
      <w:r w:rsidRPr="00EF526D">
        <w:t>oskytována na úhradu úrokových nákladů z úvěru dosahujícího až do výše 80% způsobilých nákladů. Hradit je možné náklady úvěrů, jejichž úroková sazba nepřesahuje dvojnásobek 3M WIBOR</w:t>
      </w:r>
      <w:r>
        <w:t xml:space="preserve"> přičemž fond neu</w:t>
      </w:r>
      <w:r w:rsidRPr="00EF526D">
        <w:t>hradí větší část úrokového nákladu než 0,6*3M WIBOR. Dotovat lze pouze úrokové náklady úvěrů splatných do 12 let od realizace projektu.</w:t>
      </w:r>
    </w:p>
    <w:p w:rsidR="00DA4E52" w:rsidRPr="00BD7BD2" w:rsidRDefault="00DA4E52" w:rsidP="00DA4E52">
      <w:pPr>
        <w:rPr>
          <w:b/>
        </w:rPr>
      </w:pPr>
      <w:r w:rsidRPr="00BD7BD2">
        <w:rPr>
          <w:b/>
        </w:rPr>
        <w:t>Bankovní úvěrová linka</w:t>
      </w:r>
    </w:p>
    <w:p w:rsidR="00DA4E52" w:rsidRPr="00EF526D" w:rsidRDefault="00DA4E52" w:rsidP="00DA4E52">
      <w:pPr>
        <w:rPr>
          <w:b/>
        </w:rPr>
      </w:pPr>
      <w:r w:rsidRPr="00EF526D">
        <w:t xml:space="preserve">Financování až 90 % způsobilých investičních nákladů, ne však více než 300 tis. PLN, prostřednictvím bankovní úvěrové linky. Sazba úvěru je 0,95 repo sazby, ne však méně než 3,5 % p.a. Jednorázová provize banky činí 1 % přiznané linky. </w:t>
      </w:r>
    </w:p>
    <w:p w:rsidR="00DA4E52" w:rsidRPr="00EF526D" w:rsidRDefault="00DA4E52" w:rsidP="00DA4E52">
      <w:pPr>
        <w:rPr>
          <w:b/>
        </w:rPr>
      </w:pPr>
      <w:r w:rsidRPr="00EF526D">
        <w:t>Linka musí být splacena v rozmezí 3 – 12 let, přičemž první splátka je splatná 3 – 12 měsíců po dokončení realizace projektu. Celý projekt musí být dokončen do 18 měsíců od poskytnutí úvěrové linky. Linka je poskytována prostřednictvím spolupracující banky, která má v kompetenci posuzování bonity žadatele a řídí standardními procedurami běžnými v bankovním sektoru.</w:t>
      </w:r>
    </w:p>
    <w:p w:rsidR="00DA4E52" w:rsidRPr="00BD7BD2" w:rsidRDefault="00DA4E52" w:rsidP="00DA4E52">
      <w:pPr>
        <w:pStyle w:val="CaptionIntroductionparagraph"/>
      </w:pPr>
      <w:r w:rsidRPr="00BD7BD2">
        <w:rPr>
          <w:rStyle w:val="st1"/>
        </w:rPr>
        <w:t xml:space="preserve">Spolková republika </w:t>
      </w:r>
      <w:r w:rsidRPr="00583749">
        <w:rPr>
          <w:rStyle w:val="st1"/>
        </w:rPr>
        <w:t>Německo</w:t>
      </w:r>
    </w:p>
    <w:p w:rsidR="00DA4E52" w:rsidRDefault="00DA4E52" w:rsidP="00DA4E52">
      <w:pPr>
        <w:pStyle w:val="Highlight3"/>
      </w:pPr>
      <w:r>
        <w:t xml:space="preserve">Kreditanstalt für Wiederaufbau Bankengruppe </w:t>
      </w:r>
    </w:p>
    <w:p w:rsidR="00DA4E52" w:rsidRDefault="00DA4E52" w:rsidP="00DA4E52">
      <w:pPr>
        <w:rPr>
          <w:rFonts w:cs="Arial"/>
          <w:color w:val="222222"/>
          <w:szCs w:val="19"/>
        </w:rPr>
      </w:pPr>
      <w:r w:rsidRPr="00EF526D">
        <w:t xml:space="preserve">Od roku 1945 působí </w:t>
      </w:r>
      <w:r>
        <w:t xml:space="preserve">v Německu </w:t>
      </w:r>
      <w:r w:rsidRPr="00651648">
        <w:t xml:space="preserve">Kreditanstalt für Wiederaufbau Bankengruppe </w:t>
      </w:r>
      <w:r>
        <w:t>(dále „</w:t>
      </w:r>
      <w:r w:rsidRPr="00EF526D">
        <w:t>KfW</w:t>
      </w:r>
      <w:r>
        <w:t xml:space="preserve">“). </w:t>
      </w:r>
      <w:r w:rsidRPr="00EF526D">
        <w:rPr>
          <w:rFonts w:cs="Arial"/>
          <w:szCs w:val="19"/>
        </w:rPr>
        <w:t xml:space="preserve">KfW </w:t>
      </w:r>
      <w:r>
        <w:rPr>
          <w:rFonts w:cs="Arial"/>
          <w:szCs w:val="19"/>
        </w:rPr>
        <w:t xml:space="preserve">je státem podporovanou bankou. V oblasti environmentálních opatření se </w:t>
      </w:r>
      <w:r w:rsidRPr="00EF526D">
        <w:rPr>
          <w:rFonts w:cs="Arial"/>
          <w:szCs w:val="19"/>
        </w:rPr>
        <w:t xml:space="preserve">zaměřuje na podporu projektů soukromých osob a majitelů domů, pronajímatelů a bytových společností, kteří mají zájem o provedení </w:t>
      </w:r>
      <w:r w:rsidRPr="00EF526D">
        <w:rPr>
          <w:rStyle w:val="hps"/>
          <w:rFonts w:cs="Arial"/>
          <w:color w:val="222222"/>
          <w:szCs w:val="19"/>
        </w:rPr>
        <w:t>energeticky úsporné</w:t>
      </w:r>
      <w:r w:rsidRPr="00EF526D">
        <w:rPr>
          <w:rFonts w:cs="Arial"/>
          <w:color w:val="222222"/>
          <w:szCs w:val="19"/>
        </w:rPr>
        <w:t xml:space="preserve"> </w:t>
      </w:r>
      <w:r w:rsidRPr="00EF526D">
        <w:rPr>
          <w:rStyle w:val="hps"/>
          <w:rFonts w:cs="Arial"/>
          <w:color w:val="222222"/>
          <w:szCs w:val="19"/>
        </w:rPr>
        <w:t>rekonstrukce</w:t>
      </w:r>
      <w:r w:rsidRPr="00EF526D">
        <w:rPr>
          <w:rFonts w:cs="Arial"/>
          <w:color w:val="222222"/>
          <w:szCs w:val="19"/>
        </w:rPr>
        <w:t xml:space="preserve"> </w:t>
      </w:r>
      <w:r w:rsidRPr="00EF526D">
        <w:rPr>
          <w:rStyle w:val="hps"/>
          <w:rFonts w:cs="Arial"/>
          <w:color w:val="222222"/>
          <w:szCs w:val="19"/>
        </w:rPr>
        <w:t>starších</w:t>
      </w:r>
      <w:r w:rsidRPr="00EF526D">
        <w:rPr>
          <w:rFonts w:cs="Arial"/>
          <w:color w:val="222222"/>
          <w:szCs w:val="19"/>
        </w:rPr>
        <w:t xml:space="preserve"> </w:t>
      </w:r>
      <w:r w:rsidRPr="00EF526D">
        <w:rPr>
          <w:rStyle w:val="hps"/>
          <w:rFonts w:cs="Arial"/>
          <w:color w:val="222222"/>
          <w:szCs w:val="19"/>
        </w:rPr>
        <w:t>bytových domů</w:t>
      </w:r>
      <w:r w:rsidRPr="00EF526D">
        <w:rPr>
          <w:rFonts w:cs="Arial"/>
          <w:color w:val="222222"/>
          <w:szCs w:val="19"/>
        </w:rPr>
        <w:t xml:space="preserve">, zejména </w:t>
      </w:r>
      <w:r w:rsidRPr="00EF526D">
        <w:rPr>
          <w:rStyle w:val="hps"/>
          <w:rFonts w:cs="Arial"/>
          <w:color w:val="222222"/>
          <w:szCs w:val="19"/>
        </w:rPr>
        <w:t>s granty</w:t>
      </w:r>
      <w:r w:rsidRPr="00EF526D">
        <w:rPr>
          <w:rFonts w:cs="Arial"/>
          <w:color w:val="222222"/>
          <w:szCs w:val="19"/>
        </w:rPr>
        <w:t xml:space="preserve"> </w:t>
      </w:r>
      <w:r w:rsidRPr="00EF526D">
        <w:rPr>
          <w:rStyle w:val="hps"/>
          <w:rFonts w:cs="Arial"/>
          <w:color w:val="222222"/>
          <w:szCs w:val="19"/>
        </w:rPr>
        <w:t>nebo půjčkami</w:t>
      </w:r>
      <w:r w:rsidRPr="00EF526D">
        <w:rPr>
          <w:rFonts w:cs="Arial"/>
          <w:color w:val="222222"/>
          <w:szCs w:val="19"/>
        </w:rPr>
        <w:t xml:space="preserve"> </w:t>
      </w:r>
      <w:r w:rsidRPr="00EF526D">
        <w:rPr>
          <w:rStyle w:val="hps"/>
          <w:rFonts w:cs="Arial"/>
          <w:color w:val="222222"/>
          <w:szCs w:val="19"/>
        </w:rPr>
        <w:t>za</w:t>
      </w:r>
      <w:r w:rsidRPr="00EF526D">
        <w:rPr>
          <w:rFonts w:cs="Arial"/>
          <w:color w:val="222222"/>
          <w:szCs w:val="19"/>
        </w:rPr>
        <w:t xml:space="preserve"> </w:t>
      </w:r>
      <w:r w:rsidRPr="00EF526D">
        <w:rPr>
          <w:rStyle w:val="hps"/>
          <w:rFonts w:cs="Arial"/>
          <w:color w:val="222222"/>
          <w:szCs w:val="19"/>
        </w:rPr>
        <w:t>zvýhodněných</w:t>
      </w:r>
      <w:r w:rsidRPr="00EF526D">
        <w:rPr>
          <w:rFonts w:cs="Arial"/>
          <w:color w:val="222222"/>
          <w:szCs w:val="19"/>
        </w:rPr>
        <w:t xml:space="preserve"> </w:t>
      </w:r>
      <w:r w:rsidRPr="00EF526D">
        <w:rPr>
          <w:rStyle w:val="hps"/>
          <w:rFonts w:cs="Arial"/>
          <w:color w:val="222222"/>
          <w:szCs w:val="19"/>
        </w:rPr>
        <w:t>podmínek.</w:t>
      </w:r>
      <w:r w:rsidRPr="00EF526D">
        <w:rPr>
          <w:rFonts w:cs="Arial"/>
          <w:color w:val="222222"/>
          <w:szCs w:val="19"/>
        </w:rPr>
        <w:t xml:space="preserve"> </w:t>
      </w:r>
    </w:p>
    <w:p w:rsidR="00DA4E52" w:rsidRPr="00EF526D" w:rsidRDefault="00DA4E52" w:rsidP="00DA4E52">
      <w:pPr>
        <w:rPr>
          <w:rFonts w:ascii="Verdana" w:hAnsi="Verdana" w:cs="Arial"/>
          <w:sz w:val="17"/>
          <w:szCs w:val="17"/>
        </w:rPr>
      </w:pPr>
      <w:r w:rsidRPr="00EF526D">
        <w:rPr>
          <w:rFonts w:cs="Arial"/>
          <w:szCs w:val="19"/>
        </w:rPr>
        <w:t>Parametry, které objekt a jeho dílčí konstrukce musejí po rekonstrukci splnit, vycházejí ve většině případů z nařízení o úspoře energií (EnEV - z něm. Energieeinsparverordnung).</w:t>
      </w:r>
      <w:r>
        <w:rPr>
          <w:rFonts w:cs="Arial"/>
          <w:szCs w:val="19"/>
        </w:rPr>
        <w:t xml:space="preserve"> </w:t>
      </w:r>
      <w:r w:rsidRPr="00EF526D">
        <w:rPr>
          <w:rFonts w:asciiTheme="minorHAnsi" w:hAnsiTheme="minorHAnsi" w:cstheme="minorHAnsi"/>
          <w:szCs w:val="19"/>
        </w:rPr>
        <w:t xml:space="preserve">Granty nebo půjčky jsou KfW žadatelům poskytnuty na tepelné izolace stěn, střech a podlahové plochy, výměnu oken a venkovních dveří, instalaci a obnovu systému větrání, obnovu topného systému a optimalizaci distribuce tepla u stávajících topných systémů. </w:t>
      </w:r>
    </w:p>
    <w:p w:rsidR="00DA4E52" w:rsidRDefault="00DA4E52" w:rsidP="00DA4E52">
      <w:pPr>
        <w:rPr>
          <w:rFonts w:asciiTheme="minorHAnsi" w:hAnsiTheme="minorHAnsi" w:cstheme="minorHAnsi"/>
          <w:szCs w:val="19"/>
        </w:rPr>
      </w:pPr>
      <w:r w:rsidRPr="00EF526D">
        <w:rPr>
          <w:rFonts w:asciiTheme="minorHAnsi" w:hAnsiTheme="minorHAnsi" w:cstheme="minorHAnsi"/>
          <w:szCs w:val="19"/>
        </w:rPr>
        <w:t>V případě poskytnutí grantu jsou KfW stanoveny stropy na 1 bytovou jednotku vyjádřené v následující tabulce:</w:t>
      </w:r>
    </w:p>
    <w:tbl>
      <w:tblPr>
        <w:tblStyle w:val="Deloittetable1"/>
        <w:tblW w:w="8108" w:type="dxa"/>
        <w:tblLook w:val="04A0" w:firstRow="1" w:lastRow="0" w:firstColumn="1" w:lastColumn="0" w:noHBand="0" w:noVBand="1"/>
      </w:tblPr>
      <w:tblGrid>
        <w:gridCol w:w="2880"/>
        <w:gridCol w:w="796"/>
        <w:gridCol w:w="2306"/>
        <w:gridCol w:w="2126"/>
      </w:tblGrid>
      <w:tr w:rsidR="00DA4E52" w:rsidRPr="00EF526D" w:rsidTr="00A16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asciiTheme="minorHAnsi" w:hAnsiTheme="minorHAnsi" w:cstheme="minorHAnsi"/>
                <w:szCs w:val="19"/>
              </w:rPr>
              <w:t>Úroveň podpory</w:t>
            </w:r>
          </w:p>
        </w:tc>
        <w:tc>
          <w:tcPr>
            <w:tcW w:w="796" w:type="dxa"/>
          </w:tcPr>
          <w:p w:rsidR="00DA4E52" w:rsidRPr="00EF526D" w:rsidRDefault="00DA4E52" w:rsidP="00A1672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9"/>
              </w:rPr>
            </w:pPr>
          </w:p>
        </w:tc>
        <w:tc>
          <w:tcPr>
            <w:tcW w:w="2306" w:type="dxa"/>
          </w:tcPr>
          <w:p w:rsidR="00DA4E52" w:rsidRPr="00EF526D" w:rsidRDefault="00DA4E52" w:rsidP="00A1672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Max výše grantu [eur]</w:t>
            </w:r>
          </w:p>
        </w:tc>
        <w:tc>
          <w:tcPr>
            <w:tcW w:w="2126" w:type="dxa"/>
          </w:tcPr>
          <w:p w:rsidR="00DA4E52" w:rsidRPr="00EF526D" w:rsidRDefault="00DA4E52" w:rsidP="00A1672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Max výše grantu [%]</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Účinný dům 55</w:t>
            </w:r>
          </w:p>
        </w:tc>
        <w:tc>
          <w:tcPr>
            <w:tcW w:w="79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p>
        </w:tc>
        <w:tc>
          <w:tcPr>
            <w:tcW w:w="230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18750</w:t>
            </w:r>
          </w:p>
        </w:tc>
        <w:tc>
          <w:tcPr>
            <w:tcW w:w="212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25</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Účinný dům 70</w:t>
            </w:r>
          </w:p>
        </w:tc>
        <w:tc>
          <w:tcPr>
            <w:tcW w:w="79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p>
        </w:tc>
        <w:tc>
          <w:tcPr>
            <w:tcW w:w="230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15000</w:t>
            </w:r>
          </w:p>
        </w:tc>
        <w:tc>
          <w:tcPr>
            <w:tcW w:w="212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20</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Účinný dům 85</w:t>
            </w:r>
          </w:p>
        </w:tc>
        <w:tc>
          <w:tcPr>
            <w:tcW w:w="79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p>
        </w:tc>
        <w:tc>
          <w:tcPr>
            <w:tcW w:w="230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11250</w:t>
            </w:r>
          </w:p>
        </w:tc>
        <w:tc>
          <w:tcPr>
            <w:tcW w:w="212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15</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Účinný dům 100</w:t>
            </w:r>
          </w:p>
        </w:tc>
        <w:tc>
          <w:tcPr>
            <w:tcW w:w="79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p>
        </w:tc>
        <w:tc>
          <w:tcPr>
            <w:tcW w:w="230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9375</w:t>
            </w:r>
          </w:p>
        </w:tc>
        <w:tc>
          <w:tcPr>
            <w:tcW w:w="212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12,5</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cs="Arial"/>
                <w:szCs w:val="19"/>
              </w:rPr>
            </w:pPr>
            <w:r w:rsidRPr="00EF526D">
              <w:rPr>
                <w:rFonts w:cs="Arial"/>
                <w:szCs w:val="19"/>
              </w:rPr>
              <w:t>KfW Účinný dům 115</w:t>
            </w:r>
          </w:p>
        </w:tc>
        <w:tc>
          <w:tcPr>
            <w:tcW w:w="79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p>
        </w:tc>
        <w:tc>
          <w:tcPr>
            <w:tcW w:w="230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7500</w:t>
            </w:r>
          </w:p>
        </w:tc>
        <w:tc>
          <w:tcPr>
            <w:tcW w:w="212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10</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cs="Arial"/>
                <w:szCs w:val="19"/>
              </w:rPr>
            </w:pPr>
            <w:r w:rsidRPr="00EF526D">
              <w:rPr>
                <w:rFonts w:cs="Arial"/>
                <w:szCs w:val="19"/>
              </w:rPr>
              <w:t>KfW Účinná historická památka</w:t>
            </w:r>
          </w:p>
        </w:tc>
        <w:tc>
          <w:tcPr>
            <w:tcW w:w="79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p>
        </w:tc>
        <w:tc>
          <w:tcPr>
            <w:tcW w:w="230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7500</w:t>
            </w:r>
          </w:p>
        </w:tc>
        <w:tc>
          <w:tcPr>
            <w:tcW w:w="212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10</w:t>
            </w:r>
          </w:p>
        </w:tc>
      </w:tr>
    </w:tbl>
    <w:p w:rsidR="00DA4E52" w:rsidRPr="00EF526D" w:rsidRDefault="00DA4E52" w:rsidP="00DA4E52">
      <w:pPr>
        <w:pStyle w:val="Titulek"/>
        <w:spacing w:after="240" w:afterAutospacing="0"/>
        <w:rPr>
          <w:rFonts w:asciiTheme="minorHAnsi" w:hAnsiTheme="minorHAnsi" w:cstheme="minorHAnsi"/>
          <w:szCs w:val="19"/>
        </w:rPr>
      </w:pPr>
      <w:bookmarkStart w:id="91" w:name="_Toc402012863"/>
      <w:bookmarkStart w:id="92" w:name="_Toc409795569"/>
      <w:bookmarkStart w:id="93" w:name="_Toc417655506"/>
      <w:r>
        <w:t xml:space="preserve">Tabulka </w:t>
      </w:r>
      <w:r>
        <w:fldChar w:fldCharType="begin"/>
      </w:r>
      <w:r>
        <w:instrText xml:space="preserve"> SEQ Tabulka \* ARABIC </w:instrText>
      </w:r>
      <w:r>
        <w:fldChar w:fldCharType="separate"/>
      </w:r>
      <w:r w:rsidR="007813A3">
        <w:rPr>
          <w:noProof/>
        </w:rPr>
        <w:t>8</w:t>
      </w:r>
      <w:r>
        <w:fldChar w:fldCharType="end"/>
      </w:r>
      <w:r w:rsidRPr="00EF526D">
        <w:t>: Maximální výše grantu na bytovou jednotku poskytnutou KfW</w:t>
      </w:r>
      <w:bookmarkEnd w:id="91"/>
      <w:bookmarkEnd w:id="92"/>
      <w:bookmarkEnd w:id="93"/>
    </w:p>
    <w:p w:rsidR="00DA4E52" w:rsidRPr="00EF526D" w:rsidRDefault="00DA4E52" w:rsidP="00DA4E52">
      <w:pPr>
        <w:rPr>
          <w:rFonts w:asciiTheme="minorHAnsi" w:hAnsiTheme="minorHAnsi" w:cstheme="minorHAnsi"/>
          <w:szCs w:val="19"/>
        </w:rPr>
      </w:pPr>
      <w:r w:rsidRPr="00EF526D">
        <w:rPr>
          <w:rStyle w:val="hps"/>
          <w:rFonts w:cs="Arial"/>
          <w:color w:val="222222"/>
        </w:rPr>
        <w:t xml:space="preserve">V případě poskytnutí půjčky KfW nabízí </w:t>
      </w:r>
      <w:r w:rsidRPr="00EF526D">
        <w:rPr>
          <w:rFonts w:cs="Arial"/>
          <w:color w:val="222222"/>
        </w:rPr>
        <w:t xml:space="preserve">až </w:t>
      </w:r>
      <w:r w:rsidRPr="00EF526D">
        <w:rPr>
          <w:rStyle w:val="hps"/>
          <w:rFonts w:cs="Arial"/>
          <w:color w:val="222222"/>
        </w:rPr>
        <w:t>75000</w:t>
      </w:r>
      <w:r w:rsidRPr="00EF526D">
        <w:rPr>
          <w:rFonts w:cs="Arial"/>
          <w:color w:val="222222"/>
        </w:rPr>
        <w:t xml:space="preserve"> </w:t>
      </w:r>
      <w:r w:rsidRPr="00EF526D">
        <w:rPr>
          <w:rStyle w:val="hps"/>
          <w:rFonts w:cs="Arial"/>
          <w:color w:val="222222"/>
        </w:rPr>
        <w:t>eur</w:t>
      </w:r>
      <w:r w:rsidRPr="00EF526D">
        <w:rPr>
          <w:rFonts w:cs="Arial"/>
          <w:color w:val="222222"/>
        </w:rPr>
        <w:t xml:space="preserve"> </w:t>
      </w:r>
      <w:r w:rsidRPr="00EF526D">
        <w:rPr>
          <w:rStyle w:val="hps"/>
          <w:rFonts w:cs="Arial"/>
          <w:color w:val="222222"/>
        </w:rPr>
        <w:t>na</w:t>
      </w:r>
      <w:r w:rsidRPr="00EF526D">
        <w:rPr>
          <w:rFonts w:cs="Arial"/>
          <w:color w:val="222222"/>
        </w:rPr>
        <w:t xml:space="preserve"> </w:t>
      </w:r>
      <w:r w:rsidRPr="00EF526D">
        <w:rPr>
          <w:rStyle w:val="hps"/>
          <w:rFonts w:cs="Arial"/>
          <w:color w:val="222222"/>
        </w:rPr>
        <w:t>bytovou jednotku</w:t>
      </w:r>
      <w:r w:rsidRPr="00EF526D">
        <w:rPr>
          <w:rFonts w:cs="Arial"/>
          <w:color w:val="222222"/>
        </w:rPr>
        <w:t xml:space="preserve"> </w:t>
      </w:r>
      <w:r w:rsidRPr="00EF526D">
        <w:rPr>
          <w:rStyle w:val="hps"/>
          <w:rFonts w:cs="Arial"/>
          <w:color w:val="222222"/>
        </w:rPr>
        <w:t>plus</w:t>
      </w:r>
      <w:r>
        <w:rPr>
          <w:rFonts w:cs="Arial"/>
          <w:color w:val="222222"/>
        </w:rPr>
        <w:t xml:space="preserve"> </w:t>
      </w:r>
      <w:r>
        <w:rPr>
          <w:rStyle w:val="hps"/>
          <w:rFonts w:cs="Arial"/>
          <w:color w:val="222222"/>
        </w:rPr>
        <w:t>„</w:t>
      </w:r>
      <w:r w:rsidRPr="00EF526D">
        <w:rPr>
          <w:rStyle w:val="hps"/>
          <w:rFonts w:cs="Arial"/>
          <w:color w:val="222222"/>
        </w:rPr>
        <w:t>bonus</w:t>
      </w:r>
      <w:r>
        <w:rPr>
          <w:rStyle w:val="hps"/>
          <w:rFonts w:cs="Arial"/>
          <w:color w:val="222222"/>
        </w:rPr>
        <w:t>“ při bezproblémovém splácení a splnění stanovených kriterií. Výše bonusu je</w:t>
      </w:r>
      <w:r w:rsidRPr="00EF526D">
        <w:rPr>
          <w:rFonts w:cs="Arial"/>
          <w:color w:val="222222"/>
        </w:rPr>
        <w:t xml:space="preserve"> </w:t>
      </w:r>
      <w:r>
        <w:rPr>
          <w:rStyle w:val="hps"/>
          <w:rFonts w:cs="Arial"/>
          <w:color w:val="222222"/>
        </w:rPr>
        <w:t>vypočtena</w:t>
      </w:r>
      <w:r w:rsidRPr="00EF526D">
        <w:rPr>
          <w:rFonts w:cs="Arial"/>
          <w:color w:val="222222"/>
        </w:rPr>
        <w:t xml:space="preserve"> </w:t>
      </w:r>
      <w:r w:rsidRPr="00EF526D">
        <w:rPr>
          <w:rStyle w:val="hps"/>
          <w:rFonts w:cs="Arial"/>
          <w:color w:val="222222"/>
        </w:rPr>
        <w:t xml:space="preserve">na základě </w:t>
      </w:r>
      <w:r>
        <w:rPr>
          <w:rStyle w:val="hps"/>
          <w:rFonts w:cs="Arial"/>
          <w:color w:val="222222"/>
        </w:rPr>
        <w:t>níže uvedených hladin</w:t>
      </w:r>
      <w:r w:rsidRPr="00EF526D">
        <w:rPr>
          <w:rStyle w:val="hps"/>
          <w:rFonts w:cs="Arial"/>
          <w:color w:val="222222"/>
        </w:rPr>
        <w:t>:</w:t>
      </w:r>
    </w:p>
    <w:tbl>
      <w:tblPr>
        <w:tblStyle w:val="Mkatabulky"/>
        <w:tblW w:w="0" w:type="auto"/>
        <w:tblLook w:val="04A0" w:firstRow="1" w:lastRow="0" w:firstColumn="1" w:lastColumn="0" w:noHBand="0" w:noVBand="1"/>
      </w:tblPr>
      <w:tblGrid>
        <w:gridCol w:w="2880"/>
        <w:gridCol w:w="2393"/>
      </w:tblGrid>
      <w:tr w:rsidR="00DA4E52" w:rsidRPr="00EF526D" w:rsidTr="00A16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asciiTheme="minorHAnsi" w:hAnsiTheme="minorHAnsi" w:cstheme="minorHAnsi"/>
                <w:szCs w:val="19"/>
              </w:rPr>
              <w:t>Úroveň podpory</w:t>
            </w:r>
          </w:p>
        </w:tc>
        <w:tc>
          <w:tcPr>
            <w:tcW w:w="2393" w:type="dxa"/>
          </w:tcPr>
          <w:p w:rsidR="00DA4E52" w:rsidRPr="00EF526D" w:rsidRDefault="00DA4E52" w:rsidP="00A1672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Bonus za splácení [%]</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cs="Arial"/>
                <w:szCs w:val="19"/>
              </w:rPr>
            </w:pPr>
            <w:r w:rsidRPr="00EF526D">
              <w:rPr>
                <w:rFonts w:cs="Arial"/>
                <w:szCs w:val="19"/>
              </w:rPr>
              <w:t>KfW Účinný dům 55</w:t>
            </w:r>
          </w:p>
        </w:tc>
        <w:tc>
          <w:tcPr>
            <w:tcW w:w="2393"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17,5</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Účinný dům 70</w:t>
            </w:r>
          </w:p>
        </w:tc>
        <w:tc>
          <w:tcPr>
            <w:tcW w:w="2393"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10</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Účinný dům 85</w:t>
            </w:r>
          </w:p>
        </w:tc>
        <w:tc>
          <w:tcPr>
            <w:tcW w:w="2393"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7,5</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Účinný dům 100</w:t>
            </w:r>
          </w:p>
        </w:tc>
        <w:tc>
          <w:tcPr>
            <w:tcW w:w="2393"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5</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Účinný dům 115</w:t>
            </w:r>
          </w:p>
        </w:tc>
        <w:tc>
          <w:tcPr>
            <w:tcW w:w="2393"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2,5</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Účinná historická památka</w:t>
            </w:r>
          </w:p>
        </w:tc>
        <w:tc>
          <w:tcPr>
            <w:tcW w:w="2393"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2,5</w:t>
            </w:r>
          </w:p>
        </w:tc>
      </w:tr>
    </w:tbl>
    <w:p w:rsidR="00DA4E52" w:rsidRPr="00EF526D" w:rsidRDefault="00DA4E52" w:rsidP="00DA4E52">
      <w:pPr>
        <w:pStyle w:val="Titulek"/>
        <w:keepNext/>
        <w:spacing w:after="0" w:afterAutospacing="0"/>
        <w:rPr>
          <w:rFonts w:asciiTheme="minorHAnsi" w:hAnsiTheme="minorHAnsi" w:cstheme="minorHAnsi"/>
          <w:szCs w:val="19"/>
        </w:rPr>
      </w:pPr>
      <w:bookmarkStart w:id="94" w:name="_Toc402012864"/>
      <w:bookmarkStart w:id="95" w:name="_Toc409795570"/>
      <w:bookmarkStart w:id="96" w:name="_Toc417655507"/>
      <w:r>
        <w:t xml:space="preserve">Tabulka </w:t>
      </w:r>
      <w:r>
        <w:fldChar w:fldCharType="begin"/>
      </w:r>
      <w:r>
        <w:instrText xml:space="preserve"> SEQ Tabulka \* ARABIC </w:instrText>
      </w:r>
      <w:r>
        <w:fldChar w:fldCharType="separate"/>
      </w:r>
      <w:r w:rsidR="007813A3">
        <w:rPr>
          <w:noProof/>
        </w:rPr>
        <w:t>9</w:t>
      </w:r>
      <w:r>
        <w:fldChar w:fldCharType="end"/>
      </w:r>
      <w:r w:rsidRPr="00EF526D">
        <w:t>: Bonus za splácení půjčky poskytnutá KfW</w:t>
      </w:r>
      <w:bookmarkEnd w:id="94"/>
      <w:bookmarkEnd w:id="95"/>
      <w:bookmarkEnd w:id="96"/>
    </w:p>
    <w:p w:rsidR="00276CD5" w:rsidRDefault="00276CD5" w:rsidP="00DA4E52">
      <w:pPr>
        <w:pStyle w:val="CaptionIntroductionparagraph"/>
      </w:pPr>
    </w:p>
    <w:p w:rsidR="00DA4E52" w:rsidRPr="00EF526D" w:rsidRDefault="00DA4E52" w:rsidP="00DA4E52">
      <w:pPr>
        <w:pStyle w:val="CaptionIntroductionparagraph"/>
      </w:pPr>
      <w:r>
        <w:t xml:space="preserve">Slovenská republika </w:t>
      </w:r>
    </w:p>
    <w:p w:rsidR="00DA4E52" w:rsidRPr="000430F4" w:rsidRDefault="00DA4E52" w:rsidP="00DA4E52">
      <w:pPr>
        <w:pStyle w:val="Highlight3"/>
      </w:pPr>
      <w:r w:rsidRPr="000430F4">
        <w:t xml:space="preserve">Environmentálny fond </w:t>
      </w:r>
    </w:p>
    <w:p w:rsidR="00DA4E52" w:rsidRDefault="00DA4E52" w:rsidP="00DA4E52">
      <w:r>
        <w:t xml:space="preserve">Slovenský „environmentální fond“ </w:t>
      </w:r>
      <w:r w:rsidRPr="00256C7E">
        <w:t xml:space="preserve">poskytuje </w:t>
      </w:r>
      <w:r>
        <w:t xml:space="preserve">podporu majoritně </w:t>
      </w:r>
      <w:r w:rsidRPr="00256C7E">
        <w:t xml:space="preserve">formou </w:t>
      </w:r>
      <w:r>
        <w:t xml:space="preserve">dotací. V oblasti finančních nástrojů poskytuje pouze úvěry a to za následujících podmínek: </w:t>
      </w:r>
    </w:p>
    <w:p w:rsidR="00DA4E52" w:rsidRPr="00256C7E" w:rsidRDefault="00DA4E52" w:rsidP="002D2639">
      <w:pPr>
        <w:pStyle w:val="Odstavecseseznamem"/>
        <w:numPr>
          <w:ilvl w:val="0"/>
          <w:numId w:val="51"/>
        </w:numPr>
      </w:pPr>
      <w:r>
        <w:t>úroková sazba z úvěru je ve výši</w:t>
      </w:r>
      <w:r w:rsidRPr="00256C7E">
        <w:t xml:space="preserve"> 1,00 % p.a.,</w:t>
      </w:r>
      <w:r>
        <w:t>;</w:t>
      </w:r>
      <w:r w:rsidRPr="00256C7E">
        <w:t xml:space="preserve"> </w:t>
      </w:r>
    </w:p>
    <w:p w:rsidR="00DA4E52" w:rsidRPr="00256C7E" w:rsidRDefault="00DA4E52" w:rsidP="002D2639">
      <w:pPr>
        <w:pStyle w:val="Odstavecseseznamem"/>
        <w:numPr>
          <w:ilvl w:val="0"/>
          <w:numId w:val="51"/>
        </w:numPr>
      </w:pPr>
      <w:r>
        <w:t>splatnost úvěru je od 5 do 15 let;</w:t>
      </w:r>
    </w:p>
    <w:p w:rsidR="00DA4E52" w:rsidRPr="00F25315" w:rsidRDefault="00DA4E52" w:rsidP="002D2639">
      <w:pPr>
        <w:pStyle w:val="Odstavecseseznamem"/>
        <w:numPr>
          <w:ilvl w:val="0"/>
          <w:numId w:val="51"/>
        </w:numPr>
        <w:rPr>
          <w:rFonts w:ascii="Times New Roman" w:hAnsi="Times New Roman"/>
          <w:color w:val="000000" w:themeColor="text1"/>
          <w:szCs w:val="19"/>
        </w:rPr>
      </w:pPr>
      <w:r>
        <w:t>ručení (collateral) za úvě</w:t>
      </w:r>
      <w:r w:rsidRPr="00256C7E">
        <w:t xml:space="preserve">r </w:t>
      </w:r>
      <w:r>
        <w:t>je požadováno ve výši</w:t>
      </w:r>
      <w:r w:rsidRPr="00256C7E">
        <w:t xml:space="preserve"> 130 % z hodnoty </w:t>
      </w:r>
      <w:r>
        <w:t>úvě</w:t>
      </w:r>
      <w:r w:rsidRPr="00256C7E">
        <w:t>ru</w:t>
      </w:r>
      <w:r>
        <w:t>.</w:t>
      </w:r>
      <w:r w:rsidRPr="00256C7E">
        <w:t xml:space="preserve"> </w:t>
      </w:r>
    </w:p>
    <w:p w:rsidR="00DA4E52" w:rsidRDefault="00DA4E52" w:rsidP="00DA4E52">
      <w:r>
        <w:t xml:space="preserve">Fond umožňuje poskytnutí podpory návratnou formou ve všech environmentálních oblastech. Z nabízených oblastí se úvěrové finanční nástroje uplatnily pouze ve dvou. Plánovaná finanční alokace na příslušné období byla cca 33 mil EUR. Reálně vyčerpaná alokace ve výši 6,6 mil EUR však ukazuje na nedostatečný zájem o financování návratnou formou. </w:t>
      </w:r>
    </w:p>
    <w:p w:rsidR="00DA4E52" w:rsidRPr="00785EBF" w:rsidRDefault="00644B50" w:rsidP="00DA4E52">
      <w:pPr>
        <w:rPr>
          <w:b/>
          <w:color w:val="00A1DE" w:themeColor="accent3"/>
          <w:sz w:val="20"/>
        </w:rPr>
      </w:pPr>
      <w:r>
        <w:rPr>
          <w:b/>
          <w:color w:val="00A1DE" w:themeColor="accent3"/>
          <w:sz w:val="20"/>
        </w:rPr>
        <w:t>JESSICA – Š</w:t>
      </w:r>
      <w:r w:rsidR="00DA4E52" w:rsidRPr="00690C5A">
        <w:rPr>
          <w:b/>
          <w:color w:val="00A1DE" w:themeColor="accent3"/>
          <w:sz w:val="20"/>
        </w:rPr>
        <w:t>tátny fond rozvoja bývania</w:t>
      </w:r>
    </w:p>
    <w:p w:rsidR="00DA4E52" w:rsidRDefault="00DA4E52" w:rsidP="00DA4E52">
      <w:r>
        <w:t>Slovenská podpora finančního nástroje JESSICA, poskytovaný Státním fondem rozvoje bydlení SR, poskytuje prostředky Regionálního operačního programu a Operačního programu Bratislavský kraj na investice do obnovy a zateplení bytových domů. Mezi způsobilé žadatele spadají vlastníci bytů a nebytových prostor, případně společenství vlastníků bytů a nebytových prostor. Podpora je poskytovaná formou zvýhodněného úvěru s následujícími parametry:</w:t>
      </w:r>
    </w:p>
    <w:p w:rsidR="00DA4E52" w:rsidRDefault="00DA4E52" w:rsidP="002D2639">
      <w:pPr>
        <w:pStyle w:val="Odstavecseseznamem"/>
        <w:keepNext/>
        <w:framePr w:hSpace="142" w:wrap="around" w:vAnchor="text" w:hAnchor="text" w:y="1"/>
        <w:numPr>
          <w:ilvl w:val="0"/>
          <w:numId w:val="55"/>
        </w:numPr>
        <w:spacing w:after="0"/>
        <w:rPr>
          <w:rStyle w:val="hps"/>
        </w:rPr>
      </w:pPr>
      <w:r w:rsidRPr="00522328">
        <w:rPr>
          <w:rStyle w:val="hps"/>
        </w:rPr>
        <w:t>úrok 1,5 % p.a.</w:t>
      </w:r>
      <w:r>
        <w:rPr>
          <w:rStyle w:val="hps"/>
        </w:rPr>
        <w:t>.;</w:t>
      </w:r>
    </w:p>
    <w:p w:rsidR="00DA4E52" w:rsidRDefault="00DA4E52" w:rsidP="002D2639">
      <w:pPr>
        <w:pStyle w:val="Odstavecseseznamem"/>
        <w:keepNext/>
        <w:framePr w:hSpace="142" w:wrap="around" w:vAnchor="text" w:hAnchor="text" w:y="1"/>
        <w:numPr>
          <w:ilvl w:val="0"/>
          <w:numId w:val="55"/>
        </w:numPr>
        <w:spacing w:after="0"/>
        <w:rPr>
          <w:rStyle w:val="hps"/>
        </w:rPr>
      </w:pPr>
      <w:r>
        <w:rPr>
          <w:rStyle w:val="hps"/>
        </w:rPr>
        <w:t>délka splatnosti max. 20 let;</w:t>
      </w:r>
    </w:p>
    <w:p w:rsidR="00DA4E52" w:rsidRPr="00522328" w:rsidRDefault="00DA4E52" w:rsidP="002D2639">
      <w:pPr>
        <w:pStyle w:val="Odstavecseseznamem"/>
        <w:keepNext/>
        <w:framePr w:hSpace="142" w:wrap="around" w:vAnchor="text" w:hAnchor="text" w:y="1"/>
        <w:numPr>
          <w:ilvl w:val="0"/>
          <w:numId w:val="55"/>
        </w:numPr>
        <w:spacing w:after="0"/>
        <w:rPr>
          <w:rStyle w:val="hps"/>
        </w:rPr>
      </w:pPr>
      <w:r w:rsidRPr="00522328">
        <w:rPr>
          <w:rStyle w:val="hps"/>
        </w:rPr>
        <w:t>výška úv</w:t>
      </w:r>
      <w:r>
        <w:rPr>
          <w:rStyle w:val="hps"/>
        </w:rPr>
        <w:t>ěru do 75% ze způsobilých výdajů;</w:t>
      </w:r>
    </w:p>
    <w:p w:rsidR="00DA4E52" w:rsidRDefault="00DA4E52" w:rsidP="002D2639">
      <w:pPr>
        <w:pStyle w:val="Odstavecseseznamem"/>
        <w:numPr>
          <w:ilvl w:val="0"/>
          <w:numId w:val="55"/>
        </w:numPr>
        <w:rPr>
          <w:rStyle w:val="hps"/>
        </w:rPr>
      </w:pPr>
      <w:r>
        <w:rPr>
          <w:rStyle w:val="hps"/>
        </w:rPr>
        <w:t>zapojení v</w:t>
      </w:r>
      <w:r w:rsidRPr="00522328">
        <w:rPr>
          <w:rStyle w:val="hps"/>
        </w:rPr>
        <w:t>lastn</w:t>
      </w:r>
      <w:r>
        <w:rPr>
          <w:rStyle w:val="hps"/>
        </w:rPr>
        <w:t>ích zdrojů min. 25% ZV;</w:t>
      </w:r>
    </w:p>
    <w:p w:rsidR="00DA4E52" w:rsidRDefault="00DA4E52" w:rsidP="002D2639">
      <w:pPr>
        <w:pStyle w:val="Odstavecseseznamem"/>
        <w:numPr>
          <w:ilvl w:val="0"/>
          <w:numId w:val="55"/>
        </w:numPr>
      </w:pPr>
      <w:r>
        <w:rPr>
          <w:rStyle w:val="hps"/>
        </w:rPr>
        <w:t>dosažená úspora spotřeby tepla minimálně o 35% oproti současnému stavu.</w:t>
      </w:r>
    </w:p>
    <w:p w:rsidR="00DA4E52" w:rsidRDefault="00DA4E52" w:rsidP="00DA4E52">
      <w:r>
        <w:t>Žádosti o úvěrovou podporu je možné podávat na ŠFRB nebo na příslušných městských úřadech (opatření od února 2014).</w:t>
      </w:r>
    </w:p>
    <w:p w:rsidR="00276CD5" w:rsidRDefault="00276CD5" w:rsidP="00276CD5">
      <w:pPr>
        <w:pStyle w:val="CaptionIntroductionparagraph"/>
      </w:pPr>
      <w:r>
        <w:t xml:space="preserve">Česká republika </w:t>
      </w:r>
    </w:p>
    <w:p w:rsidR="00276CD5" w:rsidRDefault="00276CD5" w:rsidP="00276CD5">
      <w:r>
        <w:t xml:space="preserve">V rámci programového období 2007-2013 byla nejčastějším příkladem využití finančních nástrojů implementace programu JESSICA - společné evropské podpory udržitelných investic do městských oblastí. Nejpodstatnější zkušenosti lze čerpat z využití programu JESSICA v rámci </w:t>
      </w:r>
      <w:r>
        <w:rPr>
          <w:b/>
          <w:bCs/>
        </w:rPr>
        <w:t xml:space="preserve">Integrovaného operačního programu, </w:t>
      </w:r>
      <w:r>
        <w:rPr>
          <w:bCs/>
        </w:rPr>
        <w:t>kde</w:t>
      </w:r>
      <w:r>
        <w:t xml:space="preserve"> </w:t>
      </w:r>
      <w:r>
        <w:rPr>
          <w:b/>
          <w:bCs/>
        </w:rPr>
        <w:t xml:space="preserve">holdingový fond </w:t>
      </w:r>
      <w:r w:rsidRPr="00667FE3">
        <w:rPr>
          <w:bCs/>
        </w:rPr>
        <w:t>(Státní fond rozvoje bydlení)</w:t>
      </w:r>
      <w:r>
        <w:rPr>
          <w:b/>
          <w:bCs/>
        </w:rPr>
        <w:t xml:space="preserve"> poskytuje za využití finančního zprostředkovatele </w:t>
      </w:r>
      <w:r>
        <w:rPr>
          <w:bCs/>
        </w:rPr>
        <w:t>(tzv. Správce rozvoje měst - K</w:t>
      </w:r>
      <w:r w:rsidRPr="00667FE3">
        <w:rPr>
          <w:bCs/>
        </w:rPr>
        <w:t>omerční banka</w:t>
      </w:r>
      <w:r>
        <w:rPr>
          <w:bCs/>
        </w:rPr>
        <w:t xml:space="preserve"> a.s.</w:t>
      </w:r>
      <w:r w:rsidRPr="00667FE3">
        <w:rPr>
          <w:bCs/>
        </w:rPr>
        <w:t>)</w:t>
      </w:r>
      <w:r>
        <w:rPr>
          <w:b/>
          <w:bCs/>
        </w:rPr>
        <w:t xml:space="preserve"> dlouhodobé nízkoúročené úvěry na revitalizaci bytového fondu v deprivovaných zónách ve městech s IPRM.</w:t>
      </w:r>
      <w:r>
        <w:t xml:space="preserve"> </w:t>
      </w:r>
    </w:p>
    <w:p w:rsidR="00276CD5" w:rsidRPr="00667FE3" w:rsidRDefault="00276CD5" w:rsidP="00276CD5">
      <w:r>
        <w:t xml:space="preserve">Úvěry lze použít na rekonstrukce a modernizace obvodového pláště a společných částí bytových domů nebo na zřízení či rekonstrukci sociálního bydlení. Příjem žádostí o úvěry byl zahájen v lednu 2014. Celková alokace, která je rozdělována mezi příjemce zvýhodněných úvěrů, dosahuje výše 570 mil. Kč. </w:t>
      </w:r>
      <w:r w:rsidRPr="00667FE3">
        <w:t>Příjemci zvýhodněných úvěrů jsou všichni vlastníci bytových domů - fyzické a právnické osoby, společenství vlastníků, bytová družstva, obce nebo neziskové organizace.</w:t>
      </w:r>
    </w:p>
    <w:p w:rsidR="00276CD5" w:rsidRDefault="00276CD5" w:rsidP="00276CD5">
      <w:r>
        <w:t>Co se týče intenzity poskytované podpory, konečný příjemce má možnost čerpat až 90% podporu skrze zvýhodněný úvěr na způsobilé výdaje projektu. Zvýhodněné úvěry jsou poskytovány pouze ze zdrojů IOP (tedy bez zapojení soukromých prostředků komerčních bank, tedy bez pákového efektu) za využití tří režimů veřejné podpory:</w:t>
      </w:r>
    </w:p>
    <w:p w:rsidR="00CE41CE" w:rsidRDefault="00CE41CE" w:rsidP="00276CD5"/>
    <w:p w:rsidR="00CE41CE" w:rsidRDefault="00CE41CE" w:rsidP="00276CD5"/>
    <w:p w:rsidR="00CE41CE" w:rsidRDefault="00CE41CE" w:rsidP="00276CD5"/>
    <w:tbl>
      <w:tblPr>
        <w:tblStyle w:val="Svtlseznamzvraznn2"/>
        <w:tblW w:w="9464" w:type="dxa"/>
        <w:tblLook w:val="04A0" w:firstRow="1" w:lastRow="0" w:firstColumn="1" w:lastColumn="0" w:noHBand="0" w:noVBand="1"/>
      </w:tblPr>
      <w:tblGrid>
        <w:gridCol w:w="2802"/>
        <w:gridCol w:w="6662"/>
      </w:tblGrid>
      <w:tr w:rsidR="00276CD5" w:rsidTr="002C5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76CD5" w:rsidRDefault="00276CD5" w:rsidP="002C53C4">
            <w:r>
              <w:t>Režim veřejné podpory</w:t>
            </w:r>
          </w:p>
        </w:tc>
        <w:tc>
          <w:tcPr>
            <w:tcW w:w="6662" w:type="dxa"/>
          </w:tcPr>
          <w:p w:rsidR="00276CD5" w:rsidRDefault="00276CD5" w:rsidP="002C53C4">
            <w:pPr>
              <w:cnfStyle w:val="100000000000" w:firstRow="1" w:lastRow="0" w:firstColumn="0" w:lastColumn="0" w:oddVBand="0" w:evenVBand="0" w:oddHBand="0" w:evenHBand="0" w:firstRowFirstColumn="0" w:firstRowLastColumn="0" w:lastRowFirstColumn="0" w:lastRowLastColumn="0"/>
            </w:pPr>
            <w:r>
              <w:t>Specifika poskytované podpory</w:t>
            </w:r>
          </w:p>
        </w:tc>
      </w:tr>
      <w:tr w:rsidR="00276CD5" w:rsidTr="002C5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rsidR="00276CD5" w:rsidRDefault="00276CD5" w:rsidP="002C53C4">
            <w:pPr>
              <w:jc w:val="left"/>
            </w:pPr>
            <w:r>
              <w:t>De minimis</w:t>
            </w:r>
          </w:p>
        </w:tc>
        <w:tc>
          <w:tcPr>
            <w:tcW w:w="6662" w:type="dxa"/>
          </w:tcPr>
          <w:p w:rsidR="00276CD5" w:rsidRDefault="00276CD5" w:rsidP="002C53C4">
            <w:pPr>
              <w:cnfStyle w:val="000000100000" w:firstRow="0" w:lastRow="0" w:firstColumn="0" w:lastColumn="0" w:oddVBand="0" w:evenVBand="0" w:oddHBand="1" w:evenHBand="0" w:firstRowFirstColumn="0" w:firstRowLastColumn="0" w:lastRowFirstColumn="0" w:lastRowLastColumn="0"/>
            </w:pPr>
            <w:r>
              <w:t>Fi</w:t>
            </w:r>
            <w:r w:rsidRPr="00667FE3">
              <w:t>xace úroku po celou dobu splácení, doba splatnosti až 30 let</w:t>
            </w:r>
            <w:r>
              <w:t>,</w:t>
            </w:r>
            <w:r w:rsidRPr="00667FE3">
              <w:t xml:space="preserve"> výše úvěru odpovídá max. 90% způsobilých výdajů</w:t>
            </w:r>
          </w:p>
        </w:tc>
      </w:tr>
      <w:tr w:rsidR="00276CD5" w:rsidTr="002C53C4">
        <w:tc>
          <w:tcPr>
            <w:cnfStyle w:val="001000000000" w:firstRow="0" w:lastRow="0" w:firstColumn="1" w:lastColumn="0" w:oddVBand="0" w:evenVBand="0" w:oddHBand="0" w:evenHBand="0" w:firstRowFirstColumn="0" w:firstRowLastColumn="0" w:lastRowFirstColumn="0" w:lastRowLastColumn="0"/>
            <w:tcW w:w="2802" w:type="dxa"/>
            <w:vAlign w:val="center"/>
          </w:tcPr>
          <w:p w:rsidR="00276CD5" w:rsidRDefault="00276CD5" w:rsidP="002C53C4">
            <w:pPr>
              <w:jc w:val="left"/>
            </w:pPr>
            <w:r>
              <w:t>Notifikace</w:t>
            </w:r>
          </w:p>
        </w:tc>
        <w:tc>
          <w:tcPr>
            <w:tcW w:w="6662" w:type="dxa"/>
          </w:tcPr>
          <w:p w:rsidR="00276CD5" w:rsidRDefault="00276CD5" w:rsidP="002C53C4">
            <w:pPr>
              <w:cnfStyle w:val="000000000000" w:firstRow="0" w:lastRow="0" w:firstColumn="0" w:lastColumn="0" w:oddVBand="0" w:evenVBand="0" w:oddHBand="0" w:evenHBand="0" w:firstRowFirstColumn="0" w:firstRowLastColumn="0" w:lastRowFirstColumn="0" w:lastRowLastColumn="0"/>
            </w:pPr>
            <w:r>
              <w:t>Fi</w:t>
            </w:r>
            <w:r w:rsidRPr="00667FE3">
              <w:t>xace úroku po celou dobu splácení, doba splatnosti až 30 let, výše úvěru odpovídá max. 75 % způsobilých výdajů</w:t>
            </w:r>
          </w:p>
        </w:tc>
      </w:tr>
      <w:tr w:rsidR="00276CD5" w:rsidTr="002C5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rsidR="00276CD5" w:rsidRDefault="00276CD5" w:rsidP="002C53C4">
            <w:pPr>
              <w:jc w:val="left"/>
            </w:pPr>
            <w:r>
              <w:t>Mimo režim veřejné podpory</w:t>
            </w:r>
          </w:p>
        </w:tc>
        <w:tc>
          <w:tcPr>
            <w:tcW w:w="6662" w:type="dxa"/>
          </w:tcPr>
          <w:p w:rsidR="00276CD5" w:rsidRDefault="00276CD5" w:rsidP="002C53C4">
            <w:pPr>
              <w:cnfStyle w:val="000000100000" w:firstRow="0" w:lastRow="0" w:firstColumn="0" w:lastColumn="0" w:oddVBand="0" w:evenVBand="0" w:oddHBand="1" w:evenHBand="0" w:firstRowFirstColumn="0" w:firstRowLastColumn="0" w:lastRowFirstColumn="0" w:lastRowLastColumn="0"/>
            </w:pPr>
            <w:r>
              <w:t>F</w:t>
            </w:r>
            <w:r w:rsidRPr="009E1261">
              <w:t>ixace úroku po celou dobu splác</w:t>
            </w:r>
            <w:r>
              <w:t>ení, doba splatnosti až 30 let,</w:t>
            </w:r>
            <w:r w:rsidRPr="009E1261">
              <w:t xml:space="preserve"> výše úvěru odpovídá max. 90% způsobilých výdajů</w:t>
            </w:r>
          </w:p>
        </w:tc>
      </w:tr>
    </w:tbl>
    <w:p w:rsidR="00CE41CE" w:rsidRDefault="00CE41CE" w:rsidP="00276CD5"/>
    <w:p w:rsidR="00276CD5" w:rsidRDefault="00276CD5" w:rsidP="00276CD5">
      <w:r>
        <w:t>Co se týče poskytovaného zvýhodnění na úrokové sazbě úvěru, tato se liší dle odsouhlasené délky trvání úvěrového vztahu dle níže popsaného klíče.</w:t>
      </w:r>
    </w:p>
    <w:tbl>
      <w:tblPr>
        <w:tblStyle w:val="Svtlseznamzvraznn2"/>
        <w:tblW w:w="9464" w:type="dxa"/>
        <w:tblLook w:val="04A0" w:firstRow="1" w:lastRow="0" w:firstColumn="1" w:lastColumn="0" w:noHBand="0" w:noVBand="1"/>
      </w:tblPr>
      <w:tblGrid>
        <w:gridCol w:w="2802"/>
        <w:gridCol w:w="6662"/>
      </w:tblGrid>
      <w:tr w:rsidR="00276CD5" w:rsidTr="002C5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76CD5" w:rsidRDefault="00276CD5" w:rsidP="002C53C4">
            <w:r>
              <w:t>Doba splatnosti úvěru</w:t>
            </w:r>
          </w:p>
        </w:tc>
        <w:tc>
          <w:tcPr>
            <w:tcW w:w="6662" w:type="dxa"/>
          </w:tcPr>
          <w:p w:rsidR="00276CD5" w:rsidRDefault="00276CD5" w:rsidP="002C53C4">
            <w:pPr>
              <w:cnfStyle w:val="100000000000" w:firstRow="1" w:lastRow="0" w:firstColumn="0" w:lastColumn="0" w:oddVBand="0" w:evenVBand="0" w:oddHBand="0" w:evenHBand="0" w:firstRowFirstColumn="0" w:firstRowLastColumn="0" w:lastRowFirstColumn="0" w:lastRowLastColumn="0"/>
            </w:pPr>
            <w:r>
              <w:t>Výše úrokové míry pro konečného příjemce (fixace po celou dobu)</w:t>
            </w:r>
          </w:p>
        </w:tc>
      </w:tr>
      <w:tr w:rsidR="00276CD5" w:rsidTr="002C5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76CD5" w:rsidRPr="00667FE3" w:rsidRDefault="00276CD5" w:rsidP="002C53C4">
            <w:r w:rsidRPr="00667FE3">
              <w:t>do 10 let</w:t>
            </w:r>
          </w:p>
        </w:tc>
        <w:tc>
          <w:tcPr>
            <w:tcW w:w="6662" w:type="dxa"/>
          </w:tcPr>
          <w:p w:rsidR="00276CD5" w:rsidRPr="00667FE3" w:rsidRDefault="00276CD5" w:rsidP="002C53C4">
            <w:pPr>
              <w:cnfStyle w:val="000000100000" w:firstRow="0" w:lastRow="0" w:firstColumn="0" w:lastColumn="0" w:oddVBand="0" w:evenVBand="0" w:oddHBand="1" w:evenHBand="0" w:firstRowFirstColumn="0" w:firstRowLastColumn="0" w:lastRowFirstColumn="0" w:lastRowLastColumn="0"/>
            </w:pPr>
            <w:r>
              <w:t>Referenční sazba EU (aktuálně 0,52 % p.a.)</w:t>
            </w:r>
          </w:p>
        </w:tc>
      </w:tr>
      <w:tr w:rsidR="00276CD5" w:rsidTr="002C53C4">
        <w:tc>
          <w:tcPr>
            <w:cnfStyle w:val="001000000000" w:firstRow="0" w:lastRow="0" w:firstColumn="1" w:lastColumn="0" w:oddVBand="0" w:evenVBand="0" w:oddHBand="0" w:evenHBand="0" w:firstRowFirstColumn="0" w:firstRowLastColumn="0" w:lastRowFirstColumn="0" w:lastRowLastColumn="0"/>
            <w:tcW w:w="2802" w:type="dxa"/>
          </w:tcPr>
          <w:p w:rsidR="00276CD5" w:rsidRPr="00667FE3" w:rsidRDefault="00276CD5" w:rsidP="002C53C4">
            <w:r w:rsidRPr="00667FE3">
              <w:t>10 - 20 let</w:t>
            </w:r>
          </w:p>
        </w:tc>
        <w:tc>
          <w:tcPr>
            <w:tcW w:w="6662" w:type="dxa"/>
          </w:tcPr>
          <w:p w:rsidR="00276CD5" w:rsidRPr="00667FE3" w:rsidRDefault="00276CD5" w:rsidP="002C53C4">
            <w:pPr>
              <w:cnfStyle w:val="000000000000" w:firstRow="0" w:lastRow="0" w:firstColumn="0" w:lastColumn="0" w:oddVBand="0" w:evenVBand="0" w:oddHBand="0" w:evenHBand="0" w:firstRowFirstColumn="0" w:firstRowLastColumn="0" w:lastRowFirstColumn="0" w:lastRowLastColumn="0"/>
            </w:pPr>
            <w:r>
              <w:t>R</w:t>
            </w:r>
            <w:r w:rsidRPr="00667FE3">
              <w:t>eferenční sazba EU</w:t>
            </w:r>
            <w:r>
              <w:t xml:space="preserve"> (aktuálně 0,52 % p.a.)</w:t>
            </w:r>
            <w:r w:rsidRPr="00667FE3">
              <w:t xml:space="preserve"> + 1% p.a.</w:t>
            </w:r>
          </w:p>
        </w:tc>
      </w:tr>
      <w:tr w:rsidR="00276CD5" w:rsidTr="002C5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76CD5" w:rsidRPr="00667FE3" w:rsidRDefault="00276CD5" w:rsidP="002C53C4">
            <w:r w:rsidRPr="00667FE3">
              <w:t>20 - 30 let</w:t>
            </w:r>
          </w:p>
        </w:tc>
        <w:tc>
          <w:tcPr>
            <w:tcW w:w="6662" w:type="dxa"/>
          </w:tcPr>
          <w:p w:rsidR="00276CD5" w:rsidRPr="00667FE3" w:rsidRDefault="00276CD5" w:rsidP="002C53C4">
            <w:pPr>
              <w:cnfStyle w:val="000000100000" w:firstRow="0" w:lastRow="0" w:firstColumn="0" w:lastColumn="0" w:oddVBand="0" w:evenVBand="0" w:oddHBand="1" w:evenHBand="0" w:firstRowFirstColumn="0" w:firstRowLastColumn="0" w:lastRowFirstColumn="0" w:lastRowLastColumn="0"/>
            </w:pPr>
            <w:r>
              <w:t>Referenční sazba EU (aktuálně 0,52 % p.a.)</w:t>
            </w:r>
            <w:r w:rsidRPr="00667FE3">
              <w:t xml:space="preserve"> + 2% p.a.</w:t>
            </w:r>
          </w:p>
        </w:tc>
      </w:tr>
    </w:tbl>
    <w:p w:rsidR="00276CD5" w:rsidRDefault="00276CD5" w:rsidP="00276CD5">
      <w:pPr>
        <w:rPr>
          <w:b/>
        </w:rPr>
      </w:pPr>
    </w:p>
    <w:p w:rsidR="00276CD5" w:rsidRDefault="00276CD5" w:rsidP="00276CD5">
      <w:pPr>
        <w:rPr>
          <w:b/>
        </w:rPr>
      </w:pPr>
      <w:r>
        <w:rPr>
          <w:b/>
        </w:rPr>
        <w:t>Dle dosavadních výsledků je nejčastějším příjemcem podpory společenství vlastníků, kdy v drtivé většině případů je využito podpory v režimu de minimis.</w:t>
      </w:r>
    </w:p>
    <w:p w:rsidR="00276CD5" w:rsidRDefault="00276CD5" w:rsidP="00276CD5">
      <w:r>
        <w:t>Pilotní implementaci FN JESSICA v IOP lze považovat za úspěšnou, byly ozkoušeny</w:t>
      </w:r>
      <w:r w:rsidRPr="00115E03">
        <w:t xml:space="preserve"> principy nastavení, na kterých lze stavět nastavení nástroje pro IROP</w:t>
      </w:r>
      <w:r>
        <w:t xml:space="preserve"> a byla vyčerpána disponibilní alokace. Dle závěrů evaluační zprávy a hodnocení dodavatele je možné identifikovat následující oblasti vhodné ke zlepšení:</w:t>
      </w:r>
    </w:p>
    <w:p w:rsidR="00276CD5" w:rsidRDefault="00276CD5" w:rsidP="00276CD5">
      <w:pPr>
        <w:pStyle w:val="Odstavecseseznamem"/>
        <w:numPr>
          <w:ilvl w:val="0"/>
          <w:numId w:val="74"/>
        </w:numPr>
        <w:spacing w:after="0"/>
      </w:pPr>
      <w:r>
        <w:t>Nedostatečná informační kampaň, mnoho potenciálních příjemců zná značku Zelená úsporám a PANEL, méně jsou seznámeni s programem JESSICA</w:t>
      </w:r>
    </w:p>
    <w:p w:rsidR="00276CD5" w:rsidRDefault="00276CD5" w:rsidP="00276CD5">
      <w:pPr>
        <w:pStyle w:val="Odstavecseseznamem"/>
        <w:numPr>
          <w:ilvl w:val="0"/>
          <w:numId w:val="74"/>
        </w:numPr>
        <w:spacing w:after="0"/>
      </w:pPr>
      <w:r>
        <w:t xml:space="preserve">Zapojení pouze jednoho bankovního domu </w:t>
      </w:r>
      <w:r w:rsidR="00B83F26">
        <w:t xml:space="preserve">znamenala adekvátní </w:t>
      </w:r>
      <w:r>
        <w:t>dostupnost produktu v</w:t>
      </w:r>
      <w:r w:rsidR="00B83F26">
        <w:t> </w:t>
      </w:r>
      <w:r>
        <w:t>území</w:t>
      </w:r>
      <w:r w:rsidR="00B83F26">
        <w:t>, nicméně je vhodné zvážit zapojení více bank pro lepší penetraci území</w:t>
      </w:r>
    </w:p>
    <w:p w:rsidR="00276CD5" w:rsidRDefault="00276CD5" w:rsidP="00276CD5">
      <w:pPr>
        <w:pStyle w:val="Odstavecseseznamem"/>
        <w:numPr>
          <w:ilvl w:val="0"/>
          <w:numId w:val="74"/>
        </w:numPr>
        <w:spacing w:after="0"/>
      </w:pPr>
      <w:r>
        <w:t>Absence koordinace s ostatními programy obdobného zaměření (ačkoli s jinou cílovou skupinou), vedoucí k nižší orientaci konečných příjemců v jejich možnostech čerpat veřejnou podporu - Sjednotit metodické prostředí, aby nedocházelo k roztříštěnosti přístupu, kritérií, požadavků apod.</w:t>
      </w:r>
    </w:p>
    <w:p w:rsidR="00276CD5" w:rsidRDefault="00276CD5" w:rsidP="00276CD5">
      <w:pPr>
        <w:pStyle w:val="Odstavecseseznamem"/>
        <w:numPr>
          <w:ilvl w:val="0"/>
          <w:numId w:val="74"/>
        </w:numPr>
        <w:spacing w:after="0"/>
      </w:pPr>
      <w:r>
        <w:t>Program neeviduje projekty s problémy se splácení – na jednu stranu se jedná o pozitivum, na druhou stranu naznačuje konzervativní nastavení vstupního ratingu, který může blokovat realizaci rizikovějších, avšak žádoucích projektů</w:t>
      </w:r>
    </w:p>
    <w:p w:rsidR="00276CD5" w:rsidRDefault="00276CD5" w:rsidP="00276CD5">
      <w:pPr>
        <w:pStyle w:val="Odstavecseseznamem"/>
        <w:numPr>
          <w:ilvl w:val="0"/>
          <w:numId w:val="74"/>
        </w:numPr>
        <w:spacing w:after="0"/>
      </w:pPr>
      <w:r>
        <w:t xml:space="preserve">Zlepšení vzájemné komunikace a součinnosti všech zapojených subjektů implementace především v rámci včasného poskytování informací </w:t>
      </w:r>
    </w:p>
    <w:p w:rsidR="00276CD5" w:rsidRDefault="00276CD5" w:rsidP="00276CD5">
      <w:pPr>
        <w:pStyle w:val="Odstavecseseznamem"/>
        <w:numPr>
          <w:ilvl w:val="0"/>
          <w:numId w:val="74"/>
        </w:numPr>
        <w:spacing w:after="0"/>
      </w:pPr>
      <w:r>
        <w:t>Zjednodušení administrace</w:t>
      </w:r>
    </w:p>
    <w:p w:rsidR="00276CD5" w:rsidRDefault="00276CD5" w:rsidP="00276CD5"/>
    <w:p w:rsidR="00276CD5" w:rsidRDefault="00276CD5" w:rsidP="00DA4E52"/>
    <w:p w:rsidR="00317C5A" w:rsidRDefault="003E12DB" w:rsidP="00046696">
      <w:pPr>
        <w:pStyle w:val="Nadpis1"/>
      </w:pPr>
      <w:bookmarkStart w:id="97" w:name="_Toc418767149"/>
      <w:r>
        <w:t xml:space="preserve">Blok B - </w:t>
      </w:r>
      <w:r w:rsidR="00046696">
        <w:t>Strategie řízení a implementace</w:t>
      </w:r>
      <w:bookmarkEnd w:id="97"/>
    </w:p>
    <w:p w:rsidR="00F36672" w:rsidRDefault="00F36672" w:rsidP="00F36672">
      <w:pPr>
        <w:pStyle w:val="Nadpis2"/>
        <w:rPr>
          <w:rFonts w:asciiTheme="majorHAnsi" w:hAnsiTheme="majorHAnsi" w:cstheme="majorHAnsi"/>
        </w:rPr>
      </w:pPr>
      <w:bookmarkStart w:id="98" w:name="_Toc413183919"/>
      <w:bookmarkStart w:id="99" w:name="_Toc418767150"/>
      <w:r>
        <w:rPr>
          <w:rFonts w:asciiTheme="majorHAnsi" w:hAnsiTheme="majorHAnsi" w:cstheme="majorHAnsi"/>
        </w:rPr>
        <w:t>Charakteristika implementační struktury</w:t>
      </w:r>
      <w:bookmarkEnd w:id="98"/>
      <w:bookmarkEnd w:id="99"/>
    </w:p>
    <w:p w:rsidR="00F36672" w:rsidRDefault="00F36672" w:rsidP="00F36672">
      <w:pPr>
        <w:pStyle w:val="Nadpis3"/>
      </w:pPr>
      <w:bookmarkStart w:id="100" w:name="_Toc418767151"/>
      <w:r>
        <w:t>Základní posouzení možností implementace IFN</w:t>
      </w:r>
      <w:bookmarkEnd w:id="100"/>
      <w:r>
        <w:t xml:space="preserve"> </w:t>
      </w:r>
    </w:p>
    <w:p w:rsidR="00F36672" w:rsidRDefault="00F36672" w:rsidP="00F36672">
      <w:pPr>
        <w:rPr>
          <w:szCs w:val="16"/>
        </w:rPr>
      </w:pPr>
      <w:r>
        <w:rPr>
          <w:szCs w:val="16"/>
        </w:rPr>
        <w:t xml:space="preserve">V následující kapitole dodavatel posoudil možnosti provádění opatření formou IFN v souladu s článkem 38 Obecného nařízení. Postupováno je v logickém sledu od posouzení možností na nejvyšší úrovni k posouzení a doporučení možností na nižších úrovních implementace. </w:t>
      </w:r>
    </w:p>
    <w:p w:rsidR="00F36672" w:rsidRDefault="00F36672" w:rsidP="00F36672">
      <w:pPr>
        <w:rPr>
          <w:szCs w:val="16"/>
        </w:rPr>
      </w:pPr>
      <w:r w:rsidRPr="004843FD">
        <w:rPr>
          <w:szCs w:val="16"/>
        </w:rPr>
        <w:t>Posouzení těchto možností je nezbytným předpoklade</w:t>
      </w:r>
      <w:r>
        <w:rPr>
          <w:szCs w:val="16"/>
        </w:rPr>
        <w:t>m pro výběr efektivní a vhodné</w:t>
      </w:r>
      <w:r w:rsidRPr="004843FD">
        <w:rPr>
          <w:szCs w:val="16"/>
        </w:rPr>
        <w:t xml:space="preserve"> implementační struktury. Níže uvedené schéma sumarizuje obecné implementační možnosti IFN. Odkazy na články uvedené v následujícím schématu se vztahují k jednotlivým článkům a ustanovením Obecného nařízení. </w:t>
      </w:r>
    </w:p>
    <w:p w:rsidR="00F36672" w:rsidRPr="004843FD" w:rsidRDefault="00F36672" w:rsidP="00F36672">
      <w:pPr>
        <w:jc w:val="center"/>
        <w:rPr>
          <w:szCs w:val="16"/>
        </w:rPr>
      </w:pPr>
      <w:r w:rsidRPr="004843FD">
        <w:rPr>
          <w:noProof/>
          <w:szCs w:val="16"/>
          <w:lang w:eastAsia="cs-CZ"/>
        </w:rPr>
        <w:drawing>
          <wp:inline distT="0" distB="0" distL="0" distR="0" wp14:anchorId="2FCED639" wp14:editId="2CFD246C">
            <wp:extent cx="5339751" cy="325109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7541" cy="3249748"/>
                    </a:xfrm>
                    <a:prstGeom prst="rect">
                      <a:avLst/>
                    </a:prstGeom>
                    <a:noFill/>
                  </pic:spPr>
                </pic:pic>
              </a:graphicData>
            </a:graphic>
          </wp:inline>
        </w:drawing>
      </w:r>
    </w:p>
    <w:p w:rsidR="00F36672" w:rsidRDefault="00F36672" w:rsidP="00F36672">
      <w:pPr>
        <w:pStyle w:val="Titulek"/>
        <w:jc w:val="center"/>
      </w:pPr>
      <w:bookmarkStart w:id="101" w:name="_Toc417655524"/>
      <w:r w:rsidRPr="004843FD">
        <w:t xml:space="preserve">Obrázek </w:t>
      </w:r>
      <w:r w:rsidRPr="004843FD">
        <w:fldChar w:fldCharType="begin"/>
      </w:r>
      <w:r w:rsidRPr="004843FD">
        <w:instrText xml:space="preserve"> SEQ Obrázek \* ARABIC </w:instrText>
      </w:r>
      <w:r w:rsidRPr="004843FD">
        <w:fldChar w:fldCharType="separate"/>
      </w:r>
      <w:r w:rsidR="00337437">
        <w:rPr>
          <w:noProof/>
        </w:rPr>
        <w:t>10</w:t>
      </w:r>
      <w:r w:rsidRPr="004843FD">
        <w:fldChar w:fldCharType="end"/>
      </w:r>
      <w:r w:rsidRPr="004843FD">
        <w:t>: Základní možnosti ŘO při implementaci IFN</w:t>
      </w:r>
      <w:bookmarkEnd w:id="101"/>
    </w:p>
    <w:p w:rsidR="00F36672" w:rsidRPr="004843FD" w:rsidRDefault="00382687" w:rsidP="00F36672">
      <w:pPr>
        <w:pStyle w:val="Nadpis3"/>
      </w:pPr>
      <w:bookmarkStart w:id="102" w:name="_Toc418767152"/>
      <w:r>
        <w:t xml:space="preserve">Posouzení </w:t>
      </w:r>
      <w:r w:rsidR="00F36672">
        <w:t>možnosti využití nástrojů zřízených</w:t>
      </w:r>
      <w:r w:rsidR="00F36672" w:rsidRPr="004843FD">
        <w:t xml:space="preserve"> na úrovni Unie</w:t>
      </w:r>
      <w:r w:rsidR="00D655A7">
        <w:t>, spravované přímo nebo nepřímo Komisí</w:t>
      </w:r>
      <w:bookmarkEnd w:id="102"/>
      <w:r w:rsidR="00F36672">
        <w:t xml:space="preserve"> </w:t>
      </w:r>
    </w:p>
    <w:p w:rsidR="00F36672" w:rsidRPr="004843FD" w:rsidRDefault="00F36672" w:rsidP="00F36672">
      <w:pPr>
        <w:rPr>
          <w:szCs w:val="16"/>
        </w:rPr>
      </w:pPr>
      <w:r w:rsidRPr="004843FD">
        <w:rPr>
          <w:szCs w:val="16"/>
        </w:rPr>
        <w:t xml:space="preserve">Jak je názorně uvedeno v předešlém obrázku, </w:t>
      </w:r>
      <w:r w:rsidRPr="004843FD">
        <w:rPr>
          <w:b/>
          <w:szCs w:val="16"/>
        </w:rPr>
        <w:t>jednou z možností ŘO je alokovat prostředky z operačních programů do finančních nástrojů zřízených na úrovni Unie</w:t>
      </w:r>
      <w:r w:rsidRPr="004843FD">
        <w:rPr>
          <w:szCs w:val="16"/>
        </w:rPr>
        <w:t xml:space="preserve"> </w:t>
      </w:r>
      <w:r>
        <w:rPr>
          <w:szCs w:val="16"/>
        </w:rPr>
        <w:t xml:space="preserve"> </w:t>
      </w:r>
      <w:r w:rsidRPr="004843FD">
        <w:rPr>
          <w:szCs w:val="16"/>
        </w:rPr>
        <w:t xml:space="preserve">a spravovaných přímo nebo nepřímo Komisí. </w:t>
      </w:r>
    </w:p>
    <w:p w:rsidR="00F36672" w:rsidRDefault="00F36672" w:rsidP="00F36672">
      <w:pPr>
        <w:rPr>
          <w:szCs w:val="16"/>
        </w:rPr>
      </w:pPr>
      <w:r w:rsidRPr="004843FD">
        <w:rPr>
          <w:szCs w:val="16"/>
        </w:rPr>
        <w:t xml:space="preserve">Tato možnost je </w:t>
      </w:r>
      <w:r w:rsidRPr="004843FD">
        <w:rPr>
          <w:b/>
          <w:szCs w:val="16"/>
        </w:rPr>
        <w:t>vhodná pro případy, kdy administrativní kapacita, expertíza a/nebo znalosti</w:t>
      </w:r>
      <w:r w:rsidRPr="004843FD">
        <w:rPr>
          <w:szCs w:val="16"/>
        </w:rPr>
        <w:t xml:space="preserve"> jednotlivých </w:t>
      </w:r>
      <w:r w:rsidRPr="004843FD">
        <w:rPr>
          <w:b/>
          <w:szCs w:val="16"/>
        </w:rPr>
        <w:t>ŘO jsou nedostatečné</w:t>
      </w:r>
      <w:r w:rsidRPr="004843FD">
        <w:rPr>
          <w:szCs w:val="16"/>
        </w:rPr>
        <w:t xml:space="preserve"> </w:t>
      </w:r>
      <w:r w:rsidRPr="004843FD">
        <w:rPr>
          <w:b/>
          <w:szCs w:val="16"/>
        </w:rPr>
        <w:t>a současně</w:t>
      </w:r>
      <w:r w:rsidRPr="004843FD">
        <w:rPr>
          <w:szCs w:val="16"/>
        </w:rPr>
        <w:t xml:space="preserve"> tyto </w:t>
      </w:r>
      <w:r w:rsidRPr="004843FD">
        <w:rPr>
          <w:b/>
          <w:szCs w:val="16"/>
        </w:rPr>
        <w:t>finanční nástroje</w:t>
      </w:r>
      <w:r w:rsidRPr="004843FD">
        <w:rPr>
          <w:szCs w:val="16"/>
        </w:rPr>
        <w:t xml:space="preserve"> zřízené na úrovni Unie </w:t>
      </w:r>
      <w:r w:rsidRPr="004843FD">
        <w:rPr>
          <w:b/>
          <w:szCs w:val="16"/>
        </w:rPr>
        <w:t>jsou</w:t>
      </w:r>
      <w:r>
        <w:rPr>
          <w:b/>
          <w:szCs w:val="16"/>
        </w:rPr>
        <w:t xml:space="preserve"> plně</w:t>
      </w:r>
      <w:r w:rsidRPr="004843FD">
        <w:rPr>
          <w:b/>
          <w:szCs w:val="16"/>
        </w:rPr>
        <w:t xml:space="preserve"> v souladu s cíli jednotlivých operačních programů</w:t>
      </w:r>
      <w:r>
        <w:rPr>
          <w:b/>
          <w:szCs w:val="16"/>
        </w:rPr>
        <w:t xml:space="preserve"> a aktuální situací členského státu</w:t>
      </w:r>
      <w:r w:rsidRPr="004843FD">
        <w:rPr>
          <w:szCs w:val="16"/>
        </w:rPr>
        <w:t xml:space="preserve">. </w:t>
      </w:r>
    </w:p>
    <w:p w:rsidR="00F36672" w:rsidRDefault="00F36672" w:rsidP="00F36672">
      <w:pPr>
        <w:rPr>
          <w:szCs w:val="16"/>
        </w:rPr>
      </w:pPr>
      <w:r>
        <w:rPr>
          <w:szCs w:val="16"/>
        </w:rPr>
        <w:t>Vzhledem k charakteru zamýšlené intervence dodavatel na této úrovni posuzoval off-the-shelf nástroj „Renovation Loan“. Již přednastavené nástroje ze strany EK není možné dále upravovat ve smyslu větších úprav</w:t>
      </w:r>
      <w:r w:rsidRPr="00773E08">
        <w:rPr>
          <w:szCs w:val="16"/>
        </w:rPr>
        <w:t xml:space="preserve"> preferenční</w:t>
      </w:r>
      <w:r>
        <w:rPr>
          <w:szCs w:val="16"/>
        </w:rPr>
        <w:t>ho</w:t>
      </w:r>
      <w:r w:rsidRPr="00773E08">
        <w:rPr>
          <w:szCs w:val="16"/>
        </w:rPr>
        <w:t xml:space="preserve"> odměňování</w:t>
      </w:r>
      <w:r>
        <w:rPr>
          <w:szCs w:val="16"/>
        </w:rPr>
        <w:t xml:space="preserve"> zprostředkovatelů, zapojení dotační složky v rámci finančního nástroje a nutnosti použít režim </w:t>
      </w:r>
      <w:r>
        <w:rPr>
          <w:i/>
          <w:szCs w:val="16"/>
        </w:rPr>
        <w:t xml:space="preserve">de minimis. </w:t>
      </w:r>
      <w:r w:rsidRPr="00BE0A24">
        <w:rPr>
          <w:szCs w:val="16"/>
        </w:rPr>
        <w:t>Tato omezení do značné míry limitují využití předpřipraveného nástroje.</w:t>
      </w:r>
      <w:r>
        <w:rPr>
          <w:i/>
          <w:szCs w:val="16"/>
        </w:rPr>
        <w:t xml:space="preserve"> </w:t>
      </w:r>
    </w:p>
    <w:p w:rsidR="00F36672" w:rsidRPr="00BE0A24" w:rsidRDefault="00F36672" w:rsidP="00F36672">
      <w:pPr>
        <w:rPr>
          <w:b/>
          <w:szCs w:val="16"/>
        </w:rPr>
      </w:pPr>
      <w:r w:rsidRPr="00BE0A24">
        <w:rPr>
          <w:b/>
          <w:szCs w:val="16"/>
        </w:rPr>
        <w:t xml:space="preserve">Na základě </w:t>
      </w:r>
      <w:r>
        <w:rPr>
          <w:b/>
          <w:szCs w:val="16"/>
        </w:rPr>
        <w:t xml:space="preserve">zkušeností z minulosti, </w:t>
      </w:r>
      <w:r w:rsidRPr="00BE0A24">
        <w:rPr>
          <w:b/>
          <w:szCs w:val="16"/>
        </w:rPr>
        <w:t xml:space="preserve">výsledků dotazníkového šetření, komunikace s asociacemi bytových družstev a zástupci odborné veřejnosti dodavatel navrhuje využít specificky navržený </w:t>
      </w:r>
      <w:r>
        <w:rPr>
          <w:b/>
          <w:szCs w:val="16"/>
        </w:rPr>
        <w:t xml:space="preserve">„tailor made“ </w:t>
      </w:r>
      <w:r w:rsidRPr="00BE0A24">
        <w:rPr>
          <w:b/>
          <w:szCs w:val="16"/>
        </w:rPr>
        <w:t xml:space="preserve">finanční nástroj. Argumentační linka pro rozhodování ŘO je následující: </w:t>
      </w:r>
    </w:p>
    <w:p w:rsidR="00F36672" w:rsidRDefault="00F36672" w:rsidP="00F36672">
      <w:pPr>
        <w:pStyle w:val="Odstavecseseznamem"/>
        <w:numPr>
          <w:ilvl w:val="0"/>
          <w:numId w:val="20"/>
        </w:numPr>
        <w:rPr>
          <w:szCs w:val="16"/>
        </w:rPr>
      </w:pPr>
      <w:r>
        <w:rPr>
          <w:szCs w:val="16"/>
        </w:rPr>
        <w:t xml:space="preserve">využití režimu </w:t>
      </w:r>
      <w:r w:rsidRPr="00BE0A24">
        <w:rPr>
          <w:i/>
          <w:szCs w:val="16"/>
        </w:rPr>
        <w:t>de minimis</w:t>
      </w:r>
      <w:r>
        <w:rPr>
          <w:szCs w:val="16"/>
        </w:rPr>
        <w:t xml:space="preserve"> je limitující vzhledem k tomu, že BD již mají limity pro tento režim vyčerpané, resp. chtějí se případně zapojit i do jiných aktivit (dotačních titulů jiných ŘO), které budou mít formu de minimis podpory;</w:t>
      </w:r>
    </w:p>
    <w:p w:rsidR="00F36672" w:rsidRDefault="00F36672" w:rsidP="00F36672">
      <w:pPr>
        <w:pStyle w:val="Odstavecseseznamem"/>
        <w:numPr>
          <w:ilvl w:val="0"/>
          <w:numId w:val="20"/>
        </w:numPr>
        <w:rPr>
          <w:szCs w:val="16"/>
        </w:rPr>
      </w:pPr>
      <w:r>
        <w:rPr>
          <w:szCs w:val="16"/>
        </w:rPr>
        <w:t xml:space="preserve">vlastníci vícero bytových domů, kteří se dostanou nad limit </w:t>
      </w:r>
      <w:r w:rsidRPr="00BE0A24">
        <w:rPr>
          <w:i/>
          <w:szCs w:val="16"/>
        </w:rPr>
        <w:t>de minimis</w:t>
      </w:r>
      <w:r>
        <w:rPr>
          <w:szCs w:val="16"/>
        </w:rPr>
        <w:t xml:space="preserve"> (po propočtu na HGE), tak budou automaticky z podpory vyloučeni/dostanou jen poměrnou část a to se negativně promítne do absorpční kapacity; </w:t>
      </w:r>
    </w:p>
    <w:p w:rsidR="00F36672" w:rsidRDefault="00F36672" w:rsidP="00F36672">
      <w:pPr>
        <w:pStyle w:val="Odstavecseseznamem"/>
        <w:numPr>
          <w:ilvl w:val="0"/>
          <w:numId w:val="20"/>
        </w:numPr>
        <w:rPr>
          <w:szCs w:val="16"/>
        </w:rPr>
      </w:pPr>
      <w:r>
        <w:rPr>
          <w:szCs w:val="16"/>
        </w:rPr>
        <w:t>dodavatel navrhuje případnou kombinaci zvýhodněného úvěru a dotační složky navázané na míru úspory (jakožto motivaci konečných příjemců realizovat opatření s vyšší mírou energetických úspor a tím i lepší plnění společného indikátoru snížení en. spotřeby domácností);</w:t>
      </w:r>
    </w:p>
    <w:p w:rsidR="00F36672" w:rsidRDefault="00F36672" w:rsidP="00F36672">
      <w:pPr>
        <w:pStyle w:val="Odstavecseseznamem"/>
        <w:numPr>
          <w:ilvl w:val="0"/>
          <w:numId w:val="20"/>
        </w:numPr>
        <w:rPr>
          <w:szCs w:val="16"/>
        </w:rPr>
      </w:pPr>
      <w:r>
        <w:rPr>
          <w:szCs w:val="16"/>
        </w:rPr>
        <w:t xml:space="preserve">dodavatel navrhuje preferenční odměňování zprostředkovatelů (bank), které jim bude do jisté míry kompenzovat fakt, že za svoji roli v implementačním systému nebudou dostávat fee. Dle metodiky je důležité přilákat další finanční zdroje do FN a výše uvedená opatření mají právě tento cíl – vhodně motivovat zprostředkovatele, kteří budou zároveň kofinancovat FN a tvořit tak pákový efekt. </w:t>
      </w:r>
    </w:p>
    <w:p w:rsidR="00F36672" w:rsidRPr="001E76F5" w:rsidRDefault="00F36672" w:rsidP="00F36672">
      <w:pPr>
        <w:rPr>
          <w:szCs w:val="16"/>
        </w:rPr>
      </w:pPr>
      <w:r w:rsidRPr="00BE0A24">
        <w:rPr>
          <w:b/>
          <w:szCs w:val="16"/>
        </w:rPr>
        <w:t>V případě rozhodnutí ŘO nerealizovat ve studii navrhovaný „tailor made“ nástroj, je samozřejmě možné přistoupit i k implementaci čistého off-the-shelf nástroje s tím, že ŘO si bude vědom výše uvedených nevýhod.</w:t>
      </w:r>
      <w:r>
        <w:rPr>
          <w:szCs w:val="16"/>
        </w:rPr>
        <w:t xml:space="preserve"> </w:t>
      </w:r>
    </w:p>
    <w:p w:rsidR="00F36672" w:rsidRPr="004843FD" w:rsidRDefault="00F36672" w:rsidP="00F36672">
      <w:pPr>
        <w:pStyle w:val="Nadpis3"/>
      </w:pPr>
      <w:bookmarkStart w:id="103" w:name="_Toc418767153"/>
      <w:r>
        <w:t xml:space="preserve">Posouzení </w:t>
      </w:r>
      <w:r w:rsidRPr="004843FD">
        <w:t>IFN zřízené</w:t>
      </w:r>
      <w:r>
        <w:t>ho</w:t>
      </w:r>
      <w:r w:rsidRPr="004843FD">
        <w:t xml:space="preserve"> na celostátní, regionální, nadnárodní nebo přeshraniční úrovni</w:t>
      </w:r>
      <w:bookmarkEnd w:id="103"/>
    </w:p>
    <w:p w:rsidR="00F36672" w:rsidRPr="004843FD" w:rsidRDefault="00F36672" w:rsidP="00F36672">
      <w:pPr>
        <w:rPr>
          <w:szCs w:val="16"/>
        </w:rPr>
      </w:pPr>
      <w:r>
        <w:rPr>
          <w:szCs w:val="16"/>
        </w:rPr>
        <w:t xml:space="preserve">Na základě závěrů předchozí kapitoly pokračuje dodavatel v logické lince posuzování možnosti zřízení IFN na národní úrovni. </w:t>
      </w:r>
      <w:r w:rsidRPr="004843FD">
        <w:rPr>
          <w:szCs w:val="16"/>
        </w:rPr>
        <w:t>V případě, že dojde k implementaci IFN zřízených na celostátní, regionální, nadnárodní nebo přeshraniční úrovni, má ŘO v zásadě 3 možnosti:</w:t>
      </w:r>
    </w:p>
    <w:p w:rsidR="00F36672" w:rsidRPr="004843FD" w:rsidRDefault="00F36672" w:rsidP="00F36672">
      <w:pPr>
        <w:numPr>
          <w:ilvl w:val="0"/>
          <w:numId w:val="7"/>
        </w:numPr>
        <w:spacing w:before="120"/>
        <w:rPr>
          <w:b/>
        </w:rPr>
      </w:pPr>
      <w:r w:rsidRPr="004843FD">
        <w:rPr>
          <w:b/>
        </w:rPr>
        <w:t>Ad a) – Inv</w:t>
      </w:r>
      <w:r>
        <w:rPr>
          <w:b/>
        </w:rPr>
        <w:t>estovat do kapitálu stávajících</w:t>
      </w:r>
      <w:r w:rsidRPr="004843FD">
        <w:rPr>
          <w:b/>
        </w:rPr>
        <w:t xml:space="preserve"> nebo nově vytvořených právnických osob</w:t>
      </w:r>
      <w:r w:rsidRPr="004843FD">
        <w:t>, jež se věnují provádění finančních nástrojů v souladu s cíli jednotlivých fondů ESIF a jež se ujmou prováděcích úkolů;</w:t>
      </w:r>
    </w:p>
    <w:p w:rsidR="00F36672" w:rsidRPr="004843FD" w:rsidRDefault="00F36672" w:rsidP="00F36672">
      <w:pPr>
        <w:numPr>
          <w:ilvl w:val="0"/>
          <w:numId w:val="7"/>
        </w:numPr>
        <w:spacing w:before="120"/>
        <w:rPr>
          <w:b/>
        </w:rPr>
      </w:pPr>
      <w:r w:rsidRPr="004843FD">
        <w:rPr>
          <w:b/>
        </w:rPr>
        <w:t>Ad b) – Svěření prováděcích úkolů jinému subjektu:</w:t>
      </w:r>
    </w:p>
    <w:p w:rsidR="00F36672" w:rsidRPr="004843FD" w:rsidRDefault="00F36672" w:rsidP="00F36672">
      <w:pPr>
        <w:numPr>
          <w:ilvl w:val="1"/>
          <w:numId w:val="7"/>
        </w:numPr>
        <w:spacing w:before="120"/>
      </w:pPr>
      <w:r w:rsidRPr="004843FD">
        <w:t xml:space="preserve">Skupině </w:t>
      </w:r>
      <w:r w:rsidRPr="004843FD">
        <w:rPr>
          <w:b/>
        </w:rPr>
        <w:t>EIB</w:t>
      </w:r>
      <w:r w:rsidRPr="004843FD">
        <w:t xml:space="preserve"> (EIB, EIF, případně jiná dceřiná společnost EIB);</w:t>
      </w:r>
    </w:p>
    <w:p w:rsidR="00F36672" w:rsidRPr="004843FD" w:rsidRDefault="00F36672" w:rsidP="00F36672">
      <w:pPr>
        <w:numPr>
          <w:ilvl w:val="1"/>
          <w:numId w:val="7"/>
        </w:numPr>
        <w:spacing w:before="120"/>
      </w:pPr>
      <w:r w:rsidRPr="004843FD">
        <w:rPr>
          <w:b/>
        </w:rPr>
        <w:t>Mezinárodním finančním institucím</w:t>
      </w:r>
      <w:r w:rsidRPr="004843FD">
        <w:t xml:space="preserve">, jejichž akcionářem je členský stát, nebo </w:t>
      </w:r>
      <w:r w:rsidRPr="004843FD">
        <w:rPr>
          <w:b/>
        </w:rPr>
        <w:t>finančním institucím se sídlem v členském státě</w:t>
      </w:r>
      <w:r w:rsidRPr="004843FD">
        <w:t>, jejichž úkolem je dosahovat veřejného zájmu pod kontrolou orgánu veřejné správy;</w:t>
      </w:r>
    </w:p>
    <w:p w:rsidR="00F36672" w:rsidRPr="004843FD" w:rsidRDefault="00F36672" w:rsidP="00F36672">
      <w:pPr>
        <w:numPr>
          <w:ilvl w:val="1"/>
          <w:numId w:val="7"/>
        </w:numPr>
        <w:spacing w:before="120"/>
      </w:pPr>
      <w:r w:rsidRPr="004843FD">
        <w:rPr>
          <w:b/>
        </w:rPr>
        <w:t>Veřejnoprávnímu nebo soukromoprávnímu subjektu</w:t>
      </w:r>
      <w:r w:rsidRPr="004843FD">
        <w:t>;</w:t>
      </w:r>
    </w:p>
    <w:p w:rsidR="00F36672" w:rsidRPr="004843FD" w:rsidRDefault="00F36672" w:rsidP="00F36672">
      <w:pPr>
        <w:numPr>
          <w:ilvl w:val="0"/>
          <w:numId w:val="7"/>
        </w:numPr>
        <w:spacing w:before="120"/>
        <w:rPr>
          <w:b/>
        </w:rPr>
      </w:pPr>
      <w:r w:rsidRPr="004843FD">
        <w:rPr>
          <w:b/>
        </w:rPr>
        <w:t xml:space="preserve">Ad c) – Realizace prováděcích úkolů přímo ŘO - </w:t>
      </w:r>
      <w:r w:rsidRPr="004843FD">
        <w:t>v případě finančních nástrojů, které jsou tvořeny pouze půjčkami nebo zárukami</w:t>
      </w:r>
      <w:r>
        <w:t>,</w:t>
      </w:r>
      <w:r w:rsidRPr="004843FD">
        <w:t xml:space="preserve"> se může ŘO ujmout prováděcích úkolů.</w:t>
      </w:r>
    </w:p>
    <w:p w:rsidR="00F36672" w:rsidRPr="004843FD" w:rsidRDefault="00F36672" w:rsidP="00F36672">
      <w:pPr>
        <w:rPr>
          <w:szCs w:val="16"/>
        </w:rPr>
      </w:pPr>
      <w:r w:rsidRPr="004843FD">
        <w:rPr>
          <w:b/>
          <w:szCs w:val="16"/>
        </w:rPr>
        <w:t>V případě možnost</w:t>
      </w:r>
      <w:r>
        <w:rPr>
          <w:b/>
          <w:szCs w:val="16"/>
        </w:rPr>
        <w:t>i</w:t>
      </w:r>
      <w:r w:rsidRPr="004843FD">
        <w:rPr>
          <w:b/>
          <w:szCs w:val="16"/>
        </w:rPr>
        <w:t xml:space="preserve"> a) ŘO pověřuje jiný subjekt k implementaci IFN na základě dohody o financování</w:t>
      </w:r>
      <w:r w:rsidRPr="004843FD">
        <w:rPr>
          <w:szCs w:val="16"/>
        </w:rPr>
        <w:t xml:space="preserve">. Tento subjekt tak realizuje investiční strategie, provádí reporting, správu svěřených prostředků a komplexní „governance“ finančního nástroje. </w:t>
      </w:r>
      <w:r>
        <w:rPr>
          <w:szCs w:val="16"/>
        </w:rPr>
        <w:t>Vzhledem ke skutečnosti, že neexistuje žádný subjekt výhradně dedikovaný sledovaným úkolům a v reflexi toho, že se dle jednání s relevantními zástupci odborné veřejnosti nerýsuje zájem pro tento účel takovou zvláštní entitu budovat, nemá jakýkoliv význam dále analyzovat a hodnotit tuto variantu. Důležité je také doplnit, že se krok plného převedení veřejných prostředků operačního programu na soukromoprávní entitu v programovém období 2007 – 2013 v dikci MPO setkal s velmi negativním ohlasem veřejného mínění, není na straně ŘO ani NOK zájem tímto směrem postupovat v novém období 2014 – 2020.</w:t>
      </w:r>
    </w:p>
    <w:p w:rsidR="00F36672" w:rsidRDefault="00F36672" w:rsidP="00F36672">
      <w:pPr>
        <w:rPr>
          <w:szCs w:val="16"/>
        </w:rPr>
      </w:pPr>
      <w:r w:rsidRPr="004843FD">
        <w:rPr>
          <w:b/>
          <w:szCs w:val="16"/>
        </w:rPr>
        <w:t>V případě možnosti c) realizuje ŘO prováděcí úkoly přímo</w:t>
      </w:r>
      <w:r w:rsidRPr="004843FD">
        <w:rPr>
          <w:szCs w:val="16"/>
        </w:rPr>
        <w:t xml:space="preserve">. V tomto případě nedochází k uzavření dohody o financování, nýbrž implementace IFN probíhá </w:t>
      </w:r>
      <w:r>
        <w:rPr>
          <w:b/>
          <w:szCs w:val="16"/>
        </w:rPr>
        <w:t>na základě tzv. s</w:t>
      </w:r>
      <w:r w:rsidRPr="004843FD">
        <w:rPr>
          <w:b/>
          <w:szCs w:val="16"/>
        </w:rPr>
        <w:t>trategických dokumentů</w:t>
      </w:r>
      <w:r w:rsidRPr="004843FD">
        <w:rPr>
          <w:szCs w:val="16"/>
        </w:rPr>
        <w:t xml:space="preserve">, jejichž obsah je vymezen v rámci přílohy č. 4 Obecného nařízení. </w:t>
      </w:r>
      <w:r>
        <w:rPr>
          <w:szCs w:val="16"/>
        </w:rPr>
        <w:t>Tato varianta je v zásadě možná, nicméně nelze ji doporučit, a to z několika klíčových důvodů:</w:t>
      </w:r>
    </w:p>
    <w:p w:rsidR="00F36672" w:rsidRDefault="00F36672" w:rsidP="00F36672">
      <w:pPr>
        <w:pStyle w:val="Odstavecseseznamem"/>
        <w:numPr>
          <w:ilvl w:val="0"/>
          <w:numId w:val="67"/>
        </w:numPr>
        <w:rPr>
          <w:szCs w:val="16"/>
        </w:rPr>
      </w:pPr>
      <w:r>
        <w:rPr>
          <w:szCs w:val="16"/>
        </w:rPr>
        <w:t>Řídící orgán nemá žádné dosavadní zkušenosti s poskytováním podpory formou zvýhodněných úvěrů, tedy chybí jak administrativní kapacity, tak zkušenosti, nastavení vhodných procesů, kontrolních mechanismů a zásad;</w:t>
      </w:r>
    </w:p>
    <w:p w:rsidR="00F36672" w:rsidRDefault="00F36672" w:rsidP="00F36672">
      <w:pPr>
        <w:pStyle w:val="Odstavecseseznamem"/>
        <w:numPr>
          <w:ilvl w:val="0"/>
          <w:numId w:val="67"/>
        </w:numPr>
        <w:rPr>
          <w:szCs w:val="16"/>
        </w:rPr>
      </w:pPr>
      <w:r>
        <w:rPr>
          <w:szCs w:val="16"/>
        </w:rPr>
        <w:t>Uvedené uspořádání neumožňuje využití jiných finančních nástrojů, než úvěrových a záručních – jakkoliv není tento fakt limitem pro návrh využití úvěrového nástroje u specifického cíle 2.5 IROP, může být tento model implementace limitující v budoucnu. Jak je uvedeno v analytické části zprávy, je možné v budoucnu zvážit možnost zapojení finančních nástrojů v oblasti podpory sociálního bydlení, kde nelze vyloučit vhodnost zapojení podpory formou kapitálových vstupů. Současně je možné uvažovat o této formě podpory za horizontem programového období, kdy by bylo nutné budovat nové struktury a nové know-how, neboť systém implementace dle čl. 38 (4) (c) by byl v daných případech nevyužitelný.</w:t>
      </w:r>
    </w:p>
    <w:p w:rsidR="0036274B" w:rsidRPr="00537614" w:rsidRDefault="0036274B" w:rsidP="0036274B">
      <w:pPr>
        <w:pStyle w:val="Odstavecseseznamem"/>
        <w:numPr>
          <w:ilvl w:val="0"/>
          <w:numId w:val="67"/>
        </w:numPr>
        <w:rPr>
          <w:szCs w:val="16"/>
        </w:rPr>
      </w:pPr>
      <w:r w:rsidRPr="00537614">
        <w:rPr>
          <w:szCs w:val="16"/>
        </w:rPr>
        <w:t xml:space="preserve">Organizační složka státu nesmí poskytovat úvěry jiným subjektům, proto by ŘO musel postupovat dle zákona o kolektivním investování a vybudovat samostatný SICAV, což eliminuje výhodu „ŘO spravuje sám“, resp. výhodu využití existujících veřejných institucí; </w:t>
      </w:r>
    </w:p>
    <w:p w:rsidR="0036274B" w:rsidRPr="00537614" w:rsidRDefault="0036274B" w:rsidP="0036274B">
      <w:pPr>
        <w:pStyle w:val="Odstavecseseznamem"/>
        <w:numPr>
          <w:ilvl w:val="0"/>
          <w:numId w:val="67"/>
        </w:numPr>
        <w:rPr>
          <w:szCs w:val="16"/>
        </w:rPr>
      </w:pPr>
      <w:r w:rsidRPr="00537614">
        <w:rPr>
          <w:szCs w:val="16"/>
        </w:rPr>
        <w:t>Požadavkem Komise je, aby byly IFN implementovány prostřednictvím standardních finančních institucí, což OSS nejsou;</w:t>
      </w:r>
    </w:p>
    <w:p w:rsidR="0036274B" w:rsidRPr="00537614" w:rsidRDefault="0036274B" w:rsidP="0036274B">
      <w:pPr>
        <w:pStyle w:val="Odstavecseseznamem"/>
        <w:numPr>
          <w:ilvl w:val="0"/>
          <w:numId w:val="67"/>
        </w:numPr>
        <w:rPr>
          <w:szCs w:val="16"/>
        </w:rPr>
      </w:pPr>
      <w:r w:rsidRPr="00537614">
        <w:rPr>
          <w:szCs w:val="16"/>
        </w:rPr>
        <w:t>Navíc je požadavkem Komise, aby byly IFN evidovány odděleně a v souladu s veškerými specifickými požadavky na audit, administrativu, řízení, tedy aby tyto IFN byly řízeny dle standardních postupů „corporate governance“. OSS takové řízení a správu v naprosté většině případů neumožňují;</w:t>
      </w:r>
    </w:p>
    <w:p w:rsidR="00F36672" w:rsidRDefault="00F36672" w:rsidP="00F36672">
      <w:pPr>
        <w:pStyle w:val="Odstavecseseznamem"/>
        <w:numPr>
          <w:ilvl w:val="0"/>
          <w:numId w:val="67"/>
        </w:numPr>
        <w:rPr>
          <w:szCs w:val="16"/>
        </w:rPr>
      </w:pPr>
      <w:r w:rsidRPr="00E76B62">
        <w:rPr>
          <w:szCs w:val="16"/>
        </w:rPr>
        <w:t xml:space="preserve">V okamžiku, kdy by docházelo ke splácení jistiny a úroků poskytnutých úvěrů zpět přímo řídícímu orgánu, tyto by se staly příjmem ministerstva, tedy státního rozpočtu, tedy došlo by k porušení nařízení o využití revolvingem získaných prostředků dle znění článku 44 Obecného nařízení. </w:t>
      </w:r>
      <w:r>
        <w:rPr>
          <w:szCs w:val="16"/>
        </w:rPr>
        <w:t>Tento problém by bylo možné řešit vyčleněním prostředků do nově zřízeného</w:t>
      </w:r>
      <w:r w:rsidRPr="00E76B62">
        <w:rPr>
          <w:szCs w:val="16"/>
        </w:rPr>
        <w:t xml:space="preserve"> nástupnického fondu,</w:t>
      </w:r>
      <w:r>
        <w:rPr>
          <w:szCs w:val="16"/>
        </w:rPr>
        <w:t xml:space="preserve"> avšak tento postup by prakticky eliminoval výhodu nebudování nových struktur a vyčleňování práv a povinností mimo řídící orgán, která je jinak hlavní devizou</w:t>
      </w:r>
      <w:r w:rsidRPr="00E76B62">
        <w:rPr>
          <w:szCs w:val="16"/>
        </w:rPr>
        <w:t xml:space="preserve"> </w:t>
      </w:r>
      <w:r>
        <w:rPr>
          <w:szCs w:val="16"/>
        </w:rPr>
        <w:t>řízení</w:t>
      </w:r>
      <w:r w:rsidRPr="00E76B62">
        <w:rPr>
          <w:szCs w:val="16"/>
        </w:rPr>
        <w:t xml:space="preserve"> finančního nástroje skrze ŘO</w:t>
      </w:r>
      <w:r>
        <w:rPr>
          <w:szCs w:val="16"/>
        </w:rPr>
        <w:t>.</w:t>
      </w:r>
    </w:p>
    <w:p w:rsidR="00F36672" w:rsidRPr="00E76B62" w:rsidRDefault="00F36672" w:rsidP="00F36672">
      <w:pPr>
        <w:pStyle w:val="Odstavecseseznamem"/>
        <w:numPr>
          <w:ilvl w:val="0"/>
          <w:numId w:val="67"/>
        </w:numPr>
        <w:rPr>
          <w:szCs w:val="16"/>
        </w:rPr>
      </w:pPr>
      <w:r>
        <w:rPr>
          <w:szCs w:val="16"/>
        </w:rPr>
        <w:t xml:space="preserve">Řídící orgán může využít vhodný subjekt v rámci resortu (SFRB), který má k dispozici potřebné know-how i zkušenost a lze jej plně využít při implementaci dle čl. </w:t>
      </w:r>
      <w:r w:rsidRPr="007F3E9C">
        <w:rPr>
          <w:szCs w:val="16"/>
        </w:rPr>
        <w:t>38 (4) (b)</w:t>
      </w:r>
      <w:r>
        <w:rPr>
          <w:szCs w:val="16"/>
        </w:rPr>
        <w:t xml:space="preserve">. </w:t>
      </w:r>
    </w:p>
    <w:p w:rsidR="00674446" w:rsidRDefault="00674446" w:rsidP="00674446">
      <w:pPr>
        <w:rPr>
          <w:u w:val="single"/>
        </w:rPr>
      </w:pPr>
      <w:r>
        <w:rPr>
          <w:u w:val="single"/>
        </w:rPr>
        <w:t xml:space="preserve">Níže jsou </w:t>
      </w:r>
      <w:r w:rsidR="00C71A3C">
        <w:rPr>
          <w:u w:val="single"/>
        </w:rPr>
        <w:t xml:space="preserve">přehledně </w:t>
      </w:r>
      <w:r>
        <w:rPr>
          <w:u w:val="single"/>
        </w:rPr>
        <w:t>shrnuty výhody a nevýhody využití dvou variant, které byly zhodnoceny jako nejvíce vyhovující současným podmínkám IROP, resp. ČR – varianta se zapojením vybraného veřejnoprávního subjektu a varianta správy finančního nástroje přímo ze strany řídícího orgánu</w:t>
      </w:r>
    </w:p>
    <w:p w:rsidR="00FC0E57" w:rsidRDefault="00FC0E57">
      <w:pPr>
        <w:spacing w:after="0"/>
        <w:jc w:val="left"/>
        <w:rPr>
          <w:u w:val="single"/>
        </w:rPr>
      </w:pPr>
      <w:r>
        <w:rPr>
          <w:u w:val="single"/>
        </w:rPr>
        <w:br w:type="page"/>
      </w:r>
    </w:p>
    <w:p w:rsidR="00FC0E57" w:rsidRDefault="00FC0E57" w:rsidP="00674446">
      <w:pPr>
        <w:rPr>
          <w:u w:val="single"/>
        </w:rPr>
      </w:pPr>
    </w:p>
    <w:tbl>
      <w:tblPr>
        <w:tblStyle w:val="Deloittetable1"/>
        <w:tblW w:w="9526" w:type="dxa"/>
        <w:tblLook w:val="04A0" w:firstRow="1" w:lastRow="0" w:firstColumn="1" w:lastColumn="0" w:noHBand="0" w:noVBand="1"/>
      </w:tblPr>
      <w:tblGrid>
        <w:gridCol w:w="595"/>
        <w:gridCol w:w="4536"/>
        <w:gridCol w:w="4395"/>
      </w:tblGrid>
      <w:tr w:rsidR="00FC0E57" w:rsidRPr="004843FD" w:rsidTr="008620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rsidR="00FC0E57" w:rsidRDefault="00FC0E57" w:rsidP="008620D2">
            <w:pPr>
              <w:spacing w:after="0"/>
              <w:jc w:val="center"/>
              <w:rPr>
                <w:szCs w:val="16"/>
              </w:rPr>
            </w:pPr>
          </w:p>
        </w:tc>
        <w:tc>
          <w:tcPr>
            <w:tcW w:w="4536" w:type="dxa"/>
          </w:tcPr>
          <w:p w:rsidR="00FC0E57" w:rsidRDefault="00FC0E57" w:rsidP="008620D2">
            <w:pPr>
              <w:spacing w:after="0"/>
              <w:jc w:val="center"/>
              <w:cnfStyle w:val="100000000000" w:firstRow="1" w:lastRow="0" w:firstColumn="0" w:lastColumn="0" w:oddVBand="0" w:evenVBand="0" w:oddHBand="0" w:evenHBand="0" w:firstRowFirstColumn="0" w:firstRowLastColumn="0" w:lastRowFirstColumn="0" w:lastRowLastColumn="0"/>
              <w:rPr>
                <w:szCs w:val="16"/>
              </w:rPr>
            </w:pPr>
            <w:r>
              <w:rPr>
                <w:szCs w:val="16"/>
              </w:rPr>
              <w:t>Varianta 1 – Zapojení veřejnoprávního subjektu</w:t>
            </w:r>
          </w:p>
          <w:p w:rsidR="00FC0E57" w:rsidRPr="004843FD" w:rsidRDefault="00FC0E57" w:rsidP="008620D2">
            <w:pPr>
              <w:spacing w:after="0"/>
              <w:jc w:val="center"/>
              <w:cnfStyle w:val="100000000000" w:firstRow="1" w:lastRow="0" w:firstColumn="0" w:lastColumn="0" w:oddVBand="0" w:evenVBand="0" w:oddHBand="0" w:evenHBand="0" w:firstRowFirstColumn="0" w:firstRowLastColumn="0" w:lastRowFirstColumn="0" w:lastRowLastColumn="0"/>
              <w:rPr>
                <w:szCs w:val="16"/>
              </w:rPr>
            </w:pPr>
            <w:r>
              <w:rPr>
                <w:szCs w:val="16"/>
              </w:rPr>
              <w:t>(ČMZRB, SFŽP nebo SFRB)</w:t>
            </w:r>
          </w:p>
        </w:tc>
        <w:tc>
          <w:tcPr>
            <w:tcW w:w="4395" w:type="dxa"/>
          </w:tcPr>
          <w:p w:rsidR="00FC0E57" w:rsidRPr="004843FD" w:rsidRDefault="00FC0E57" w:rsidP="008620D2">
            <w:pPr>
              <w:spacing w:after="0"/>
              <w:jc w:val="center"/>
              <w:cnfStyle w:val="100000000000" w:firstRow="1" w:lastRow="0" w:firstColumn="0" w:lastColumn="0" w:oddVBand="0" w:evenVBand="0" w:oddHBand="0" w:evenHBand="0" w:firstRowFirstColumn="0" w:firstRowLastColumn="0" w:lastRowFirstColumn="0" w:lastRowLastColumn="0"/>
              <w:rPr>
                <w:szCs w:val="16"/>
              </w:rPr>
            </w:pPr>
            <w:r>
              <w:rPr>
                <w:szCs w:val="16"/>
              </w:rPr>
              <w:t>Varianta 2 – Realizace řídícím orgánem</w:t>
            </w:r>
          </w:p>
        </w:tc>
      </w:tr>
      <w:tr w:rsidR="00FC0E57" w:rsidRPr="004843FD" w:rsidTr="008620D2">
        <w:trPr>
          <w:cantSplit/>
          <w:trHeight w:val="1134"/>
        </w:trPr>
        <w:tc>
          <w:tcPr>
            <w:cnfStyle w:val="001000000000" w:firstRow="0" w:lastRow="0" w:firstColumn="1" w:lastColumn="0" w:oddVBand="0" w:evenVBand="0" w:oddHBand="0" w:evenHBand="0" w:firstRowFirstColumn="0" w:firstRowLastColumn="0" w:lastRowFirstColumn="0" w:lastRowLastColumn="0"/>
            <w:tcW w:w="595" w:type="dxa"/>
            <w:shd w:val="clear" w:color="auto" w:fill="D9FF87" w:themeFill="accent2" w:themeFillTint="66"/>
            <w:textDirection w:val="btLr"/>
            <w:vAlign w:val="center"/>
          </w:tcPr>
          <w:p w:rsidR="00FC0E57" w:rsidRPr="00E82CBE" w:rsidRDefault="00FC0E57" w:rsidP="008620D2">
            <w:pPr>
              <w:ind w:left="37" w:right="113"/>
              <w:jc w:val="center"/>
              <w:rPr>
                <w:b/>
                <w:szCs w:val="16"/>
              </w:rPr>
            </w:pPr>
            <w:r w:rsidRPr="00E82CBE">
              <w:rPr>
                <w:b/>
                <w:szCs w:val="16"/>
              </w:rPr>
              <w:t>VÝHODY</w:t>
            </w:r>
          </w:p>
        </w:tc>
        <w:tc>
          <w:tcPr>
            <w:tcW w:w="4536" w:type="dxa"/>
          </w:tcPr>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Zkušenost s bankovním sektorem, přirozenější partner jak pro přípravu nastavení nástroje, tak pro jeho řízení</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Vyšší reálná dostupnost v území, možnost využití (nových) poboček v jednotlivých krajích ČR</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Přímá zkušenost v současném období (ČMZRB a PROGRES, SFŽP a národní půjčky, SFRB a JESSICA), možné částečné zužitkování existujících nastavení procesů</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 xml:space="preserve">Potenciál rychlejší připravenosti na spuštění čerpání, menší potřeba přípravy </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Potenciál využití spolufinancujícího subjektu (banka nebo více bank), minimalizace potenciálního efektu vytěsnění, možnost využití pákového efektu</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sidRPr="00FF069F">
              <w:rPr>
                <w:szCs w:val="16"/>
              </w:rPr>
              <w:t>Varianta vhodnější pro případ omezeného pilotního ověření zájmu o finanční nástroj</w:t>
            </w:r>
            <w:r>
              <w:rPr>
                <w:szCs w:val="16"/>
              </w:rPr>
              <w:t>, využití existujících struktur a kapacit</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Potenciál rychlého čerpání, příjemci mohou navázat na minulou zkušenost, neuplatňuje se efekt obavy z nového a neozkoušeného</w:t>
            </w:r>
          </w:p>
          <w:p w:rsidR="00FC0E57" w:rsidRPr="00FF069F"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Transparentnost a přehlednost ve vazbě na další operační programy, které plánují využít (pokud implementují IFN) tento postup</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Efektivní snížení rizika pro případ nesrovnalostí či schopností zapojeného subjektu plnit svoji roli – zkušenosti z minulého období</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Nároky na vybudování administrativních kapacit nižší, možnost využití existujících pracovníků (přeškolení, přeřazení)</w:t>
            </w:r>
          </w:p>
          <w:p w:rsidR="00FC0E57" w:rsidRPr="0028118F"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Výhoda využití fungujícího a standardizovaného řešení úvěrového procesu dle know-how soukromého sektoru</w:t>
            </w:r>
          </w:p>
        </w:tc>
        <w:tc>
          <w:tcPr>
            <w:tcW w:w="4395" w:type="dxa"/>
          </w:tcPr>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Předpoklad jednoduššího způsobu provádění monitoringu, reportingu a kontroly z důvodu agregace všech rolí na entitě zřízené MMR</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Možnost nastavení maximálně jednoduchého a uživatelsky přívětivého řešení nástroje (začátek „z nuly“), např. v případě provádění ratingu, nastavení požadavků na ručení, využití formulářů na jednu stranu A4, apod.</w:t>
            </w:r>
          </w:p>
          <w:p w:rsidR="00FC0E57" w:rsidRPr="004843FD"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Potenciální úspora na management a success fee – činnosti vykonává pouze a jenom jeden subjekt</w:t>
            </w:r>
          </w:p>
        </w:tc>
      </w:tr>
    </w:tbl>
    <w:p w:rsidR="00FC0E57" w:rsidRDefault="00FC0E57" w:rsidP="00674446">
      <w:pPr>
        <w:rPr>
          <w:u w:val="single"/>
        </w:rPr>
      </w:pPr>
    </w:p>
    <w:p w:rsidR="00FC0E57" w:rsidRDefault="00FC0E57">
      <w:pPr>
        <w:spacing w:after="0"/>
        <w:jc w:val="left"/>
        <w:rPr>
          <w:u w:val="single"/>
        </w:rPr>
      </w:pPr>
      <w:r>
        <w:rPr>
          <w:u w:val="single"/>
        </w:rPr>
        <w:br w:type="page"/>
      </w:r>
    </w:p>
    <w:tbl>
      <w:tblPr>
        <w:tblStyle w:val="Deloittetable1"/>
        <w:tblW w:w="0" w:type="auto"/>
        <w:tblLook w:val="04A0" w:firstRow="1" w:lastRow="0" w:firstColumn="1" w:lastColumn="0" w:noHBand="0" w:noVBand="1"/>
      </w:tblPr>
      <w:tblGrid>
        <w:gridCol w:w="454"/>
        <w:gridCol w:w="4336"/>
        <w:gridCol w:w="4336"/>
      </w:tblGrid>
      <w:tr w:rsidR="00FC0E57" w:rsidRPr="004843FD" w:rsidTr="008620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tcBorders>
              <w:bottom w:val="single" w:sz="4" w:space="0" w:color="92D400"/>
            </w:tcBorders>
          </w:tcPr>
          <w:p w:rsidR="00FC0E57" w:rsidRPr="004843FD" w:rsidRDefault="00FC0E57" w:rsidP="008620D2">
            <w:pPr>
              <w:spacing w:after="0"/>
              <w:rPr>
                <w:szCs w:val="16"/>
              </w:rPr>
            </w:pPr>
          </w:p>
        </w:tc>
        <w:tc>
          <w:tcPr>
            <w:tcW w:w="4336" w:type="dxa"/>
          </w:tcPr>
          <w:p w:rsidR="00FC0E57" w:rsidRDefault="00FC0E57" w:rsidP="008620D2">
            <w:pPr>
              <w:spacing w:after="0"/>
              <w:jc w:val="center"/>
              <w:cnfStyle w:val="100000000000" w:firstRow="1" w:lastRow="0" w:firstColumn="0" w:lastColumn="0" w:oddVBand="0" w:evenVBand="0" w:oddHBand="0" w:evenHBand="0" w:firstRowFirstColumn="0" w:firstRowLastColumn="0" w:lastRowFirstColumn="0" w:lastRowLastColumn="0"/>
              <w:rPr>
                <w:szCs w:val="16"/>
              </w:rPr>
            </w:pPr>
            <w:r>
              <w:rPr>
                <w:szCs w:val="16"/>
              </w:rPr>
              <w:t>Varianta 1 – Zapojení veřejnoprávního subjektu</w:t>
            </w:r>
          </w:p>
          <w:p w:rsidR="00FC0E57" w:rsidRPr="004843FD" w:rsidRDefault="00FC0E57" w:rsidP="008620D2">
            <w:pPr>
              <w:spacing w:after="0"/>
              <w:jc w:val="center"/>
              <w:cnfStyle w:val="100000000000" w:firstRow="1" w:lastRow="0" w:firstColumn="0" w:lastColumn="0" w:oddVBand="0" w:evenVBand="0" w:oddHBand="0" w:evenHBand="0" w:firstRowFirstColumn="0" w:firstRowLastColumn="0" w:lastRowFirstColumn="0" w:lastRowLastColumn="0"/>
              <w:rPr>
                <w:szCs w:val="16"/>
              </w:rPr>
            </w:pPr>
            <w:r>
              <w:rPr>
                <w:szCs w:val="16"/>
              </w:rPr>
              <w:t>(ČMZRB, SFŽP nebo SFRB)</w:t>
            </w:r>
          </w:p>
        </w:tc>
        <w:tc>
          <w:tcPr>
            <w:tcW w:w="4336" w:type="dxa"/>
          </w:tcPr>
          <w:p w:rsidR="00FC0E57" w:rsidRPr="004843FD" w:rsidRDefault="00FC0E57" w:rsidP="008620D2">
            <w:pPr>
              <w:spacing w:after="0"/>
              <w:jc w:val="center"/>
              <w:cnfStyle w:val="100000000000" w:firstRow="1" w:lastRow="0" w:firstColumn="0" w:lastColumn="0" w:oddVBand="0" w:evenVBand="0" w:oddHBand="0" w:evenHBand="0" w:firstRowFirstColumn="0" w:firstRowLastColumn="0" w:lastRowFirstColumn="0" w:lastRowLastColumn="0"/>
              <w:rPr>
                <w:szCs w:val="16"/>
              </w:rPr>
            </w:pPr>
            <w:r>
              <w:rPr>
                <w:szCs w:val="16"/>
              </w:rPr>
              <w:t>Varianta 2 – Realizace řídícím orgánem</w:t>
            </w:r>
          </w:p>
        </w:tc>
      </w:tr>
      <w:tr w:rsidR="00FC0E57" w:rsidRPr="004843FD" w:rsidTr="008620D2">
        <w:trPr>
          <w:cantSplit/>
          <w:trHeight w:val="1134"/>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92D400"/>
            </w:tcBorders>
            <w:shd w:val="clear" w:color="auto" w:fill="D9FF87" w:themeFill="accent2" w:themeFillTint="66"/>
            <w:textDirection w:val="btLr"/>
            <w:vAlign w:val="center"/>
          </w:tcPr>
          <w:p w:rsidR="00FC0E57" w:rsidRPr="004843FD" w:rsidRDefault="00FC0E57" w:rsidP="008620D2">
            <w:pPr>
              <w:ind w:left="113" w:right="113"/>
              <w:jc w:val="center"/>
              <w:rPr>
                <w:b/>
                <w:szCs w:val="16"/>
              </w:rPr>
            </w:pPr>
            <w:r>
              <w:rPr>
                <w:b/>
                <w:szCs w:val="16"/>
              </w:rPr>
              <w:t>NEVÝHODY</w:t>
            </w:r>
          </w:p>
        </w:tc>
        <w:tc>
          <w:tcPr>
            <w:tcW w:w="4336" w:type="dxa"/>
          </w:tcPr>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Relativně náročnější na koordinaci a provádění reportingu a kontrol, nutnost nastavení kanálů spolupráce s ŘO</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Zatíženost současnou zkušeností může být limitujícím faktorem při návrhu nových, inovativních nástrojů</w:t>
            </w:r>
          </w:p>
          <w:p w:rsidR="00FC0E57" w:rsidRPr="004843FD"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Vyšší nákladnost co se výplaty management fee a success fee týče (podíl ŘO i pověřený správce vytvořeného fondu, případně banky)</w:t>
            </w:r>
          </w:p>
        </w:tc>
        <w:tc>
          <w:tcPr>
            <w:tcW w:w="4336" w:type="dxa"/>
          </w:tcPr>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 xml:space="preserve">Legislativní bariéra – splátky poskytnutých úvěrů by se </w:t>
            </w:r>
            <w:r w:rsidRPr="00E76B62">
              <w:rPr>
                <w:szCs w:val="16"/>
              </w:rPr>
              <w:t xml:space="preserve">staly příjmem ministerstva, tedy státního rozpočtu, tedy došlo by k porušení nařízení o využití revolvingem získaných prostředků dle znění </w:t>
            </w:r>
            <w:r>
              <w:rPr>
                <w:szCs w:val="16"/>
              </w:rPr>
              <w:t>článku 44 Obecného nařízení</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sidRPr="00FA26A7">
              <w:rPr>
                <w:szCs w:val="16"/>
              </w:rPr>
              <w:t xml:space="preserve">Zkušenosti </w:t>
            </w:r>
            <w:r>
              <w:rPr>
                <w:szCs w:val="16"/>
              </w:rPr>
              <w:t>–</w:t>
            </w:r>
            <w:r w:rsidRPr="00FA26A7">
              <w:rPr>
                <w:szCs w:val="16"/>
              </w:rPr>
              <w:t xml:space="preserve"> </w:t>
            </w:r>
            <w:r>
              <w:rPr>
                <w:szCs w:val="16"/>
              </w:rPr>
              <w:t>ŘO ne</w:t>
            </w:r>
            <w:r w:rsidRPr="00FA26A7">
              <w:rPr>
                <w:szCs w:val="16"/>
              </w:rPr>
              <w:t xml:space="preserve">má předešlé zkušenosti s implementací obdobných nástrojů a současně </w:t>
            </w:r>
            <w:r>
              <w:rPr>
                <w:szCs w:val="16"/>
              </w:rPr>
              <w:t>ne</w:t>
            </w:r>
            <w:r w:rsidRPr="00FA26A7">
              <w:rPr>
                <w:szCs w:val="16"/>
              </w:rPr>
              <w:t>disponuje adekvátním finančním, ekonomickým, organizačním</w:t>
            </w:r>
            <w:r>
              <w:rPr>
                <w:szCs w:val="16"/>
              </w:rPr>
              <w:t>, technickým ani správním zázemím</w:t>
            </w:r>
          </w:p>
          <w:p w:rsidR="00FC0E57" w:rsidRPr="00196EEC"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sidRPr="00196EEC">
              <w:rPr>
                <w:szCs w:val="16"/>
              </w:rPr>
              <w:t>Standardní finanční instituce - unijní legislativa stanovuje požadavek na využití standardních finančních institucí</w:t>
            </w:r>
            <w:r>
              <w:rPr>
                <w:szCs w:val="16"/>
              </w:rPr>
              <w:t>, tzn.</w:t>
            </w:r>
            <w:r w:rsidRPr="00196EEC">
              <w:rPr>
                <w:szCs w:val="16"/>
              </w:rPr>
              <w:t xml:space="preserve"> subjekty s bankovní licencí, obchodní společnosti a alternativní investiční fondy. </w:t>
            </w:r>
            <w:r>
              <w:rPr>
                <w:szCs w:val="16"/>
              </w:rPr>
              <w:t xml:space="preserve">MMR ani případně jím zřízená entita </w:t>
            </w:r>
            <w:r w:rsidRPr="00196EEC">
              <w:rPr>
                <w:szCs w:val="16"/>
              </w:rPr>
              <w:t>n</w:t>
            </w:r>
            <w:r>
              <w:rPr>
                <w:szCs w:val="16"/>
              </w:rPr>
              <w:t>ejsou standardní finanční institucí</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 xml:space="preserve">Zájem konečných příjemců – nová entita přímo řízená ministerstvem může evokovat strach z neznámého a nezájem příjemců </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Absence dostupnosti v území, projekty by bylo nutné vyřizovat pouze a jenom přímo na entitě zřízené MMR</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Varianta méně vhodná pro případ omezeného pilotního ověření zájmu o finanční nástroj, nutnost vybudovat nové kapacity</w:t>
            </w:r>
          </w:p>
          <w:p w:rsidR="00FC0E57" w:rsidRPr="00B37018"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sidRPr="00B37018">
              <w:rPr>
                <w:szCs w:val="16"/>
              </w:rPr>
              <w:t xml:space="preserve">Nevyzkoušené řešení, potřeba vyjasnění řady technických a procesních bodů, </w:t>
            </w:r>
            <w:r>
              <w:rPr>
                <w:szCs w:val="16"/>
              </w:rPr>
              <w:t>p</w:t>
            </w:r>
            <w:r w:rsidRPr="00B37018">
              <w:rPr>
                <w:szCs w:val="16"/>
              </w:rPr>
              <w:t>otřeba nastavení standardizovaného řešení úvěrového procesu</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Problém s veřejným míněním pro případ, že MMR (resp. jím zřízená entita) vymáhá neplacené pohledávky konečných příjemců</w:t>
            </w:r>
          </w:p>
          <w:p w:rsidR="00FC0E57" w:rsidRPr="004843FD"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Nemožnost v budoucnu poskytovat podporu formou kapitálových vstupů (předmětný článek ON povoluje pouze úvěry a záruky)</w:t>
            </w:r>
          </w:p>
        </w:tc>
      </w:tr>
    </w:tbl>
    <w:p w:rsidR="00674446" w:rsidRDefault="00674446" w:rsidP="00674446">
      <w:pPr>
        <w:pStyle w:val="Titulek"/>
      </w:pPr>
      <w:bookmarkStart w:id="104" w:name="_Toc417655508"/>
      <w:r>
        <w:t xml:space="preserve">Tabulka </w:t>
      </w:r>
      <w:r>
        <w:fldChar w:fldCharType="begin"/>
      </w:r>
      <w:r>
        <w:instrText xml:space="preserve"> SEQ Tabulka \* ARABIC </w:instrText>
      </w:r>
      <w:r>
        <w:fldChar w:fldCharType="separate"/>
      </w:r>
      <w:r w:rsidR="007813A3">
        <w:rPr>
          <w:noProof/>
        </w:rPr>
        <w:t>10</w:t>
      </w:r>
      <w:r>
        <w:fldChar w:fldCharType="end"/>
      </w:r>
      <w:r>
        <w:t>: Shrnutí výhod a nevýhod jednotlivých variant implementačního uspořádání</w:t>
      </w:r>
      <w:bookmarkEnd w:id="104"/>
    </w:p>
    <w:p w:rsidR="00F36672" w:rsidRPr="00BE0A24" w:rsidRDefault="00F36672" w:rsidP="00F36672">
      <w:r w:rsidRPr="00226D2E">
        <w:rPr>
          <w:b/>
        </w:rPr>
        <w:t>S oh</w:t>
      </w:r>
      <w:r w:rsidR="00C71A3C">
        <w:rPr>
          <w:b/>
        </w:rPr>
        <w:t>ledem na výše uvedené je nejvhodnější</w:t>
      </w:r>
      <w:r>
        <w:rPr>
          <w:b/>
        </w:rPr>
        <w:t xml:space="preserve"> formou implementačního uspořádání</w:t>
      </w:r>
      <w:r w:rsidRPr="00226D2E">
        <w:rPr>
          <w:b/>
        </w:rPr>
        <w:t xml:space="preserve"> využití čl</w:t>
      </w:r>
      <w:r>
        <w:rPr>
          <w:b/>
        </w:rPr>
        <w:t>.</w:t>
      </w:r>
      <w:r w:rsidRPr="00226D2E">
        <w:rPr>
          <w:b/>
        </w:rPr>
        <w:t xml:space="preserve"> 38 (4) (b)</w:t>
      </w:r>
      <w:r>
        <w:rPr>
          <w:b/>
        </w:rPr>
        <w:t xml:space="preserve"> Obecného nařízení. </w:t>
      </w:r>
      <w:r w:rsidRPr="00BE0A24">
        <w:t>Další posuzování vhodnosti a návrhy implementačního uspořádání jsou v následujících kapitolách zpracovány v soulad</w:t>
      </w:r>
      <w:r>
        <w:t>u</w:t>
      </w:r>
      <w:r w:rsidRPr="00BE0A24">
        <w:t xml:space="preserve"> s touto logickou linkou.</w:t>
      </w:r>
    </w:p>
    <w:p w:rsidR="00F36672" w:rsidRDefault="00F36672" w:rsidP="00F36672">
      <w:pPr>
        <w:pStyle w:val="Nadpis3"/>
      </w:pPr>
      <w:bookmarkStart w:id="105" w:name="_Toc418767154"/>
      <w:r>
        <w:t xml:space="preserve">Posouzení vhodnosti zapojení subjektů dle </w:t>
      </w:r>
      <w:r w:rsidRPr="00370C81">
        <w:t>čl</w:t>
      </w:r>
      <w:r>
        <w:t>.</w:t>
      </w:r>
      <w:r w:rsidRPr="00370C81">
        <w:t xml:space="preserve"> 38 (4) (b) Obecného nařízení</w:t>
      </w:r>
      <w:bookmarkEnd w:id="105"/>
    </w:p>
    <w:p w:rsidR="00F36672" w:rsidRPr="00A90A7A" w:rsidRDefault="00F36672" w:rsidP="00F36672">
      <w:pPr>
        <w:pStyle w:val="BodyText1"/>
        <w:spacing w:after="120"/>
        <w:jc w:val="both"/>
      </w:pPr>
      <w:r>
        <w:t xml:space="preserve">Subjekty implementující finanční nástroje mohou být </w:t>
      </w:r>
      <w:r w:rsidRPr="00C2783B">
        <w:t xml:space="preserve">mezinárodní finanční instituce a finanční instituce se sídlem v členském státě, skupina EIB, veřejnoprávní a soukromoprávní subjekty. </w:t>
      </w:r>
      <w:r>
        <w:t>Obecné nařízení s</w:t>
      </w:r>
      <w:r w:rsidRPr="00C2783B">
        <w:t>oučasně definuje požadavek na „soulad se zásadami řádného finančního řízení“, což je možné interpretovat jako implementaci finančních nástrojů v souladu s tržními zvyklostmi a standardy.</w:t>
      </w:r>
      <w:r>
        <w:t xml:space="preserve"> </w:t>
      </w:r>
    </w:p>
    <w:p w:rsidR="00F36672" w:rsidRPr="00A90A7A" w:rsidRDefault="00F36672" w:rsidP="00F36672">
      <w:pPr>
        <w:rPr>
          <w:szCs w:val="16"/>
        </w:rPr>
      </w:pPr>
      <w:r w:rsidRPr="00A90A7A">
        <w:rPr>
          <w:szCs w:val="16"/>
        </w:rPr>
        <w:t>Jednotlivá nařízení EK specificky nedefinují požadavky na právní subjektivitu subjektů implementujících fin</w:t>
      </w:r>
      <w:r>
        <w:rPr>
          <w:szCs w:val="16"/>
        </w:rPr>
        <w:t>anční nástroje, n</w:t>
      </w:r>
      <w:r w:rsidRPr="00A90A7A">
        <w:rPr>
          <w:szCs w:val="16"/>
        </w:rPr>
        <w:t>icméně požadavkem je, aby finanční nástroje byly zřízeny buďto jako nezávislé právní subjekty spravované akcionáři nebo na základě dohod o spolufinancování, nebo jako samostatné finanční a účetní jednotky v rámci finančních institucí. Zvolená struk</w:t>
      </w:r>
      <w:r>
        <w:rPr>
          <w:szCs w:val="16"/>
        </w:rPr>
        <w:t>tura navíc musí být v souladu se zákonem o veřejných zakázkách</w:t>
      </w:r>
      <w:r w:rsidRPr="00A90A7A">
        <w:rPr>
          <w:szCs w:val="16"/>
        </w:rPr>
        <w:t xml:space="preserve">, veřejnou podporou a další navazující unijní a národní legislativou. </w:t>
      </w:r>
    </w:p>
    <w:p w:rsidR="00F36672" w:rsidRDefault="00F36672" w:rsidP="00F36672">
      <w:r w:rsidRPr="00A90A7A">
        <w:t xml:space="preserve">IFN mohou být implementovány prostřednictvím dvoustupňové (počítá se zapojením </w:t>
      </w:r>
      <w:r>
        <w:t>Fondu fondů</w:t>
      </w:r>
      <w:r w:rsidRPr="00A90A7A">
        <w:t xml:space="preserve">) nebo jednostupňové struktury (počítá pouze s úrovní </w:t>
      </w:r>
      <w:r>
        <w:t>finančního nástroje</w:t>
      </w:r>
      <w:r w:rsidRPr="00A90A7A">
        <w:t>), míra centralizace se může pohybovat od zcela centralizovaného systému, v rámci něhož využívají jednotlivé ŘO stejnou implementační strukturu po zcela decentralizovaný systém, kde každý ŘO implementuje FN samostatně.</w:t>
      </w:r>
      <w:r>
        <w:t xml:space="preserve"> </w:t>
      </w:r>
    </w:p>
    <w:p w:rsidR="00F36672" w:rsidRDefault="00F36672" w:rsidP="00F36672">
      <w:pPr>
        <w:spacing w:before="120"/>
        <w:rPr>
          <w:szCs w:val="16"/>
        </w:rPr>
      </w:pPr>
      <w:r w:rsidRPr="00453C20">
        <w:rPr>
          <w:b/>
          <w:szCs w:val="16"/>
        </w:rPr>
        <w:t xml:space="preserve">Výběr subjektů </w:t>
      </w:r>
      <w:r w:rsidRPr="00453C20">
        <w:rPr>
          <w:szCs w:val="16"/>
        </w:rPr>
        <w:t>musí být v souladu s národní a unijní legislativou, zejména pak ZVZ a obdobnými zákony</w:t>
      </w:r>
      <w:r>
        <w:rPr>
          <w:szCs w:val="16"/>
        </w:rPr>
        <w:t>.</w:t>
      </w:r>
    </w:p>
    <w:p w:rsidR="00F36672" w:rsidRPr="004843FD" w:rsidRDefault="00F36672" w:rsidP="00F36672">
      <w:pPr>
        <w:spacing w:before="120"/>
      </w:pPr>
      <w:r w:rsidRPr="004843FD">
        <w:rPr>
          <w:b/>
        </w:rPr>
        <w:t>Před tím, než dojde k výběru subjektu implementujícího finanční nástroje</w:t>
      </w:r>
      <w:r w:rsidRPr="004843FD">
        <w:t xml:space="preserve"> dle čl. 38 (4) (a) a čl. 38(4) (b), </w:t>
      </w:r>
      <w:r w:rsidRPr="004843FD">
        <w:rPr>
          <w:b/>
        </w:rPr>
        <w:t>musí se ŘO ujistit</w:t>
      </w:r>
      <w:r w:rsidRPr="004843FD">
        <w:t xml:space="preserve">, </w:t>
      </w:r>
      <w:r w:rsidRPr="004843FD">
        <w:rPr>
          <w:b/>
        </w:rPr>
        <w:t>že tyto subjekty splňují následující předpoklady</w:t>
      </w:r>
      <w:r w:rsidRPr="004843FD">
        <w:t>:</w:t>
      </w:r>
    </w:p>
    <w:p w:rsidR="00F36672" w:rsidRPr="004843FD" w:rsidRDefault="00F36672" w:rsidP="00F36672">
      <w:pPr>
        <w:pStyle w:val="Odstavecseseznamem"/>
        <w:numPr>
          <w:ilvl w:val="0"/>
          <w:numId w:val="8"/>
        </w:numPr>
        <w:ind w:left="714" w:hanging="357"/>
        <w:contextualSpacing w:val="0"/>
        <w:rPr>
          <w:szCs w:val="16"/>
        </w:rPr>
      </w:pPr>
      <w:r w:rsidRPr="004843FD">
        <w:rPr>
          <w:szCs w:val="16"/>
        </w:rPr>
        <w:t>Oprávnění implementovat finanční nástroje v souladu s národní a unijní legislativou;</w:t>
      </w:r>
    </w:p>
    <w:p w:rsidR="00F36672" w:rsidRPr="004843FD" w:rsidRDefault="00F36672" w:rsidP="00F36672">
      <w:pPr>
        <w:pStyle w:val="Odstavecseseznamem"/>
        <w:numPr>
          <w:ilvl w:val="0"/>
          <w:numId w:val="8"/>
        </w:numPr>
        <w:ind w:left="714" w:hanging="357"/>
        <w:contextualSpacing w:val="0"/>
        <w:rPr>
          <w:szCs w:val="16"/>
        </w:rPr>
      </w:pPr>
      <w:r w:rsidRPr="004843FD">
        <w:rPr>
          <w:szCs w:val="16"/>
        </w:rPr>
        <w:t>Finanční a ekonomická životaschopnost;</w:t>
      </w:r>
    </w:p>
    <w:p w:rsidR="00F36672" w:rsidRPr="004843FD" w:rsidRDefault="00F36672" w:rsidP="00F36672">
      <w:pPr>
        <w:pStyle w:val="Odstavecseseznamem"/>
        <w:numPr>
          <w:ilvl w:val="0"/>
          <w:numId w:val="8"/>
        </w:numPr>
        <w:ind w:left="714" w:hanging="357"/>
        <w:contextualSpacing w:val="0"/>
        <w:rPr>
          <w:szCs w:val="16"/>
        </w:rPr>
      </w:pPr>
      <w:r w:rsidRPr="004843FD">
        <w:rPr>
          <w:szCs w:val="16"/>
        </w:rPr>
        <w:t>Adekvátní kapacita pro implementaci finančního nástroje včetně organizační struktury a systém správy a řízení;</w:t>
      </w:r>
    </w:p>
    <w:p w:rsidR="00F36672" w:rsidRPr="004843FD" w:rsidRDefault="00F36672" w:rsidP="00F36672">
      <w:pPr>
        <w:pStyle w:val="Odstavecseseznamem"/>
        <w:numPr>
          <w:ilvl w:val="0"/>
          <w:numId w:val="8"/>
        </w:numPr>
        <w:ind w:left="714" w:hanging="357"/>
        <w:contextualSpacing w:val="0"/>
        <w:rPr>
          <w:szCs w:val="16"/>
        </w:rPr>
      </w:pPr>
      <w:r w:rsidRPr="004843FD">
        <w:rPr>
          <w:szCs w:val="16"/>
        </w:rPr>
        <w:t>Existence efektivního interního kontrolního systému;</w:t>
      </w:r>
    </w:p>
    <w:p w:rsidR="00F36672" w:rsidRPr="004843FD" w:rsidRDefault="00F36672" w:rsidP="00F36672">
      <w:pPr>
        <w:pStyle w:val="Odstavecseseznamem"/>
        <w:numPr>
          <w:ilvl w:val="0"/>
          <w:numId w:val="8"/>
        </w:numPr>
        <w:ind w:left="714" w:hanging="357"/>
        <w:contextualSpacing w:val="0"/>
        <w:rPr>
          <w:szCs w:val="16"/>
        </w:rPr>
      </w:pPr>
      <w:r w:rsidRPr="004843FD">
        <w:rPr>
          <w:szCs w:val="16"/>
        </w:rPr>
        <w:t>Použití účetního systému poskytujícího věrné, komplexní a přesné informace;</w:t>
      </w:r>
    </w:p>
    <w:p w:rsidR="00F36672" w:rsidRPr="004843FD" w:rsidRDefault="00F36672" w:rsidP="00F36672">
      <w:pPr>
        <w:pStyle w:val="Odstavecseseznamem"/>
        <w:numPr>
          <w:ilvl w:val="0"/>
          <w:numId w:val="8"/>
        </w:numPr>
        <w:ind w:left="714" w:hanging="357"/>
        <w:contextualSpacing w:val="0"/>
        <w:rPr>
          <w:szCs w:val="16"/>
        </w:rPr>
      </w:pPr>
      <w:r w:rsidRPr="004843FD">
        <w:rPr>
          <w:szCs w:val="16"/>
        </w:rPr>
        <w:t>Souhlas k auditu auditními orgány členského státu, Komise a Evropského auditního dvora.</w:t>
      </w:r>
    </w:p>
    <w:p w:rsidR="00F36672" w:rsidRPr="004843FD" w:rsidRDefault="00F36672" w:rsidP="00F36672">
      <w:pPr>
        <w:spacing w:before="120"/>
      </w:pPr>
      <w:r w:rsidRPr="004843FD">
        <w:rPr>
          <w:b/>
        </w:rPr>
        <w:t>Při výběru subjektu implementujícího finanční nástroje</w:t>
      </w:r>
      <w:r>
        <w:rPr>
          <w:b/>
        </w:rPr>
        <w:t xml:space="preserve"> musí</w:t>
      </w:r>
      <w:r w:rsidRPr="004843FD">
        <w:t xml:space="preserve"> </w:t>
      </w:r>
      <w:r w:rsidRPr="004843FD">
        <w:rPr>
          <w:b/>
        </w:rPr>
        <w:t>ŘO respektovat charakter finančního nástroje</w:t>
      </w:r>
      <w:r w:rsidRPr="004843FD">
        <w:t xml:space="preserve">, </w:t>
      </w:r>
      <w:r w:rsidRPr="004843FD">
        <w:rPr>
          <w:b/>
        </w:rPr>
        <w:t>zkušenosti</w:t>
      </w:r>
      <w:r w:rsidRPr="004843FD">
        <w:t xml:space="preserve"> tohoto </w:t>
      </w:r>
      <w:r w:rsidRPr="004843FD">
        <w:rPr>
          <w:b/>
        </w:rPr>
        <w:t>subjektu</w:t>
      </w:r>
      <w:r w:rsidRPr="004843FD">
        <w:t xml:space="preserve"> </w:t>
      </w:r>
      <w:r w:rsidRPr="004843FD">
        <w:rPr>
          <w:b/>
        </w:rPr>
        <w:t>s implementací obdobných finančních nástrojů</w:t>
      </w:r>
      <w:r>
        <w:t>, znalosti a </w:t>
      </w:r>
      <w:r w:rsidRPr="004843FD">
        <w:t xml:space="preserve">zkušenosti navrhovaného expertního týmu a provozní a finanční kapacity tohoto subjektu. </w:t>
      </w:r>
      <w:r w:rsidRPr="004843FD">
        <w:rPr>
          <w:b/>
        </w:rPr>
        <w:t>Výběr subjektu musí být otevřený a transparentní</w:t>
      </w:r>
      <w:r w:rsidRPr="004843FD">
        <w:t xml:space="preserve"> a nesmí zadat žádnou</w:t>
      </w:r>
      <w:r>
        <w:t xml:space="preserve"> pochybnost ohledně vhodnosti a </w:t>
      </w:r>
      <w:r w:rsidRPr="004843FD">
        <w:t xml:space="preserve">oprávněnosti výběru. Minimálně </w:t>
      </w:r>
      <w:r w:rsidRPr="004843FD">
        <w:rPr>
          <w:b/>
        </w:rPr>
        <w:t>následující kritéria by měla být použita pro výběr subjektu</w:t>
      </w:r>
      <w:r w:rsidRPr="004843FD">
        <w:t>:</w:t>
      </w:r>
    </w:p>
    <w:p w:rsidR="00F36672" w:rsidRPr="004843FD" w:rsidRDefault="00F36672" w:rsidP="00F36672">
      <w:pPr>
        <w:pStyle w:val="Odstavecseseznamem"/>
        <w:numPr>
          <w:ilvl w:val="0"/>
          <w:numId w:val="9"/>
        </w:numPr>
        <w:contextualSpacing w:val="0"/>
        <w:rPr>
          <w:szCs w:val="16"/>
        </w:rPr>
      </w:pPr>
      <w:r w:rsidRPr="004843FD">
        <w:rPr>
          <w:szCs w:val="16"/>
        </w:rPr>
        <w:t>Robustnost, vhodnost a reálnost metodologie výběru finančních zprostředkovatelů/konečných příjemců;</w:t>
      </w:r>
    </w:p>
    <w:p w:rsidR="00F36672" w:rsidRPr="004843FD" w:rsidRDefault="00F36672" w:rsidP="00F36672">
      <w:pPr>
        <w:pStyle w:val="Odstavecseseznamem"/>
        <w:numPr>
          <w:ilvl w:val="0"/>
          <w:numId w:val="9"/>
        </w:numPr>
        <w:contextualSpacing w:val="0"/>
        <w:rPr>
          <w:szCs w:val="16"/>
        </w:rPr>
      </w:pPr>
      <w:r w:rsidRPr="004843FD">
        <w:rPr>
          <w:szCs w:val="16"/>
        </w:rPr>
        <w:t>Management fees, jejich reálnost a oprávněnost;</w:t>
      </w:r>
    </w:p>
    <w:p w:rsidR="00F36672" w:rsidRPr="004843FD" w:rsidRDefault="00F36672" w:rsidP="00F36672">
      <w:pPr>
        <w:pStyle w:val="Odstavecseseznamem"/>
        <w:numPr>
          <w:ilvl w:val="0"/>
          <w:numId w:val="9"/>
        </w:numPr>
        <w:contextualSpacing w:val="0"/>
        <w:rPr>
          <w:szCs w:val="16"/>
        </w:rPr>
      </w:pPr>
      <w:r w:rsidRPr="004843FD">
        <w:rPr>
          <w:szCs w:val="16"/>
        </w:rPr>
        <w:t>Podmínky a pravidla pro poskytnutí pomoci konečným příjemcům;</w:t>
      </w:r>
    </w:p>
    <w:p w:rsidR="00F36672" w:rsidRPr="004843FD" w:rsidRDefault="00F36672" w:rsidP="00F36672">
      <w:pPr>
        <w:pStyle w:val="Odstavecseseznamem"/>
        <w:numPr>
          <w:ilvl w:val="0"/>
          <w:numId w:val="9"/>
        </w:numPr>
        <w:contextualSpacing w:val="0"/>
        <w:rPr>
          <w:szCs w:val="16"/>
        </w:rPr>
      </w:pPr>
      <w:r w:rsidRPr="004843FD">
        <w:rPr>
          <w:szCs w:val="16"/>
        </w:rPr>
        <w:t>Schopnost zajistit dodatečné prostředky (spolufinancování) nad rámec příspěvku z operačních programů;</w:t>
      </w:r>
    </w:p>
    <w:p w:rsidR="00F36672" w:rsidRPr="004843FD" w:rsidRDefault="00F36672" w:rsidP="00F36672">
      <w:pPr>
        <w:pStyle w:val="Odstavecseseznamem"/>
        <w:numPr>
          <w:ilvl w:val="0"/>
          <w:numId w:val="9"/>
        </w:numPr>
        <w:contextualSpacing w:val="0"/>
        <w:rPr>
          <w:szCs w:val="16"/>
        </w:rPr>
      </w:pPr>
      <w:r w:rsidRPr="004843FD">
        <w:rPr>
          <w:szCs w:val="16"/>
        </w:rPr>
        <w:t>Schopnost zajistit dodatečnou aktivitu (ve smyslu objemu investic a úvěrů) ve srovnání se stávajícím stavem;</w:t>
      </w:r>
    </w:p>
    <w:p w:rsidR="00F36672" w:rsidRPr="004843FD" w:rsidRDefault="00F36672" w:rsidP="00F36672">
      <w:pPr>
        <w:pStyle w:val="Odstavecseseznamem"/>
        <w:numPr>
          <w:ilvl w:val="0"/>
          <w:numId w:val="9"/>
        </w:numPr>
        <w:contextualSpacing w:val="0"/>
        <w:rPr>
          <w:szCs w:val="16"/>
        </w:rPr>
      </w:pPr>
      <w:r w:rsidRPr="004843FD">
        <w:rPr>
          <w:szCs w:val="16"/>
        </w:rPr>
        <w:t>V případě, že tento subjekt implementující finanční nástroje hodlá spolufinancovat jednotlivé projekty vlastními prostředky nebo bude sdílet jejich rizika, musí demonstrovat přijatá opatření pro odstranění konfliktu zájmu.</w:t>
      </w:r>
    </w:p>
    <w:p w:rsidR="00F36672" w:rsidRDefault="00F36672" w:rsidP="00F36672">
      <w:pPr>
        <w:spacing w:before="120"/>
        <w:rPr>
          <w:rFonts w:eastAsia="Arial"/>
        </w:rPr>
      </w:pPr>
      <w:r>
        <w:t xml:space="preserve">Na základě výše uvedených požadavků obecného nařízení a souvisejících metodik dodavatel provedl posouzení následujících vybraných relevantních subjektů: </w:t>
      </w:r>
    </w:p>
    <w:p w:rsidR="00F36672" w:rsidRDefault="00F36672" w:rsidP="00F36672">
      <w:pPr>
        <w:pStyle w:val="Odstavecseseznamem"/>
        <w:numPr>
          <w:ilvl w:val="0"/>
          <w:numId w:val="57"/>
        </w:numPr>
        <w:rPr>
          <w:b/>
        </w:rPr>
      </w:pPr>
      <w:r>
        <w:rPr>
          <w:b/>
        </w:rPr>
        <w:t>Evropská investiční banka (myšleno jako skupina EIB, tedy včetně EIF);</w:t>
      </w:r>
    </w:p>
    <w:p w:rsidR="00F36672" w:rsidRPr="004F4E5E" w:rsidRDefault="00F36672" w:rsidP="00F36672">
      <w:pPr>
        <w:pStyle w:val="Odstavecseseznamem"/>
        <w:numPr>
          <w:ilvl w:val="0"/>
          <w:numId w:val="57"/>
        </w:numPr>
        <w:rPr>
          <w:b/>
        </w:rPr>
      </w:pPr>
      <w:r w:rsidRPr="004F4E5E">
        <w:rPr>
          <w:b/>
        </w:rPr>
        <w:t>Českomoravská záruční a rozvojová banka</w:t>
      </w:r>
      <w:r>
        <w:rPr>
          <w:b/>
        </w:rPr>
        <w:t>;</w:t>
      </w:r>
    </w:p>
    <w:p w:rsidR="00F36672" w:rsidRPr="004F4E5E" w:rsidRDefault="00F36672" w:rsidP="00F36672">
      <w:pPr>
        <w:pStyle w:val="Odstavecseseznamem"/>
        <w:numPr>
          <w:ilvl w:val="0"/>
          <w:numId w:val="57"/>
        </w:numPr>
        <w:rPr>
          <w:b/>
        </w:rPr>
      </w:pPr>
      <w:r w:rsidRPr="004F4E5E">
        <w:rPr>
          <w:b/>
        </w:rPr>
        <w:t>Státní fond životního prostředí</w:t>
      </w:r>
      <w:r>
        <w:rPr>
          <w:b/>
        </w:rPr>
        <w:t>;</w:t>
      </w:r>
    </w:p>
    <w:p w:rsidR="00F36672" w:rsidRPr="004F4E5E" w:rsidRDefault="00F36672" w:rsidP="00F36672">
      <w:pPr>
        <w:pStyle w:val="Odstavecseseznamem"/>
        <w:numPr>
          <w:ilvl w:val="0"/>
          <w:numId w:val="57"/>
        </w:numPr>
        <w:rPr>
          <w:b/>
        </w:rPr>
      </w:pPr>
      <w:r w:rsidRPr="004F4E5E">
        <w:rPr>
          <w:b/>
        </w:rPr>
        <w:t>Státní fond rozvoje bydlení</w:t>
      </w:r>
      <w:r>
        <w:rPr>
          <w:b/>
        </w:rPr>
        <w:t>.</w:t>
      </w:r>
    </w:p>
    <w:p w:rsidR="00F36672" w:rsidRPr="004843FD" w:rsidRDefault="00F36672" w:rsidP="00F36672">
      <w:r>
        <w:t>Mimo vymezený výčet nejsou dodavateli známé další alternativy</w:t>
      </w:r>
      <w:r w:rsidRPr="00CD5C03">
        <w:t xml:space="preserve"> </w:t>
      </w:r>
      <w:r>
        <w:t xml:space="preserve">z řad veřejných subjektů (příspěvkové organizace, jiné organizační složky státu, apod.), které by splňovaly „kvalifikační kritéria“, jak byly vymezeny v úvodu této kapitoly. </w:t>
      </w:r>
      <w:r w:rsidRPr="004F4E5E">
        <w:rPr>
          <w:szCs w:val="16"/>
        </w:rPr>
        <w:t xml:space="preserve">Jelikož </w:t>
      </w:r>
      <w:r>
        <w:rPr>
          <w:szCs w:val="16"/>
        </w:rPr>
        <w:t>je v IROP navrhováno využití úvěrového nástroje, který může spravovat kterákoliv z uvedených veřejných institucí</w:t>
      </w:r>
      <w:r w:rsidRPr="004F4E5E">
        <w:rPr>
          <w:szCs w:val="16"/>
        </w:rPr>
        <w:t xml:space="preserve"> bez závažných omezení</w:t>
      </w:r>
      <w:r>
        <w:rPr>
          <w:szCs w:val="16"/>
        </w:rPr>
        <w:t xml:space="preserve">, </w:t>
      </w:r>
      <w:r w:rsidRPr="00CD5C03">
        <w:rPr>
          <w:b/>
          <w:szCs w:val="16"/>
        </w:rPr>
        <w:t>nepovažuje dodavatel za nezbytné ani žádoucí uvažovat o využití nově zřízených veřejných subjektů</w:t>
      </w:r>
      <w:r w:rsidRPr="004F4E5E">
        <w:rPr>
          <w:szCs w:val="16"/>
        </w:rPr>
        <w:t>.</w:t>
      </w:r>
      <w:r>
        <w:rPr>
          <w:szCs w:val="16"/>
        </w:rPr>
        <w:t xml:space="preserve"> </w:t>
      </w:r>
      <w:r w:rsidRPr="00CD5C03">
        <w:t xml:space="preserve">Pro úplnost je nezbytné uvést, že zapojení nových subjektů ve srovnání s využitím stávajících subjektů </w:t>
      </w:r>
      <w:r>
        <w:t>by vedlo k</w:t>
      </w:r>
      <w:r w:rsidRPr="00CD5C03">
        <w:t xml:space="preserve"> </w:t>
      </w:r>
      <w:r>
        <w:t>vyšší časové</w:t>
      </w:r>
      <w:r w:rsidRPr="00CD5C03">
        <w:t xml:space="preserve"> a administrativní náročnost</w:t>
      </w:r>
      <w:r>
        <w:t>i</w:t>
      </w:r>
      <w:r w:rsidRPr="00CD5C03">
        <w:t xml:space="preserve"> implementace FN.</w:t>
      </w:r>
      <w:r w:rsidRPr="004843FD">
        <w:t xml:space="preserve"> </w:t>
      </w:r>
    </w:p>
    <w:p w:rsidR="00F36672" w:rsidRDefault="00F36672" w:rsidP="00F36672">
      <w:pPr>
        <w:pStyle w:val="Nadpis4"/>
      </w:pPr>
      <w:r>
        <w:t>Posouzení možnosti zapojení EIB</w:t>
      </w:r>
    </w:p>
    <w:p w:rsidR="00F36672" w:rsidRDefault="00F36672" w:rsidP="00F36672">
      <w:r w:rsidRPr="00143FAC">
        <w:rPr>
          <w:b/>
        </w:rPr>
        <w:t xml:space="preserve">Evropská investiční banka </w:t>
      </w:r>
      <w:r>
        <w:rPr>
          <w:b/>
        </w:rPr>
        <w:t>obvykle</w:t>
      </w:r>
      <w:r w:rsidRPr="00143FAC">
        <w:rPr>
          <w:b/>
        </w:rPr>
        <w:t xml:space="preserve"> nevystupuje na úrovni finančních nástrojů, tj. typicky v roli správce finančního nástroje</w:t>
      </w:r>
      <w:r>
        <w:t xml:space="preserve"> (Fondu), nicméně tato možnost je reálně dostupná. Problematické se pro tuto skutečnost jeví především to, že EIB nyní dostala ze strany Evropské komise zadány prioritní úkoly, spojené s řešením tzv. Junckerova balíčku a s řešením řízení struktur </w:t>
      </w:r>
      <w:r w:rsidR="008620D2">
        <w:t xml:space="preserve">Fondu fondů </w:t>
      </w:r>
      <w:r>
        <w:t xml:space="preserve">k finančním nástrojům v rámci jednotlivých států. Jakkoliv tedy je možné uvažovat o využití EIB v rámci úrovně finančních nástrojů (resp. jednotlivých operačních programů), takový postup naráží na kapacity a priority banky samotné. Neméně podstatné je uvést, že je velmi složitým a těžkopádným řešením kalkulace se systémem, kdy na národní „střešní“ úrovni jsou zřízeny struktury </w:t>
      </w:r>
      <w:r w:rsidR="008620D2">
        <w:t xml:space="preserve">Fondu fondů </w:t>
      </w:r>
      <w:r>
        <w:t>za využití místních institucí (pravděpodobně ČMZRB), které následně komunikují s Evropskou investiční bankou na úrovni operačního programu jako správce konkrétního finančního nástroje. Opět – tato varianta je technicky proveditelná, nicméně je v důsledku velmi komplikovaná a problematická, a to především ve vztahu uplatňování různých právních předpisů (české na úrovni,</w:t>
      </w:r>
      <w:r w:rsidR="008620D2">
        <w:t xml:space="preserve"> Fondu fondů</w:t>
      </w:r>
      <w:r>
        <w:t xml:space="preserve"> evropské na úrovni správce fondu IROP), apod.</w:t>
      </w:r>
    </w:p>
    <w:p w:rsidR="00F36672" w:rsidRDefault="00F36672" w:rsidP="00F36672">
      <w:r>
        <w:t xml:space="preserve">Výhodou zapojení EIB by tedy </w:t>
      </w:r>
      <w:r w:rsidRPr="004C56A0">
        <w:rPr>
          <w:b/>
        </w:rPr>
        <w:t>mohlo být rychlejší spuštění čerpání finančních nástrojů</w:t>
      </w:r>
      <w:r>
        <w:t xml:space="preserve"> (postup dle standardizovaných procedur, v minulosti vyzkoušených; možnost </w:t>
      </w:r>
      <w:r w:rsidRPr="004C56A0">
        <w:t>přímé</w:t>
      </w:r>
      <w:r>
        <w:t>ho</w:t>
      </w:r>
      <w:r w:rsidRPr="004C56A0">
        <w:t xml:space="preserve"> udělení kontraktu EIB, tudíž tento výběr nepodléhá pravidlům a požadavkům veřejného výběrového řízení</w:t>
      </w:r>
      <w:r>
        <w:t xml:space="preserve">), dosažení </w:t>
      </w:r>
      <w:r w:rsidRPr="004C56A0">
        <w:rPr>
          <w:b/>
        </w:rPr>
        <w:t>vyšší kredibilit</w:t>
      </w:r>
      <w:r>
        <w:rPr>
          <w:b/>
        </w:rPr>
        <w:t>y</w:t>
      </w:r>
      <w:r w:rsidRPr="004C56A0">
        <w:rPr>
          <w:b/>
        </w:rPr>
        <w:t xml:space="preserve"> celého systému </w:t>
      </w:r>
      <w:r w:rsidR="003151F2">
        <w:t>(EIB by měla být zárukou evropské kvality řešení,</w:t>
      </w:r>
      <w:r>
        <w:t xml:space="preserve"> především </w:t>
      </w:r>
      <w:r w:rsidR="003151F2">
        <w:t>v porovnání s problémy</w:t>
      </w:r>
      <w:r>
        <w:t xml:space="preserve"> nastavení čerpání skrze domácí str</w:t>
      </w:r>
      <w:r w:rsidR="003151F2">
        <w:t>uktury v období 2007 – 2013</w:t>
      </w:r>
      <w:r>
        <w:t xml:space="preserve">), </w:t>
      </w:r>
      <w:r w:rsidRPr="004C56A0">
        <w:rPr>
          <w:b/>
        </w:rPr>
        <w:t xml:space="preserve">využití </w:t>
      </w:r>
      <w:r>
        <w:rPr>
          <w:b/>
        </w:rPr>
        <w:t xml:space="preserve">potenciálu přenosu unikátního know-how </w:t>
      </w:r>
      <w:r>
        <w:t xml:space="preserve">a v neposlední řadě </w:t>
      </w:r>
      <w:r w:rsidRPr="004C56A0">
        <w:rPr>
          <w:b/>
        </w:rPr>
        <w:t>možnost nastavení jednouchých administrativních postupů</w:t>
      </w:r>
      <w:r>
        <w:t xml:space="preserve">. </w:t>
      </w:r>
    </w:p>
    <w:p w:rsidR="00F36672" w:rsidRDefault="00F36672" w:rsidP="00F36672">
      <w:r>
        <w:t xml:space="preserve">Na druhou stranu, mezi hlavními nevýhodami a riziky lze jmenovat, že systém se zapojením EIB v důsledku </w:t>
      </w:r>
      <w:r w:rsidRPr="004C56A0">
        <w:rPr>
          <w:b/>
        </w:rPr>
        <w:t>znamená pro řídící orgán komplikovanější a dražší řešení</w:t>
      </w:r>
      <w:r>
        <w:t xml:space="preserve"> (než využití subjektů lokálního charakteru), volba EIB znamená pro ŘO nevýhodu v podobě </w:t>
      </w:r>
      <w:r w:rsidRPr="004C56A0">
        <w:rPr>
          <w:b/>
        </w:rPr>
        <w:t>povinnosti převzít vlastní standardizované podmínky spolupráce od EIB</w:t>
      </w:r>
      <w:r>
        <w:t xml:space="preserve">, riziko </w:t>
      </w:r>
      <w:r w:rsidRPr="006924B3">
        <w:rPr>
          <w:b/>
        </w:rPr>
        <w:t>nedostatečných kapacit EIB se řízení fondu IROP věnovat</w:t>
      </w:r>
      <w:r>
        <w:t xml:space="preserve"> s ohledem na další povinnosti banky (dle dostupných informací se EIB chystá aktuálně nabírat až 700 nových pracovníků, tedy chybějící administrativní kapacity bance chybí již nyní), </w:t>
      </w:r>
      <w:r w:rsidRPr="006924B3">
        <w:rPr>
          <w:b/>
        </w:rPr>
        <w:t>problematičnost řešení kombinovaného řešení evropsko-národních struktur</w:t>
      </w:r>
      <w:r>
        <w:t xml:space="preserve"> (</w:t>
      </w:r>
      <w:r w:rsidR="003739E3">
        <w:t xml:space="preserve">Fond </w:t>
      </w:r>
      <w:r>
        <w:t>fond</w:t>
      </w:r>
      <w:r w:rsidR="003739E3">
        <w:t>ů</w:t>
      </w:r>
      <w:r>
        <w:t xml:space="preserve"> národní, fond na úrovni operačního programu evropský), v neposlední řadě je </w:t>
      </w:r>
      <w:r w:rsidRPr="006924B3">
        <w:rPr>
          <w:b/>
        </w:rPr>
        <w:t>nevýhodou vyšší finanční náročnost</w:t>
      </w:r>
      <w:r w:rsidR="00B02AC0">
        <w:t xml:space="preserve"> (EIB obvykle</w:t>
      </w:r>
      <w:r>
        <w:t xml:space="preserve"> vyžaduje za své služby maximální sazby management fee).</w:t>
      </w:r>
    </w:p>
    <w:p w:rsidR="00F36672" w:rsidRDefault="00F36672" w:rsidP="00F36672">
      <w:pPr>
        <w:rPr>
          <w:b/>
        </w:rPr>
      </w:pPr>
      <w:r w:rsidRPr="00BE0A24">
        <w:rPr>
          <w:b/>
        </w:rPr>
        <w:t>S ohledem na přípravu implementačních struktur IROP na úrovni finančního nástroje dodavatel konstatuje, že zapojení EIB</w:t>
      </w:r>
      <w:r>
        <w:rPr>
          <w:b/>
        </w:rPr>
        <w:t>/EIF</w:t>
      </w:r>
      <w:r w:rsidRPr="00BE0A24">
        <w:rPr>
          <w:b/>
        </w:rPr>
        <w:t xml:space="preserve"> není vhodné.</w:t>
      </w:r>
      <w:r>
        <w:rPr>
          <w:b/>
        </w:rPr>
        <w:t xml:space="preserve"> </w:t>
      </w:r>
    </w:p>
    <w:p w:rsidR="00F36672" w:rsidRDefault="00F36672" w:rsidP="00F36672">
      <w:pPr>
        <w:pStyle w:val="Nadpis4"/>
      </w:pPr>
      <w:r>
        <w:t>Posouzení možnosti zapojení veřejnoprávních subjektů v ČR</w:t>
      </w:r>
    </w:p>
    <w:p w:rsidR="00F36672" w:rsidRDefault="00F36672" w:rsidP="00F36672">
      <w:pPr>
        <w:pStyle w:val="CaptionIntroductionparagraph"/>
      </w:pPr>
      <w:r>
        <w:t>Možnost zapojení ČMZRB</w:t>
      </w:r>
    </w:p>
    <w:p w:rsidR="00F36672" w:rsidRDefault="00F36672" w:rsidP="00F36672">
      <w:r>
        <w:t xml:space="preserve">Materiál pracovní skupiny Ministerstva financí předpokládající využití Českomoravské záruční a rozvojové banky v roli Fondu fondů, byl kladně přijat v rámci usnesení vlády č. 85/2015. Uvedený materiál stanovuje pouze rámcově, že zmiňovaným národním </w:t>
      </w:r>
      <w:r w:rsidR="003739E3">
        <w:t xml:space="preserve">Fondem </w:t>
      </w:r>
      <w:r>
        <w:t>fond</w:t>
      </w:r>
      <w:r w:rsidR="003739E3">
        <w:t>ů</w:t>
      </w:r>
      <w:r>
        <w:t xml:space="preserve"> by měla být ČMZRB, nicméně tuto skutečnost lze dle dosavadního vývoje meziresortních jednání považovat za velmi pravděpodobnou. </w:t>
      </w:r>
      <w:r w:rsidRPr="00EA6163">
        <w:rPr>
          <w:b/>
        </w:rPr>
        <w:t>Pokud bude podpořena varianta banky jako Fondu fondů, nebude vhodné zapojení ČMZRB i na úrovni samostatných finančních nástrojů</w:t>
      </w:r>
      <w:r>
        <w:t xml:space="preserve">. V případě, kdy by ČMZRB nebyla Fondem fondů, je možné uvažovat o roli správce budovaného finančního nástroje IROP. </w:t>
      </w:r>
    </w:p>
    <w:p w:rsidR="00F36672" w:rsidRDefault="00F36672" w:rsidP="00F36672">
      <w:r>
        <w:t xml:space="preserve">Výhodou využití </w:t>
      </w:r>
      <w:r w:rsidRPr="00FE17C3">
        <w:t xml:space="preserve">ČMZRB </w:t>
      </w:r>
      <w:r>
        <w:t xml:space="preserve">v IROP je jistě možné pozorovat v možném využití zkušeností, kdy banka již v minulosti vystupovala v </w:t>
      </w:r>
      <w:r w:rsidRPr="00FE17C3">
        <w:t xml:space="preserve">pozici </w:t>
      </w:r>
      <w:r>
        <w:t>správce nástroje</w:t>
      </w:r>
      <w:r w:rsidRPr="00FE17C3">
        <w:t xml:space="preserve"> ve vztahu k dluhovým a garančním nástrojům (např. JESSICA, OPPI), přičemž disponuje bohatými</w:t>
      </w:r>
      <w:r>
        <w:t xml:space="preserve"> zkušenostmi s jejich realizací. </w:t>
      </w:r>
      <w:r w:rsidRPr="00EA6163">
        <w:rPr>
          <w:b/>
        </w:rPr>
        <w:t>Zapojení ČMZRB je nicméně komplikované s ohledem na skutečnost, že akcionáři jsou současně Ministerstvo financí, Ministerstvo pro místní rozvoj a Ministerstvo průmyslu a obchodu</w:t>
      </w:r>
      <w:r>
        <w:t xml:space="preserve"> – dohoda na využití prostředků, nastavení investiční strategie či rozhodování o využití vrácených prostředků, apod. by bylo komplikovaným kompromisem zmíněných akcionářů.</w:t>
      </w:r>
    </w:p>
    <w:p w:rsidR="00F36672" w:rsidRDefault="00F36672" w:rsidP="00F36672">
      <w:r>
        <w:t xml:space="preserve">Další z důležitých skutečností je, že MPO plánuje široké zapojení ČMZRB pro správu finančních nástrojů, které budou pravděpodobně zřízeny v rámci OP PIK. Tato skutečnost je na jednu stranu omezením, kdy již tato sada úkolů může znamenat vytížení dostupných kapacit odborných pracovníků banky, na druhou stranu je výhodou „násobení“ zkušeností a možnosti využití vyšší odbornosti v oblasti. </w:t>
      </w:r>
    </w:p>
    <w:p w:rsidR="00F36672" w:rsidRDefault="00F36672" w:rsidP="00F36672">
      <w:r>
        <w:t>Jedním z podstatných omezení zvažování ČMZRB jako vhodné instituce spravující prostředky IROP pro finanční nástroje je skutečnost, že ČMZRB je dle současného legislativního vymezení oprávněna podporovat pouze malé a střední podniky, což není v souladu s vymezením způsobilých konečných příjemců v rámci IROP. Navíc nelze předjímat, zda v budoucnu nedojde k rozšíření zapojení finančních nástrojů i v rámci dalších specifických cílů (např. již analyzovaná oblast sociální bydlení), která by dále znamenala problém, co se konečných příjemců týče.</w:t>
      </w:r>
    </w:p>
    <w:p w:rsidR="00F36672" w:rsidRDefault="00F36672" w:rsidP="00F36672">
      <w:r>
        <w:t>V neposlední řadě je velmi problematické rozhodnout ve prospěch využití ČMZRB z důvodu, že banka dle současného znění zákona</w:t>
      </w:r>
      <w:r w:rsidRPr="001C176F">
        <w:t xml:space="preserve"> č. 47/2002 Sb. o podpoře malého a středního podnikání</w:t>
      </w:r>
      <w:r>
        <w:t xml:space="preserve"> neumožňuje poskytování úvěrových produktů spolu s dotacemi. ČMZRB </w:t>
      </w:r>
      <w:r w:rsidRPr="001C176F">
        <w:t xml:space="preserve">může poskytovat pouze finanční příspěvky, záruky a úvěry. </w:t>
      </w:r>
    </w:p>
    <w:p w:rsidR="00F36672" w:rsidRDefault="00F36672" w:rsidP="00F36672">
      <w:pPr>
        <w:pStyle w:val="CaptionIntroductionparagraph"/>
      </w:pPr>
      <w:r>
        <w:t>Možnost zapojení SFŽP</w:t>
      </w:r>
    </w:p>
    <w:p w:rsidR="00F36672" w:rsidRDefault="00F36672" w:rsidP="00F36672">
      <w:r>
        <w:t xml:space="preserve">V oblasti energetických úspor, kam plánuje nastavit svůj finanční nástroj IROP, je jednoznačně žádoucí zvážit potenciál využití Státního fondu Životního prostředí jako možného správce finančního nástroje. Tento fond má zkušenosti s poskytováním půjček z národních zdrojů a bude pravděpodobně v určité podobě zapojen do budování struktur pro finanční nástroje v rámci OPŽP 2014-2020. </w:t>
      </w:r>
      <w:r w:rsidRPr="00212B9D">
        <w:rPr>
          <w:b/>
        </w:rPr>
        <w:t xml:space="preserve">Zapojení SFŽP </w:t>
      </w:r>
      <w:r>
        <w:rPr>
          <w:b/>
        </w:rPr>
        <w:t>nabízí potenciál</w:t>
      </w:r>
      <w:r w:rsidRPr="00212B9D">
        <w:rPr>
          <w:b/>
        </w:rPr>
        <w:t xml:space="preserve"> žádoucí</w:t>
      </w:r>
      <w:r>
        <w:rPr>
          <w:b/>
        </w:rPr>
        <w:t>ch</w:t>
      </w:r>
      <w:r w:rsidRPr="00212B9D">
        <w:rPr>
          <w:b/>
        </w:rPr>
        <w:t xml:space="preserve"> synergick</w:t>
      </w:r>
      <w:r>
        <w:rPr>
          <w:b/>
        </w:rPr>
        <w:t>ých</w:t>
      </w:r>
      <w:r w:rsidRPr="00212B9D">
        <w:rPr>
          <w:b/>
        </w:rPr>
        <w:t xml:space="preserve"> výhod propojení poskytování podpory energetickým projektům dvou operačních programů</w:t>
      </w:r>
      <w:r>
        <w:rPr>
          <w:b/>
        </w:rPr>
        <w:t>, úspory z rozsahu, úspory za jednotnou informační kampaň, efektivnější využití kapacit</w:t>
      </w:r>
      <w:r>
        <w:t xml:space="preserve">. </w:t>
      </w:r>
    </w:p>
    <w:p w:rsidR="00F36672" w:rsidRDefault="00F36672" w:rsidP="00F36672">
      <w:r>
        <w:t xml:space="preserve">Při zvažování role SFŽP je nutné zvážit, zda by obdobně, jak bylo poznamenáno u ČMZRB, nedocházelo k možnému problému s dostupností odborných kapacit. Dle znalosti dodavatele je státní fond připraven na zapojení do řízení dluhového nástroje, nicméně současné kapacity by musely být přeškoleny z řad pracovníků, věnujících se v současnosti dotační agendě. Pokud by se mělo jednat o správu dvou oblastí podpory energetických úspor s úhrnnou alokací až 30 mld. Kč, je pravděpodobné, že by bylo potřeba řádné doby přípravy lidských zdrojů a procesních pravidel, než by bylo možné zahájit čerpání. Podstatným aspektem do úvahy řídícího orgánu je třeba také připomenout, že </w:t>
      </w:r>
      <w:r w:rsidRPr="006657D4">
        <w:t xml:space="preserve">dohoda na nastavení investiční strategie či rozhodování o využití vrácených prostředků by bylo komplikovaným kompromisem </w:t>
      </w:r>
      <w:r>
        <w:t>s fondem, který věcně spadá do gesce jiného ministerstva.</w:t>
      </w:r>
    </w:p>
    <w:p w:rsidR="00F36672" w:rsidRDefault="00F36672" w:rsidP="00F36672">
      <w:r w:rsidRPr="003A730D">
        <w:t>SFŽP dle zákona nemůže poskytovat kapitálovou podporu, ani s jejím poskytováním nemá předešlé zkušenosti. Pro realizaci kapitálových nástrojů by byla nezbytná změna legislativy, zejména pak umož</w:t>
      </w:r>
      <w:r>
        <w:t>nění vlastnictví majetku. SFŽP nemůže provádět sekuritizaci.</w:t>
      </w:r>
    </w:p>
    <w:p w:rsidR="00F36672" w:rsidRDefault="00F36672" w:rsidP="00F36672">
      <w:r w:rsidRPr="00212B9D">
        <w:rPr>
          <w:b/>
        </w:rPr>
        <w:t>Jakkoliv dodavatel doporučuje sdílet struktury u tematicky příbuzných zaměření operačních programů, je nutné mít na paměti i rizika s tímto krokem vyplývající</w:t>
      </w:r>
      <w:r>
        <w:t xml:space="preserve"> – v tento okamžik je třeba uvést dvě nejpodstatnější:</w:t>
      </w:r>
    </w:p>
    <w:p w:rsidR="00F36672" w:rsidRDefault="00F36672" w:rsidP="00F36672">
      <w:pPr>
        <w:pStyle w:val="Odstavecseseznamem"/>
        <w:numPr>
          <w:ilvl w:val="0"/>
          <w:numId w:val="58"/>
        </w:numPr>
      </w:pPr>
      <w:r>
        <w:t>Kumulace správcovské role za více finančních nástrojů na jeden subjekt je nežádoucí s ohledem na diversifikaci rizika, co se týče možných budoucích nesrovnalostí. Potenciální problémy s Evropskou komisí mohou paralyzovat v jeden okamžik čerpání hned dva operační programy.</w:t>
      </w:r>
    </w:p>
    <w:p w:rsidR="00F36672" w:rsidRDefault="00F36672" w:rsidP="00F36672">
      <w:pPr>
        <w:pStyle w:val="Odstavecseseznamem"/>
        <w:numPr>
          <w:ilvl w:val="0"/>
          <w:numId w:val="58"/>
        </w:numPr>
      </w:pPr>
      <w:r>
        <w:t>Příprava na nastavení celé implementace je v tomto případě náročnější, jak časově, tak finančně (úspory a výhody jsou spojeny až s fází realizace).</w:t>
      </w:r>
    </w:p>
    <w:p w:rsidR="00F36672" w:rsidRDefault="00F36672" w:rsidP="00F36672">
      <w:r w:rsidRPr="00212B9D">
        <w:rPr>
          <w:b/>
        </w:rPr>
        <w:t>Dodavatel považuje variantu se zapojením SFŽP za životaschopnou a hodnou další analýzy, nicméně</w:t>
      </w:r>
      <w:r>
        <w:t xml:space="preserve"> s ohledem na uvedená podstatná rizika a s ohledem na omezenost překryvu návrhu nastavení formy podpory v obou programech (IROP poskytování podpory přes spolufinancující subjekty bankovního typu, OPŽP plánované zapojení bank v podřízené roli vůči správci fondu samotného), </w:t>
      </w:r>
      <w:r w:rsidRPr="00212B9D">
        <w:rPr>
          <w:b/>
        </w:rPr>
        <w:t>se jako vhodnější jeví zvážit ostatní alternativy možných správců finančního nástroje IROP</w:t>
      </w:r>
      <w:r>
        <w:rPr>
          <w:b/>
        </w:rPr>
        <w:t>.</w:t>
      </w:r>
    </w:p>
    <w:p w:rsidR="00F36672" w:rsidRDefault="00F36672" w:rsidP="00F36672">
      <w:pPr>
        <w:pStyle w:val="CaptionIntroductionparagraph"/>
      </w:pPr>
      <w:r>
        <w:t>Možnost zapojení SFRB</w:t>
      </w:r>
    </w:p>
    <w:p w:rsidR="00F36672" w:rsidRDefault="00F36672" w:rsidP="00F36672">
      <w:r>
        <w:t xml:space="preserve">Státní fond rozvoje bydlení v současnosti spravuje více programů, které podporují investiční aktivitu v oblasti energetických úspor – z nejznámějších se jedná o program JESSICA a program PANEL+. Tyto programy fungují jako podpora dluhovým finančním nástrojem, tj. zvýhodněným úvěrem, kdy oba sledované programy se těší zájmu žadatelů, což lze doložit vyčerpanými alokacemi obou programů. SFRB ve sledované oblasti aktivně vystupuje, nejen co se týče investiční podpory, ale také co se týče osvěty a informační kampaně, tedy se sledovanou oblastí podpory má bohaté zkušenosti. </w:t>
      </w:r>
      <w:r w:rsidRPr="00DB49DB">
        <w:rPr>
          <w:b/>
        </w:rPr>
        <w:t>Pro roli správce finančního nástroje má SFRB velmi dobrou kvalifikaci ve smyslu vykonávání současné role holdingového fondu programu JESSICA</w:t>
      </w:r>
      <w:r>
        <w:t>.</w:t>
      </w:r>
      <w:r w:rsidRPr="00B52ADD">
        <w:t xml:space="preserve"> </w:t>
      </w:r>
      <w:r>
        <w:t>Jako výhodu lze dále jmenovat i možnost dluhopisového financování, které by mohlo v případě fungujícího finančního nástroje být výhledově zapojeno. Neméně podstatnou výhodou SFRB je také orientace v problematice sociálního bydlení (mj. nabídka vlastního programu podpory pro tuto oblast, opět v podobě finančního nástroje), tedy potenciální připravenost spravovat finanční nástroj tohoto zaměření v případě, že bude dodatečně ze strany Řídícího orgánu vyjmut z dotačního schématu a řízen za využití finančního nástroje.</w:t>
      </w:r>
    </w:p>
    <w:p w:rsidR="00F36672" w:rsidRPr="00CD69FC" w:rsidRDefault="00F36672" w:rsidP="00F36672">
      <w:r w:rsidRPr="00CD69FC">
        <w:rPr>
          <w:b/>
        </w:rPr>
        <w:t>Dle názoru dodavatele se jeví možnost využití SFRB jako nejvhodnější varianta, neboť existuje podstatná zkušenost se správou obdobného nástroje v programovém období 2007-2013, v praxi splňuje rysy standardní finanční instituce, neexistují legislativní omezení a daný fond spadá do gesce MMR</w:t>
      </w:r>
      <w:r w:rsidRPr="00CD69FC">
        <w:t xml:space="preserve">. </w:t>
      </w:r>
      <w:r w:rsidR="00CD69FC">
        <w:t xml:space="preserve">Jednoznačně bude ale nutné redefinovat kompetence a rozsah prací vykonávaných ze strany SFRB tak, aby lépe reflektovat nové programové období a roli správce. </w:t>
      </w:r>
    </w:p>
    <w:p w:rsidR="00F36672" w:rsidRDefault="00C71A3C" w:rsidP="00C71A3C">
      <w:pPr>
        <w:pStyle w:val="Nadpis4"/>
        <w:rPr>
          <w:rFonts w:eastAsia="Arial"/>
        </w:rPr>
      </w:pPr>
      <w:r>
        <w:rPr>
          <w:rFonts w:eastAsia="Arial"/>
        </w:rPr>
        <w:t xml:space="preserve">Posouzení možnosti </w:t>
      </w:r>
      <w:r w:rsidR="00F36672">
        <w:rPr>
          <w:rFonts w:eastAsia="Arial"/>
        </w:rPr>
        <w:t>zapojení soukromých subjektů</w:t>
      </w:r>
    </w:p>
    <w:p w:rsidR="00F36672" w:rsidRPr="004843FD" w:rsidRDefault="00F36672" w:rsidP="00F36672">
      <w:r w:rsidRPr="004843FD">
        <w:rPr>
          <w:b/>
        </w:rPr>
        <w:t xml:space="preserve">Analýza </w:t>
      </w:r>
      <w:r>
        <w:rPr>
          <w:b/>
        </w:rPr>
        <w:t>potenciálu</w:t>
      </w:r>
      <w:r w:rsidRPr="004843FD">
        <w:rPr>
          <w:b/>
        </w:rPr>
        <w:t xml:space="preserve"> využití veřejných subjektů</w:t>
      </w:r>
      <w:r w:rsidRPr="004843FD">
        <w:t xml:space="preserve"> prokázala možnost využití </w:t>
      </w:r>
      <w:r w:rsidRPr="004843FD">
        <w:rPr>
          <w:b/>
        </w:rPr>
        <w:t>ČMZRB</w:t>
      </w:r>
      <w:r w:rsidRPr="004843FD">
        <w:t xml:space="preserve"> (jak garanční, tak dluhové nástroje)</w:t>
      </w:r>
      <w:r>
        <w:t xml:space="preserve">, </w:t>
      </w:r>
      <w:r w:rsidRPr="00B52ADD">
        <w:rPr>
          <w:b/>
        </w:rPr>
        <w:t>SFRB</w:t>
      </w:r>
      <w:r>
        <w:t xml:space="preserve"> (</w:t>
      </w:r>
      <w:r w:rsidR="000F6D41" w:rsidRPr="004843FD">
        <w:t>jak garanční, tak dluhové nástroje</w:t>
      </w:r>
      <w:r>
        <w:t>)</w:t>
      </w:r>
      <w:r w:rsidRPr="004843FD">
        <w:t xml:space="preserve"> </w:t>
      </w:r>
      <w:r w:rsidRPr="004843FD">
        <w:rPr>
          <w:b/>
        </w:rPr>
        <w:t>a SFŽP</w:t>
      </w:r>
      <w:r w:rsidRPr="004843FD">
        <w:t xml:space="preserve"> (pouze dluhové nástroje). Jelikož tyto subjekty mají s těmito nástroji předešlé zkušenosti a současně s ohledem na maximalizaci využití kapacit je vhodné tyto subjekty zapojit do realizace dluhových a garančních nástrojů. </w:t>
      </w:r>
      <w:r w:rsidRPr="004843FD">
        <w:rPr>
          <w:b/>
        </w:rPr>
        <w:t>Zapojení soukromých subjektů</w:t>
      </w:r>
      <w:r w:rsidRPr="004843FD">
        <w:t xml:space="preserve"> (zejména bank) </w:t>
      </w:r>
      <w:r w:rsidRPr="004843FD">
        <w:rPr>
          <w:b/>
        </w:rPr>
        <w:t>do dluhových a garančních nástrojů je</w:t>
      </w:r>
      <w:r w:rsidRPr="004843FD">
        <w:t xml:space="preserve"> tak </w:t>
      </w:r>
      <w:r w:rsidRPr="004843FD">
        <w:rPr>
          <w:b/>
        </w:rPr>
        <w:t>určitým způsobem limitováno</w:t>
      </w:r>
      <w:r w:rsidRPr="004843FD">
        <w:t xml:space="preserve">, rozhodně však ne vyloučeno. </w:t>
      </w:r>
    </w:p>
    <w:p w:rsidR="00F36672" w:rsidRPr="004843FD" w:rsidRDefault="00F36672" w:rsidP="00F36672">
      <w:r w:rsidRPr="004843FD">
        <w:rPr>
          <w:b/>
        </w:rPr>
        <w:t>Soukromé subjekty</w:t>
      </w:r>
      <w:r w:rsidRPr="004843FD">
        <w:t xml:space="preserve"> (banky) </w:t>
      </w:r>
      <w:r>
        <w:rPr>
          <w:b/>
        </w:rPr>
        <w:t>mohou</w:t>
      </w:r>
      <w:r w:rsidRPr="004843FD">
        <w:rPr>
          <w:b/>
        </w:rPr>
        <w:t xml:space="preserve"> do realizace dluhových a garančních nástrojů přinést mnoho pozitiv</w:t>
      </w:r>
      <w:r w:rsidRPr="004843FD">
        <w:t>, počínaje širokým pokrytím území ČR prostřednictvím svých poboček</w:t>
      </w:r>
      <w:r>
        <w:t xml:space="preserve"> (</w:t>
      </w:r>
      <w:r w:rsidRPr="004843FD">
        <w:t>což umožní využití IFN pro široký okruh příjemců</w:t>
      </w:r>
      <w:r>
        <w:t>)</w:t>
      </w:r>
      <w:r w:rsidRPr="004843FD">
        <w:t xml:space="preserve">, až po specifické know-how soukromých subjektů. </w:t>
      </w:r>
      <w:r w:rsidRPr="004843FD">
        <w:rPr>
          <w:b/>
        </w:rPr>
        <w:t xml:space="preserve">Využití soukromých subjektů </w:t>
      </w:r>
      <w:r>
        <w:rPr>
          <w:b/>
        </w:rPr>
        <w:t>je vhodné v roli spolufinancujících subjektů, není žádoucí na úrovni správců finančního nástroje v okamžiku, kdy jsou státu k dispozici vhodné veřejné instituce, které tuto roli mohou zastat.</w:t>
      </w:r>
      <w:r w:rsidRPr="004843FD">
        <w:t xml:space="preserve"> </w:t>
      </w:r>
      <w:r>
        <w:t>Využití soukromých subjektů v roli správce fondu je vhodné zvážit v případě, že budou zřízeny kapitálové fondy, nebo v případě zavedení sdílené struktury, kde by bylo vhodné uvažovat o soukromém subjektu v roli správce environmentálního fondu</w:t>
      </w:r>
      <w:r w:rsidR="003739E3">
        <w:t xml:space="preserve"> Fondů</w:t>
      </w:r>
      <w:r>
        <w:t>.</w:t>
      </w:r>
    </w:p>
    <w:p w:rsidR="00F36672" w:rsidRDefault="00F36672" w:rsidP="00F36672">
      <w:pPr>
        <w:pStyle w:val="Nadpis3"/>
        <w:rPr>
          <w:rFonts w:eastAsia="Arial"/>
        </w:rPr>
      </w:pPr>
      <w:bookmarkStart w:id="106" w:name="_Toc413183921"/>
      <w:bookmarkStart w:id="107" w:name="_Toc418767155"/>
      <w:r>
        <w:rPr>
          <w:rFonts w:eastAsia="Arial"/>
        </w:rPr>
        <w:t>Rámcov</w:t>
      </w:r>
      <w:r w:rsidR="00C71A3C">
        <w:rPr>
          <w:rFonts w:eastAsia="Arial"/>
        </w:rPr>
        <w:t xml:space="preserve">é schéma </w:t>
      </w:r>
      <w:r>
        <w:rPr>
          <w:rFonts w:eastAsia="Arial"/>
        </w:rPr>
        <w:t>navrhovaného FN</w:t>
      </w:r>
      <w:bookmarkEnd w:id="106"/>
      <w:r w:rsidR="00C71A3C">
        <w:rPr>
          <w:rFonts w:eastAsia="Arial"/>
        </w:rPr>
        <w:t xml:space="preserve"> a posouzení jeho začlenění do národního holdingového fondu</w:t>
      </w:r>
      <w:bookmarkEnd w:id="107"/>
      <w:r w:rsidR="00C71A3C">
        <w:rPr>
          <w:rFonts w:eastAsia="Arial"/>
        </w:rPr>
        <w:t xml:space="preserve"> </w:t>
      </w:r>
    </w:p>
    <w:p w:rsidR="00F774DA" w:rsidRDefault="00F774DA" w:rsidP="00F774DA">
      <w:r>
        <w:t>Národní holdingový fond, resp. tzv. „</w:t>
      </w:r>
      <w:r w:rsidRPr="00181206">
        <w:t>Fond fondů</w:t>
      </w:r>
      <w:r>
        <w:t>“</w:t>
      </w:r>
      <w:r w:rsidRPr="00181206">
        <w:t xml:space="preserve"> je jedním z klíčových</w:t>
      </w:r>
      <w:r>
        <w:t xml:space="preserve"> subjektů</w:t>
      </w:r>
      <w:r w:rsidRPr="00181206">
        <w:t xml:space="preserve"> implementační struktury IFN a bude odpovědný, kromě jiného, za zřizování/investování do jednotlivých fondů"</w:t>
      </w:r>
      <w:r w:rsidRPr="004843FD">
        <w:t>.</w:t>
      </w:r>
      <w:r w:rsidRPr="00340C4E">
        <w:t xml:space="preserve"> </w:t>
      </w:r>
      <w:r>
        <w:t xml:space="preserve">Ačkoli </w:t>
      </w:r>
      <w:r w:rsidRPr="00340C4E">
        <w:t>usnesení vlády č. 85/201</w:t>
      </w:r>
      <w:r>
        <w:t>5 vzalo na vědomí materiál Ministerstva financí popisující výhody Fondu fondů</w:t>
      </w:r>
      <w:r w:rsidRPr="00340C4E">
        <w:t>, stále chybí řada informací, jak bude střešní struktura vybudována a propojena s jednotlivými operačními programy.</w:t>
      </w:r>
      <w:r w:rsidRPr="004843FD">
        <w:t xml:space="preserve"> </w:t>
      </w:r>
    </w:p>
    <w:p w:rsidR="00F774DA" w:rsidRDefault="00F774DA" w:rsidP="00F774DA">
      <w:r w:rsidRPr="00BC598B">
        <w:t>Pokud vznikne materiálem navrhovaný</w:t>
      </w:r>
      <w:r>
        <w:rPr>
          <w:b/>
        </w:rPr>
        <w:t xml:space="preserve"> F</w:t>
      </w:r>
      <w:r w:rsidRPr="004843FD">
        <w:rPr>
          <w:b/>
        </w:rPr>
        <w:t>ond</w:t>
      </w:r>
      <w:r>
        <w:rPr>
          <w:b/>
        </w:rPr>
        <w:t xml:space="preserve"> fondů,</w:t>
      </w:r>
      <w:r w:rsidRPr="004843FD">
        <w:t xml:space="preserve"> tak </w:t>
      </w:r>
      <w:r w:rsidRPr="004843FD">
        <w:rPr>
          <w:b/>
        </w:rPr>
        <w:t xml:space="preserve">bude spravovat a řídit prostředky </w:t>
      </w:r>
      <w:r>
        <w:rPr>
          <w:b/>
        </w:rPr>
        <w:t>MMR</w:t>
      </w:r>
      <w:r w:rsidRPr="004843FD">
        <w:t xml:space="preserve">, případně i jiných ŘO, </w:t>
      </w:r>
      <w:r w:rsidRPr="004843FD">
        <w:rPr>
          <w:b/>
        </w:rPr>
        <w:t>které budou alokovány do jednotlivých finančních</w:t>
      </w:r>
      <w:r w:rsidRPr="004843FD">
        <w:t xml:space="preserve"> </w:t>
      </w:r>
      <w:r w:rsidRPr="004843FD">
        <w:rPr>
          <w:b/>
        </w:rPr>
        <w:t>nástrojů</w:t>
      </w:r>
      <w:r w:rsidRPr="004843FD">
        <w:t xml:space="preserve">. </w:t>
      </w:r>
      <w:r w:rsidRPr="004843FD">
        <w:rPr>
          <w:b/>
        </w:rPr>
        <w:t xml:space="preserve">Objem těchto prostředků </w:t>
      </w:r>
      <w:r w:rsidRPr="004843FD">
        <w:t xml:space="preserve">se bude v závislosti od míry využití IFN a zapojení dalších ŘO pohybovat </w:t>
      </w:r>
      <w:r w:rsidRPr="004843FD">
        <w:rPr>
          <w:b/>
        </w:rPr>
        <w:t>od několika miliard až po desítky miliard korun</w:t>
      </w:r>
      <w:r w:rsidRPr="004843FD">
        <w:t xml:space="preserve">. </w:t>
      </w:r>
    </w:p>
    <w:p w:rsidR="00F774DA" w:rsidRPr="004843FD" w:rsidRDefault="00F774DA" w:rsidP="00F774DA">
      <w:r w:rsidRPr="004843FD">
        <w:rPr>
          <w:b/>
        </w:rPr>
        <w:t>Z politického hlediska</w:t>
      </w:r>
      <w:r w:rsidRPr="004843FD">
        <w:t xml:space="preserve"> je tak </w:t>
      </w:r>
      <w:r w:rsidRPr="004843FD">
        <w:rPr>
          <w:b/>
        </w:rPr>
        <w:t>vhodné</w:t>
      </w:r>
      <w:r w:rsidRPr="004843FD">
        <w:t xml:space="preserve">, </w:t>
      </w:r>
      <w:r w:rsidRPr="004843FD">
        <w:rPr>
          <w:b/>
        </w:rPr>
        <w:t>aby</w:t>
      </w:r>
      <w:r w:rsidRPr="004843FD">
        <w:t xml:space="preserve"> jak </w:t>
      </w:r>
      <w:r>
        <w:rPr>
          <w:b/>
        </w:rPr>
        <w:t>fond fondů</w:t>
      </w:r>
      <w:r w:rsidRPr="004843FD">
        <w:t xml:space="preserve"> (implementační subjekt), tak </w:t>
      </w:r>
      <w:r w:rsidRPr="004843FD">
        <w:rPr>
          <w:b/>
        </w:rPr>
        <w:t>správce</w:t>
      </w:r>
      <w:r w:rsidRPr="004843FD">
        <w:t xml:space="preserve"> (subjekt zajišťující správu a řízení fondu) </w:t>
      </w:r>
      <w:r w:rsidRPr="004843FD">
        <w:rPr>
          <w:b/>
        </w:rPr>
        <w:t>byly veřejnoprávními společnostmi</w:t>
      </w:r>
      <w:r w:rsidRPr="004843FD">
        <w:t xml:space="preserve"> pod veřejnou správou, vlastnictvím a kontrolou. </w:t>
      </w:r>
      <w:r w:rsidRPr="004843FD">
        <w:rPr>
          <w:b/>
        </w:rPr>
        <w:t xml:space="preserve">Zapojení soukromých subjektů </w:t>
      </w:r>
      <w:r>
        <w:rPr>
          <w:b/>
        </w:rPr>
        <w:t xml:space="preserve">v rámci ČR </w:t>
      </w:r>
      <w:r w:rsidRPr="004843FD">
        <w:rPr>
          <w:b/>
        </w:rPr>
        <w:t xml:space="preserve">na úrovni </w:t>
      </w:r>
      <w:r>
        <w:rPr>
          <w:b/>
        </w:rPr>
        <w:t>fondu fondů</w:t>
      </w:r>
      <w:r w:rsidRPr="004843FD">
        <w:rPr>
          <w:b/>
        </w:rPr>
        <w:t xml:space="preserve"> je</w:t>
      </w:r>
      <w:r w:rsidRPr="004843FD">
        <w:t xml:space="preserve"> tak dle našeho názoru </w:t>
      </w:r>
      <w:r w:rsidRPr="004843FD">
        <w:rPr>
          <w:b/>
        </w:rPr>
        <w:t>v podstatě vyloučeno</w:t>
      </w:r>
      <w:r w:rsidRPr="004843FD">
        <w:t xml:space="preserve">. </w:t>
      </w:r>
    </w:p>
    <w:p w:rsidR="00CD69FC" w:rsidRDefault="00F774DA" w:rsidP="00CD69FC">
      <w:pPr>
        <w:pStyle w:val="Textpoznpodarou"/>
        <w:rPr>
          <w:sz w:val="19"/>
          <w:szCs w:val="24"/>
        </w:rPr>
      </w:pPr>
      <w:r w:rsidRPr="00CD69FC">
        <w:rPr>
          <w:sz w:val="19"/>
          <w:szCs w:val="24"/>
        </w:rPr>
        <w:t xml:space="preserve">Vzhledem k tomu, že současné směřování úvah na národní úrovni počítá se zapojením Fondu </w:t>
      </w:r>
      <w:r w:rsidR="00CD69FC" w:rsidRPr="00CD69FC">
        <w:rPr>
          <w:sz w:val="19"/>
          <w:szCs w:val="24"/>
        </w:rPr>
        <w:t>fondů, n</w:t>
      </w:r>
      <w:r w:rsidRPr="00CD69FC">
        <w:rPr>
          <w:sz w:val="19"/>
          <w:szCs w:val="24"/>
        </w:rPr>
        <w:t xml:space="preserve">avrhovaná implementační struktura tedy </w:t>
      </w:r>
      <w:r w:rsidR="00CD69FC" w:rsidRPr="00CD69FC">
        <w:rPr>
          <w:sz w:val="19"/>
          <w:szCs w:val="24"/>
        </w:rPr>
        <w:t xml:space="preserve">počítá s cílovým </w:t>
      </w:r>
      <w:r w:rsidRPr="00CD69FC">
        <w:rPr>
          <w:sz w:val="19"/>
          <w:szCs w:val="24"/>
        </w:rPr>
        <w:t xml:space="preserve">zapojením FN do </w:t>
      </w:r>
      <w:r w:rsidR="003739E3">
        <w:rPr>
          <w:sz w:val="19"/>
          <w:szCs w:val="24"/>
        </w:rPr>
        <w:t>takovéto struktury</w:t>
      </w:r>
      <w:r w:rsidRPr="00CD69FC">
        <w:rPr>
          <w:sz w:val="19"/>
          <w:szCs w:val="24"/>
        </w:rPr>
        <w:t xml:space="preserve">. </w:t>
      </w:r>
      <w:r w:rsidR="00CD69FC" w:rsidRPr="00CD69FC">
        <w:rPr>
          <w:sz w:val="19"/>
          <w:szCs w:val="24"/>
        </w:rPr>
        <w:t xml:space="preserve">Navrhované podoba finančního nástroje ale nemusí na svoji implementaci čekat až na ukončení přípravných prací na národní úrovni. </w:t>
      </w:r>
      <w:r w:rsidR="00C71A3C" w:rsidRPr="00CD69FC">
        <w:rPr>
          <w:sz w:val="19"/>
          <w:szCs w:val="24"/>
        </w:rPr>
        <w:t>V</w:t>
      </w:r>
      <w:r w:rsidR="00CD69FC" w:rsidRPr="00CD69FC">
        <w:rPr>
          <w:sz w:val="19"/>
          <w:szCs w:val="24"/>
        </w:rPr>
        <w:t> této souvislosti (</w:t>
      </w:r>
      <w:r w:rsidR="00C71A3C" w:rsidRPr="00CD69FC">
        <w:rPr>
          <w:sz w:val="19"/>
          <w:szCs w:val="24"/>
        </w:rPr>
        <w:t>možným prodlením implementace</w:t>
      </w:r>
      <w:r w:rsidR="00CD69FC" w:rsidRPr="00CD69FC">
        <w:rPr>
          <w:sz w:val="19"/>
          <w:szCs w:val="24"/>
        </w:rPr>
        <w:t xml:space="preserve"> fondu fondů na národní úrovni, </w:t>
      </w:r>
      <w:r w:rsidR="00C71A3C" w:rsidRPr="00CD69FC">
        <w:rPr>
          <w:sz w:val="19"/>
          <w:szCs w:val="24"/>
        </w:rPr>
        <w:t>zejména v případě nutnosti legislati</w:t>
      </w:r>
      <w:r w:rsidRPr="00CD69FC">
        <w:rPr>
          <w:sz w:val="19"/>
          <w:szCs w:val="24"/>
        </w:rPr>
        <w:t>vních změn) lze variantně postupovat způsobem</w:t>
      </w:r>
      <w:r w:rsidR="00C71A3C" w:rsidRPr="00CD69FC">
        <w:rPr>
          <w:sz w:val="19"/>
          <w:szCs w:val="24"/>
        </w:rPr>
        <w:t>, že ŘO</w:t>
      </w:r>
      <w:r w:rsidRPr="00CD69FC">
        <w:rPr>
          <w:sz w:val="19"/>
          <w:szCs w:val="24"/>
        </w:rPr>
        <w:t xml:space="preserve"> vytvoří implementační strukturu na úrovni finančního nástroje</w:t>
      </w:r>
      <w:r w:rsidR="00C71A3C" w:rsidRPr="00CD69FC">
        <w:rPr>
          <w:sz w:val="19"/>
          <w:szCs w:val="24"/>
        </w:rPr>
        <w:t xml:space="preserve"> (ve schématech níže úroveň finančních nástrojů) již před ustavením samotného fondu fondů, a po jeho vzniku budou následně napojeny na fond fondů. Takováto souslednost kroků by vedla k eliminaci rizika prodlení zahájení realizace finančních nástrojů (řídicí orgány jsou schopné implementovat IFN a vyhlašovat výzvy již před zřízením Fondu fondů), nicméně může být spojená s řadou rizik procesního charakteru. Proveditelnost tohoto řešení je proto nezbytné potvrdit ze strany Evropské komise </w:t>
      </w:r>
    </w:p>
    <w:p w:rsidR="00CD69FC" w:rsidRDefault="00CD69FC" w:rsidP="00CD69FC">
      <w:pPr>
        <w:keepNext/>
        <w:spacing w:before="120"/>
      </w:pPr>
      <w:r w:rsidRPr="00CD69FC">
        <w:t>Možnost zahájení čerpání bez fondu fondů s tím, že se zřízený fond IROP následně na vrcholové struktury napojí, je v zása</w:t>
      </w:r>
      <w:r>
        <w:t>dě umožněna, resp. není v žádné</w:t>
      </w:r>
      <w:r w:rsidRPr="00CD69FC">
        <w:t xml:space="preserve"> z regulací výslovně zakázána. Dodavatel problematiku konzultoval s EIF a zahraničními kolegy, neformálně i na DG REGIO. Předběžným závěrem je, že tento postup je možný.</w:t>
      </w:r>
      <w:r>
        <w:t xml:space="preserve">  </w:t>
      </w:r>
    </w:p>
    <w:p w:rsidR="00CD69FC" w:rsidRPr="004843FD" w:rsidRDefault="00CD69FC" w:rsidP="00CD69FC">
      <w:pPr>
        <w:keepNext/>
        <w:spacing w:before="120"/>
        <w:rPr>
          <w:szCs w:val="16"/>
        </w:rPr>
      </w:pPr>
      <w:r w:rsidRPr="007E3A57">
        <w:rPr>
          <w:b/>
        </w:rPr>
        <w:t>Alternativně může v roli správce fondu fondů</w:t>
      </w:r>
      <w:r w:rsidRPr="007E3A57">
        <w:t>,</w:t>
      </w:r>
      <w:r>
        <w:t xml:space="preserve"> případně jeho zakladatele (spolu s ČMZRB nebo samostatně) na národní úrovni </w:t>
      </w:r>
      <w:r w:rsidRPr="007E3A57">
        <w:rPr>
          <w:b/>
        </w:rPr>
        <w:t>vystupovat EIB</w:t>
      </w:r>
      <w:r>
        <w:t xml:space="preserve">. Vhodným řešením se jeví tzv. přechodný model, v rámci kterého implementace zpočátku probíhá s využitím EIB, následně po určitém čase dojde k převodu na národní struktury. Toto řešení eliminuje riziko prodlení spojené s nastavováním implementačních struktur na národní úrovni bez předchozí zkušenosti a přináší </w:t>
      </w:r>
      <w:r w:rsidRPr="00C04999">
        <w:t>know-how</w:t>
      </w:r>
      <w:r>
        <w:t xml:space="preserve"> nezbytné</w:t>
      </w:r>
      <w:r w:rsidRPr="00C04999">
        <w:t xml:space="preserve"> pro správné a řádné řízení a implementaci IFN z EIB na národní struktury. </w:t>
      </w:r>
      <w:r>
        <w:t xml:space="preserve"> </w:t>
      </w:r>
    </w:p>
    <w:p w:rsidR="00CD69FC" w:rsidRPr="00CD69FC" w:rsidRDefault="00CD69FC" w:rsidP="00CD69FC">
      <w:pPr>
        <w:pStyle w:val="Textpoznpodarou"/>
        <w:rPr>
          <w:sz w:val="19"/>
          <w:szCs w:val="24"/>
        </w:rPr>
      </w:pPr>
      <w:r w:rsidRPr="00CD69FC">
        <w:rPr>
          <w:sz w:val="19"/>
          <w:szCs w:val="24"/>
        </w:rPr>
        <w:t xml:space="preserve">Příkladem přechodného modelu je využití finančního nástroje JEREMIE na Slovensku pomocí SZRF, zřízeného jako holdingový fond, jehož společníky jsou SZRB a EIF. Dalším příkladem přechodného modelu je finanční nástroj JESSICA v rámci ROP Moravskoslezsko. </w:t>
      </w:r>
    </w:p>
    <w:p w:rsidR="00C71A3C" w:rsidRDefault="00F36672" w:rsidP="00F774DA">
      <w:pPr>
        <w:pStyle w:val="BodyText1"/>
        <w:jc w:val="both"/>
      </w:pPr>
      <w:r>
        <w:t xml:space="preserve">Dle míry koordinace a propojení IFN realizovaných jednotlivými řídicími orgány implementujícími finanční nástroje jsou dále rozpracovány 2 varianty implementace IFN. </w:t>
      </w:r>
    </w:p>
    <w:p w:rsidR="00F774DA" w:rsidRDefault="00F774DA" w:rsidP="00F774DA">
      <w:pPr>
        <w:pStyle w:val="BodyText1"/>
        <w:jc w:val="both"/>
        <w:rPr>
          <w:b/>
          <w:color w:val="00A1DE"/>
          <w:sz w:val="24"/>
          <w:szCs w:val="22"/>
        </w:rPr>
      </w:pPr>
    </w:p>
    <w:p w:rsidR="00F36672" w:rsidRDefault="00F36672" w:rsidP="00F36672">
      <w:pPr>
        <w:pStyle w:val="CaptionIntroductionparagraph"/>
      </w:pPr>
      <w:r>
        <w:t>Varianta 1: Sloučení věcně souvisejících oblastí intervence v rámci jednoho fondu/podfondu</w:t>
      </w:r>
    </w:p>
    <w:p w:rsidR="00F36672" w:rsidRDefault="00F36672" w:rsidP="00F36672">
      <w:pPr>
        <w:spacing w:before="120"/>
      </w:pPr>
      <w:r>
        <w:t xml:space="preserve">Sloučením tematicky souvisejících opatření v rámci jednoho podfondu vzniknou 2 fondy: Environmentální fond a Fond na podporu podnikání. V rámci Environmentálního fondu vzniknou na základě věcného zaměření 4 podfondy: Podfond voda, Podfond ovzduší, Podfond odpady a Podfond energetické úspory. Implementační struktura je rámcově zobrazena na následujícím schématu. </w:t>
      </w:r>
    </w:p>
    <w:p w:rsidR="00F36672" w:rsidRDefault="00F36672" w:rsidP="00F36672">
      <w:pPr>
        <w:pStyle w:val="BodyText1"/>
        <w:keepNext/>
        <w:jc w:val="center"/>
      </w:pPr>
    </w:p>
    <w:p w:rsidR="004A6E26" w:rsidRDefault="004A6E26" w:rsidP="00F36672">
      <w:pPr>
        <w:pStyle w:val="BodyText1"/>
        <w:keepNext/>
        <w:jc w:val="center"/>
      </w:pPr>
      <w:r w:rsidRPr="004A6E26">
        <w:rPr>
          <w:noProof/>
          <w:lang w:eastAsia="cs-CZ"/>
        </w:rPr>
        <w:drawing>
          <wp:inline distT="0" distB="0" distL="0" distR="0" wp14:anchorId="066B034D" wp14:editId="526A6010">
            <wp:extent cx="5759450" cy="3966256"/>
            <wp:effectExtent l="0" t="0" r="0" b="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966256"/>
                    </a:xfrm>
                    <a:prstGeom prst="rect">
                      <a:avLst/>
                    </a:prstGeom>
                    <a:noFill/>
                    <a:ln>
                      <a:noFill/>
                    </a:ln>
                  </pic:spPr>
                </pic:pic>
              </a:graphicData>
            </a:graphic>
          </wp:inline>
        </w:drawing>
      </w:r>
    </w:p>
    <w:p w:rsidR="00F36672" w:rsidRDefault="00F36672" w:rsidP="00F36672">
      <w:pPr>
        <w:pStyle w:val="Titulek"/>
        <w:jc w:val="left"/>
      </w:pPr>
      <w:bookmarkStart w:id="108" w:name="_Toc417655525"/>
      <w:r>
        <w:t xml:space="preserve">Obrázek </w:t>
      </w:r>
      <w:r>
        <w:fldChar w:fldCharType="begin"/>
      </w:r>
      <w:r>
        <w:instrText xml:space="preserve"> SEQ Obrázek \* ARABIC </w:instrText>
      </w:r>
      <w:r>
        <w:fldChar w:fldCharType="separate"/>
      </w:r>
      <w:r w:rsidR="00337437">
        <w:rPr>
          <w:noProof/>
        </w:rPr>
        <w:t>11</w:t>
      </w:r>
      <w:r>
        <w:fldChar w:fldCharType="end"/>
      </w:r>
      <w:r>
        <w:t>: Rámcové schéma implementace IFN - Varianta 1:</w:t>
      </w:r>
      <w:r w:rsidRPr="00992049">
        <w:t xml:space="preserve"> Sloučení věcně souvisejících opatření </w:t>
      </w:r>
      <w:r>
        <w:br/>
      </w:r>
      <w:r w:rsidRPr="00992049">
        <w:t>v rámci jednoho fondu/podfondu</w:t>
      </w:r>
      <w:bookmarkEnd w:id="108"/>
    </w:p>
    <w:p w:rsidR="00C71A3C" w:rsidRDefault="00F36672" w:rsidP="00B83F26">
      <w:pPr>
        <w:rPr>
          <w:b/>
          <w:color w:val="00A1DE"/>
          <w:sz w:val="24"/>
          <w:szCs w:val="22"/>
        </w:rPr>
      </w:pPr>
      <w:r>
        <w:t>Kombinované sdílení struktur je vzhledem k vyšší efektivitě spočívající ve sdílení struktur napříč řídicími orgány více preferovaným modelem ze strany EK, než decentralizované řešení. Finální rozhodnutí o schématu implementace FN je v kompetenci jednotlivých ŘO.</w:t>
      </w:r>
      <w:r w:rsidR="00C71A3C">
        <w:t xml:space="preserve"> Nicméně dodavatelem navrhovaná podoba FN spíše počítá s tím, že k vytvoření společného fondu nedojde. </w:t>
      </w:r>
    </w:p>
    <w:p w:rsidR="00F36672" w:rsidRDefault="00F36672" w:rsidP="00F36672">
      <w:pPr>
        <w:pStyle w:val="CaptionIntroductionparagraph"/>
      </w:pPr>
      <w:r w:rsidRPr="00D60031">
        <w:t xml:space="preserve">Varianta 2: Nedojde ke sloučení věcně </w:t>
      </w:r>
      <w:r>
        <w:t>oblastí intervence</w:t>
      </w:r>
      <w:r w:rsidRPr="00D60031">
        <w:t xml:space="preserve"> v rámci jednoho podfondu</w:t>
      </w:r>
    </w:p>
    <w:p w:rsidR="00F36672" w:rsidRDefault="00F36672" w:rsidP="00F36672">
      <w:pPr>
        <w:pStyle w:val="BodyText1"/>
        <w:spacing w:before="120"/>
        <w:jc w:val="both"/>
      </w:pPr>
      <w:r>
        <w:t>Alternativní schéma zobrazuje situaci, kdy nedojde ke sloučení věcně souvisejících opatření v rámci jednoho podfondu z důvodu, že každý řídicí orgán si bude chtít ponechat alokaci na finanční nástroj z operačního programu v rámci ním spravovaného fondu. V tomto případě vzniknou samostatné fondy u všech operačních programů realizujících finanční nástroje – v současné době lze tak předpokládat existenci Fondu IROP (MMR), Fondu OPPIK (MPO), Fondu  OPŽP (MŽP) a Fondu Praha – Pól růstu (MHMP). V rámci každého fondu vzniknou vlastní Implementační struktury, jak jsou rámcově zobrazeny na následujícím schématu, s důrazem na vlastní uspořádání v IROP.</w:t>
      </w:r>
    </w:p>
    <w:p w:rsidR="00C71A3C" w:rsidRDefault="00C71A3C" w:rsidP="00F36672">
      <w:pPr>
        <w:pStyle w:val="BodyText1"/>
        <w:spacing w:before="120"/>
        <w:jc w:val="both"/>
      </w:pPr>
    </w:p>
    <w:p w:rsidR="00F36672" w:rsidRDefault="00F36672" w:rsidP="00F36672">
      <w:pPr>
        <w:pStyle w:val="BodyText1"/>
        <w:keepNext/>
        <w:jc w:val="center"/>
      </w:pPr>
    </w:p>
    <w:p w:rsidR="004F3B51" w:rsidRDefault="004F3B51" w:rsidP="00F36672">
      <w:pPr>
        <w:pStyle w:val="BodyText1"/>
        <w:keepNext/>
        <w:jc w:val="center"/>
      </w:pPr>
      <w:r>
        <w:rPr>
          <w:noProof/>
          <w:lang w:eastAsia="cs-CZ"/>
        </w:rPr>
        <w:drawing>
          <wp:inline distT="0" distB="0" distL="0" distR="0" wp14:anchorId="55F41D67" wp14:editId="1118DF39">
            <wp:extent cx="5756772" cy="3353889"/>
            <wp:effectExtent l="0" t="0" r="0"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6725" cy="3353861"/>
                    </a:xfrm>
                    <a:prstGeom prst="rect">
                      <a:avLst/>
                    </a:prstGeom>
                    <a:noFill/>
                  </pic:spPr>
                </pic:pic>
              </a:graphicData>
            </a:graphic>
          </wp:inline>
        </w:drawing>
      </w:r>
    </w:p>
    <w:p w:rsidR="00F36672" w:rsidRDefault="00F36672" w:rsidP="00F36672">
      <w:pPr>
        <w:pStyle w:val="Titulek"/>
        <w:jc w:val="left"/>
      </w:pPr>
      <w:bookmarkStart w:id="109" w:name="_Toc417655526"/>
      <w:r>
        <w:t xml:space="preserve">Obrázek </w:t>
      </w:r>
      <w:r>
        <w:fldChar w:fldCharType="begin"/>
      </w:r>
      <w:r>
        <w:instrText xml:space="preserve"> SEQ Obrázek \* ARABIC </w:instrText>
      </w:r>
      <w:r>
        <w:fldChar w:fldCharType="separate"/>
      </w:r>
      <w:r w:rsidR="00337437">
        <w:rPr>
          <w:noProof/>
        </w:rPr>
        <w:t>12</w:t>
      </w:r>
      <w:r>
        <w:fldChar w:fldCharType="end"/>
      </w:r>
      <w:r>
        <w:t xml:space="preserve">: </w:t>
      </w:r>
      <w:r w:rsidRPr="00EA2A9D">
        <w:t xml:space="preserve">Rámcové schéma implementace IFN - Varianta </w:t>
      </w:r>
      <w:r>
        <w:t>2</w:t>
      </w:r>
      <w:r w:rsidRPr="00EA2A9D">
        <w:t xml:space="preserve">: </w:t>
      </w:r>
      <w:r>
        <w:t>Nedojde ke s</w:t>
      </w:r>
      <w:r w:rsidRPr="00EA2A9D">
        <w:t>loučení věcně souvisejících opatření v rámci jednoho fondu/podfondu</w:t>
      </w:r>
      <w:bookmarkEnd w:id="109"/>
    </w:p>
    <w:p w:rsidR="00F36672" w:rsidRDefault="00C71A3C" w:rsidP="00F36672">
      <w:pPr>
        <w:pStyle w:val="Nadpis3"/>
      </w:pPr>
      <w:bookmarkStart w:id="110" w:name="_Toc418767156"/>
      <w:r>
        <w:t>Kroky nezbytné k zavedení finančního nástroje</w:t>
      </w:r>
      <w:bookmarkEnd w:id="110"/>
      <w:r>
        <w:t xml:space="preserve"> </w:t>
      </w:r>
    </w:p>
    <w:p w:rsidR="00F36672" w:rsidRPr="00C2783B" w:rsidRDefault="00C71A3C" w:rsidP="00F36672">
      <w:r>
        <w:t>Následující kapitola obsahuje rámcový variantní popis</w:t>
      </w:r>
      <w:r w:rsidR="00F36672">
        <w:t xml:space="preserve"> souslednost</w:t>
      </w:r>
      <w:r>
        <w:t>i</w:t>
      </w:r>
      <w:r w:rsidR="00F36672">
        <w:t xml:space="preserve"> kroků, které musí být provedeny v souvislosti s implementací IFN.</w:t>
      </w:r>
      <w:r>
        <w:t xml:space="preserve"> Tyto kroky jsou nejen v kompetenci ŘO IROP, nýbrž je nutné postupovat v koordinaci s MF, MMR NOK a dalšími řídícími orgány. </w:t>
      </w:r>
    </w:p>
    <w:p w:rsidR="00F36672" w:rsidRDefault="00F36672" w:rsidP="00F36672">
      <w:pPr>
        <w:pStyle w:val="Bodyodsazene"/>
        <w:numPr>
          <w:ilvl w:val="0"/>
          <w:numId w:val="33"/>
        </w:numPr>
        <w:jc w:val="both"/>
      </w:pPr>
      <w:r>
        <w:t>MF vytvoří Fond Fondů a vybere subjekt k plnění role správce tohoto fondu/případně bude výkonem role zakladatele a správce fondu fondů pověřena EIB.</w:t>
      </w:r>
    </w:p>
    <w:p w:rsidR="00F36672" w:rsidRDefault="00F36672" w:rsidP="00F36672">
      <w:pPr>
        <w:pStyle w:val="Bodyodsazene"/>
        <w:numPr>
          <w:ilvl w:val="0"/>
          <w:numId w:val="33"/>
        </w:numPr>
        <w:jc w:val="both"/>
      </w:pPr>
      <w:r>
        <w:t xml:space="preserve">Na základě dohody o financování a rozhodnutí o poskytnutí dotace přidělí prostředky dedikované na finanční nástroje do </w:t>
      </w:r>
      <w:r w:rsidR="003739E3">
        <w:t xml:space="preserve">fondu </w:t>
      </w:r>
      <w:r>
        <w:t>fond</w:t>
      </w:r>
      <w:r w:rsidR="003739E3">
        <w:t>ů</w:t>
      </w:r>
      <w:r>
        <w:t xml:space="preserve"> (lze stanovit minimální výši objemu alokace, kterou musí řídicí orgány realizovat prostřednictvím finančních nástrojů). Alternativně je možné pouze delegování zajišťování určitých služeb na správce fondu fondů a uzavření dohody o financování a rozhodnutí o poskytnutí dotace přímo se správcem fondu na úrovni finančního nástroje. </w:t>
      </w:r>
    </w:p>
    <w:p w:rsidR="00F36672" w:rsidRDefault="003739E3" w:rsidP="00F36672">
      <w:pPr>
        <w:pStyle w:val="Bodyodsazene"/>
        <w:numPr>
          <w:ilvl w:val="0"/>
          <w:numId w:val="33"/>
        </w:numPr>
        <w:jc w:val="both"/>
      </w:pPr>
      <w:r>
        <w:t xml:space="preserve">Fond </w:t>
      </w:r>
      <w:r w:rsidR="00C71A3C">
        <w:t>fond</w:t>
      </w:r>
      <w:r>
        <w:t>ů</w:t>
      </w:r>
      <w:r w:rsidR="00C71A3C">
        <w:t>/</w:t>
      </w:r>
      <w:r w:rsidR="00F36672">
        <w:t xml:space="preserve"> případně jednotlivé ŘO zřídí fond na úrovni operačního programu, případně fond sdružující věcně příbuzná opatření a ustanoví správce fondu. Zřízení fondu zahrnuje založení společnosti (právní forma: akciová společnost s proměnlivým základním kapitálem) a složení zakladatelského vkladu, zpracování statutu fondu, jehož součástí je investiční strategie, jmenování členů investiční rady/dozorčího výboru. Členství v investiční radě lze stanovit na základě funkcí, musí odpovídat legislativním požadavkům. Po zajištění veškerých zákonných požadavků je fond zapsán ČNB, čímž účinně vzniká.</w:t>
      </w:r>
    </w:p>
    <w:p w:rsidR="00F36672" w:rsidRDefault="00F36672" w:rsidP="00F36672">
      <w:pPr>
        <w:pStyle w:val="Bodyodsazene"/>
        <w:numPr>
          <w:ilvl w:val="0"/>
          <w:numId w:val="33"/>
        </w:numPr>
        <w:jc w:val="both"/>
      </w:pPr>
      <w:r>
        <w:t>Správce fondu zajistí veškeré úkony potřebné pro uzavření dohody o financování. Jedná se zejména o nastavení procesů dle požadavků nařízení, včetně zajištění personálních kapacit a technické podpory, vytvoření řídící dokumentace.</w:t>
      </w:r>
    </w:p>
    <w:p w:rsidR="00F36672" w:rsidRDefault="00F36672" w:rsidP="00F36672">
      <w:pPr>
        <w:pStyle w:val="Bodyodsazene"/>
        <w:numPr>
          <w:ilvl w:val="0"/>
          <w:numId w:val="33"/>
        </w:numPr>
        <w:jc w:val="both"/>
      </w:pPr>
      <w:r>
        <w:t>Správce FF za souhlasu ŘO uzavře se správcem Fondu (případně se správci alternativních finančních nástrojů) dohodu o financování, na jehož základě převede tranši alokace FN z evropských prostředků a národního spolufinancování na principu ex-ante financování. ŘO s tematicky příbuznými oblastmi zaměření se mohou zapojit do implementační struktury na úrovni Fondu, případně jednotlivých podfondů. Prostředky v rámci jednotlivých prioritních os/specifických cílů/opatření jsou dále spravovány na úrovni podfondů.</w:t>
      </w:r>
    </w:p>
    <w:p w:rsidR="00F36672" w:rsidRDefault="00F36672" w:rsidP="00F36672">
      <w:pPr>
        <w:pStyle w:val="Bodyodsazene"/>
        <w:numPr>
          <w:ilvl w:val="0"/>
          <w:numId w:val="33"/>
        </w:numPr>
        <w:jc w:val="both"/>
      </w:pPr>
      <w:r>
        <w:t>Správce fondu za souhlasu ŘO v případě potřeby uzavře dohodu o financování</w:t>
      </w:r>
      <w:r w:rsidR="00C71A3C">
        <w:t xml:space="preserve"> s finančním zprostředkovatelem, </w:t>
      </w:r>
      <w:r>
        <w:t xml:space="preserve">která určuje činnosti vykonávané finančním zprostředkovatelem a způsob převodu a správy prostředků. </w:t>
      </w:r>
      <w:r w:rsidRPr="003D70DA">
        <w:t>Dodavatel doporučuje v případě specifického nástroje IROP postupovat otevřenou rámcovou spolupráci s více vhodnými finančními zprostředkovateli současně, která zabezpečí vyšší míru dostupnosti nabídky finančního nástroje v území.</w:t>
      </w:r>
      <w:r>
        <w:rPr>
          <w:rStyle w:val="Znakapoznpodarou"/>
        </w:rPr>
        <w:footnoteReference w:id="8"/>
      </w:r>
      <w:r w:rsidRPr="003D70DA">
        <w:t xml:space="preserve"> </w:t>
      </w:r>
      <w:r>
        <w:t>V případě zřízení sdílených fondových struktur více řídícími orgány doporučuje dodavatel ŘO uzavřít smlouvu o poskytování služeb (delegační dohodu) s administrátorem (v případě IROP může být vhodným administrátorem SFRB), v rámci níž specifikuje činnosti zajišťované administrátorem.</w:t>
      </w:r>
    </w:p>
    <w:p w:rsidR="00F36672" w:rsidRDefault="00F36672" w:rsidP="00F36672">
      <w:pPr>
        <w:pStyle w:val="Bodyodsazene"/>
        <w:numPr>
          <w:ilvl w:val="0"/>
          <w:numId w:val="33"/>
        </w:numPr>
        <w:jc w:val="both"/>
      </w:pPr>
      <w:r>
        <w:t>Správce fondu, případně smluvně určený subjekt (finanční zprostředkovatel, administrátor) vyhlásí výzvu na realizaci finančního nástroje. Koneční uživatelé předkládají žádosti o podporu na základě Pravidel pro žadatele</w:t>
      </w:r>
      <w:r w:rsidR="00C71A3C">
        <w:t xml:space="preserve"> a příjemce</w:t>
      </w:r>
      <w:r>
        <w:t xml:space="preserve">. Žádosti jsou předkládané subjektu určenému v pravidlech. Subjektem přijímajícím žádosti může být správce fondu/finanční zprostředkovatel/administrátor. Rozdělení činností je stanoveno ve smlouvách mezi správcem fondu, administrátorem a finančním zprostředkovatelem – dle předchozích závěrů dodavatel doporučuje jako kontaktní místo stanovit právě finanční zprostředkovatele. Vyhodnocování žádostí provádí správce fondu, případně subjekt, na níž smluvně tuto činnost správce delegoval (finanční zprostředkovatel, administrátor). </w:t>
      </w:r>
    </w:p>
    <w:p w:rsidR="00F36672" w:rsidRDefault="00F36672" w:rsidP="00F36672">
      <w:pPr>
        <w:pStyle w:val="Bodyodsazene"/>
        <w:numPr>
          <w:ilvl w:val="0"/>
          <w:numId w:val="33"/>
        </w:numPr>
        <w:jc w:val="both"/>
      </w:pPr>
      <w:r>
        <w:t xml:space="preserve">Schválení projektů k realizaci provádí investiční rada fondu, případně investiční rada podfondu, v níž jsou zastoupeni zástupci řídicího orgánu a dalších zapojených subjektů. </w:t>
      </w:r>
    </w:p>
    <w:p w:rsidR="000D32A5" w:rsidRDefault="000D32A5" w:rsidP="000D32A5">
      <w:pPr>
        <w:pStyle w:val="Nadpis4"/>
      </w:pPr>
      <w:bookmarkStart w:id="111" w:name="_Toc413183922"/>
      <w:bookmarkStart w:id="112" w:name="_Toc413183923"/>
      <w:r>
        <w:t>Popis rolí v rámci implementace IFN</w:t>
      </w:r>
      <w:bookmarkEnd w:id="111"/>
      <w:r>
        <w:t xml:space="preserve">  </w:t>
      </w:r>
    </w:p>
    <w:p w:rsidR="000D32A5" w:rsidRDefault="000D32A5" w:rsidP="000D32A5">
      <w:r>
        <w:t xml:space="preserve">Následující kapitola obsahuje definici rolí v rámci implementační struktury, vhodné subjekty pro zapojení na jednotlivých úrovních a včetně základního popisu a vymezení zajišťovaných činností. </w:t>
      </w:r>
    </w:p>
    <w:p w:rsidR="000D32A5" w:rsidRDefault="000D32A5" w:rsidP="000D32A5">
      <w:pPr>
        <w:pStyle w:val="Highlight2"/>
      </w:pPr>
      <w:r>
        <w:t>Řídicí orgán</w:t>
      </w:r>
    </w:p>
    <w:p w:rsidR="000D32A5" w:rsidRDefault="000D32A5" w:rsidP="000D32A5">
      <w:pPr>
        <w:pStyle w:val="BodyText1"/>
        <w:rPr>
          <w:i/>
        </w:rPr>
      </w:pPr>
      <w:r>
        <w:t>Řídicí orgán</w:t>
      </w:r>
      <w:r w:rsidRPr="00D20870">
        <w:t xml:space="preserve"> </w:t>
      </w:r>
      <w:r>
        <w:t>zajišťuje ve vztahu k finančním nástrojům zejména následující činnosti:</w:t>
      </w:r>
    </w:p>
    <w:p w:rsidR="000D32A5" w:rsidRPr="00D20870" w:rsidRDefault="000D32A5" w:rsidP="000D32A5">
      <w:pPr>
        <w:pStyle w:val="BodyText1"/>
        <w:numPr>
          <w:ilvl w:val="0"/>
          <w:numId w:val="29"/>
        </w:numPr>
        <w:spacing w:before="120"/>
        <w:ind w:left="567" w:hanging="283"/>
      </w:pPr>
      <w:r w:rsidRPr="00D20870">
        <w:t xml:space="preserve">Připravuje a realizuje udělení dotace </w:t>
      </w:r>
      <w:r w:rsidR="003739E3">
        <w:t>FF</w:t>
      </w:r>
      <w:r w:rsidR="003739E3" w:rsidRPr="00D20870">
        <w:t xml:space="preserve"> </w:t>
      </w:r>
      <w:r w:rsidRPr="00D20870">
        <w:t>(resp. Fondu), případně jiný smluvní vztah, zajišťuje vydání RoPD a případné změny</w:t>
      </w:r>
      <w:r>
        <w:t>;</w:t>
      </w:r>
    </w:p>
    <w:p w:rsidR="000D32A5" w:rsidRPr="00D20870" w:rsidRDefault="000D32A5" w:rsidP="000D32A5">
      <w:pPr>
        <w:pStyle w:val="BodyText1"/>
        <w:numPr>
          <w:ilvl w:val="0"/>
          <w:numId w:val="29"/>
        </w:numPr>
        <w:spacing w:before="120"/>
        <w:ind w:left="567" w:hanging="283"/>
      </w:pPr>
      <w:r w:rsidRPr="00D20870">
        <w:t>Připravuje investiční strategii ve spolupráci se správcem FF a správci fondů</w:t>
      </w:r>
      <w:r>
        <w:t>;</w:t>
      </w:r>
    </w:p>
    <w:p w:rsidR="000D32A5" w:rsidRPr="00D20870" w:rsidRDefault="000D32A5" w:rsidP="000D32A5">
      <w:pPr>
        <w:pStyle w:val="BodyText1"/>
        <w:numPr>
          <w:ilvl w:val="0"/>
          <w:numId w:val="29"/>
        </w:numPr>
        <w:spacing w:before="120"/>
        <w:ind w:left="567" w:hanging="283"/>
      </w:pPr>
      <w:r w:rsidRPr="00D20870">
        <w:t>Připravuje řídící dokumentaci</w:t>
      </w:r>
      <w:r>
        <w:t>;</w:t>
      </w:r>
    </w:p>
    <w:p w:rsidR="000D32A5" w:rsidRPr="00D20870" w:rsidRDefault="000D32A5" w:rsidP="000D32A5">
      <w:pPr>
        <w:pStyle w:val="BodyText1"/>
        <w:numPr>
          <w:ilvl w:val="0"/>
          <w:numId w:val="29"/>
        </w:numPr>
        <w:spacing w:before="120"/>
        <w:ind w:left="567" w:hanging="283"/>
      </w:pPr>
      <w:r w:rsidRPr="00D20870">
        <w:t>Odpovídá za kontrolu realizace IFN</w:t>
      </w:r>
      <w:r>
        <w:t>;</w:t>
      </w:r>
    </w:p>
    <w:p w:rsidR="000D32A5" w:rsidRPr="00D20870" w:rsidRDefault="000D32A5" w:rsidP="000D32A5">
      <w:pPr>
        <w:pStyle w:val="BodyText1"/>
        <w:numPr>
          <w:ilvl w:val="0"/>
          <w:numId w:val="29"/>
        </w:numPr>
        <w:spacing w:before="120"/>
        <w:ind w:left="567" w:hanging="283"/>
      </w:pPr>
      <w:r w:rsidRPr="00D20870">
        <w:t>Zajišťuje rozpočtování prostředků na realizaci FN ve své kapitole</w:t>
      </w:r>
      <w:r>
        <w:t>;</w:t>
      </w:r>
    </w:p>
    <w:p w:rsidR="000D32A5" w:rsidRPr="00D20870" w:rsidRDefault="000D32A5" w:rsidP="000D32A5">
      <w:pPr>
        <w:pStyle w:val="BodyText1"/>
        <w:numPr>
          <w:ilvl w:val="0"/>
          <w:numId w:val="29"/>
        </w:numPr>
        <w:spacing w:before="120"/>
        <w:ind w:left="567" w:hanging="283"/>
      </w:pPr>
      <w:r w:rsidRPr="00D20870">
        <w:t>Provádí kontrolu plnění smluvních podmínek</w:t>
      </w:r>
      <w:r>
        <w:t xml:space="preserve"> – vůči zřízenému fondu a jeho správci;</w:t>
      </w:r>
    </w:p>
    <w:p w:rsidR="000D32A5" w:rsidRPr="00D20870" w:rsidRDefault="000D32A5" w:rsidP="000D32A5">
      <w:pPr>
        <w:pStyle w:val="BodyText1"/>
        <w:numPr>
          <w:ilvl w:val="0"/>
          <w:numId w:val="29"/>
        </w:numPr>
        <w:spacing w:before="120"/>
        <w:ind w:left="567" w:hanging="283"/>
      </w:pPr>
      <w:r w:rsidRPr="00D20870">
        <w:t xml:space="preserve">Nese </w:t>
      </w:r>
      <w:r>
        <w:t xml:space="preserve">konečnou </w:t>
      </w:r>
      <w:r w:rsidRPr="00D20870">
        <w:t>odpovědnost za správu prostředků</w:t>
      </w:r>
      <w:r>
        <w:t>;</w:t>
      </w:r>
    </w:p>
    <w:p w:rsidR="000D32A5" w:rsidRPr="00D20870" w:rsidRDefault="000D32A5" w:rsidP="000D32A5">
      <w:pPr>
        <w:pStyle w:val="BodyText1"/>
        <w:numPr>
          <w:ilvl w:val="0"/>
          <w:numId w:val="29"/>
        </w:numPr>
        <w:spacing w:before="120"/>
        <w:ind w:left="567" w:hanging="283"/>
      </w:pPr>
      <w:r w:rsidRPr="00D20870">
        <w:t>Zodpovídá za celkové řízení a kontrolu operací při realizaci FN</w:t>
      </w:r>
      <w:r>
        <w:t>;</w:t>
      </w:r>
    </w:p>
    <w:p w:rsidR="000D32A5" w:rsidRDefault="000D32A5" w:rsidP="000D32A5">
      <w:pPr>
        <w:pStyle w:val="BodyText1"/>
        <w:numPr>
          <w:ilvl w:val="0"/>
          <w:numId w:val="29"/>
        </w:numPr>
        <w:spacing w:before="120"/>
        <w:ind w:left="567" w:hanging="283"/>
      </w:pPr>
      <w:r>
        <w:t>Provádí kontrolu na místě u příjemce (Fond fondů nebo Investiční nástroj) na vybraném vzorku operací, řeší nesrovnalosti a v případě zjištění nesrovnalostí očistí o zjištěné nesrovnalosti.</w:t>
      </w:r>
    </w:p>
    <w:p w:rsidR="000D32A5" w:rsidRDefault="000D32A5" w:rsidP="000D32A5">
      <w:pPr>
        <w:spacing w:after="0"/>
        <w:jc w:val="left"/>
        <w:rPr>
          <w:b/>
          <w:color w:val="92D400" w:themeColor="accent2"/>
          <w:sz w:val="20"/>
        </w:rPr>
      </w:pPr>
    </w:p>
    <w:p w:rsidR="000D32A5" w:rsidRDefault="000D32A5" w:rsidP="000D32A5">
      <w:pPr>
        <w:pStyle w:val="Highlight2"/>
      </w:pPr>
      <w:r>
        <w:t>Úroveň fond fondů</w:t>
      </w:r>
    </w:p>
    <w:p w:rsidR="000D32A5" w:rsidRPr="0050698A" w:rsidRDefault="000D32A5" w:rsidP="000D32A5">
      <w:pPr>
        <w:keepNext/>
        <w:spacing w:before="120"/>
        <w:rPr>
          <w:szCs w:val="16"/>
        </w:rPr>
      </w:pPr>
      <w:r>
        <w:t xml:space="preserve">Správce fondu fondů plní svoje role na základě zákonného ustanovení, na základě dohody o financování (jejíž součástí je investiční strategie) a na základě rozhodnutí o poskytnutí dotace/jiném ujednání o převedení prostředků operačních programů. Správce fondu fondů může se souhlasem řídicích orgánů uzavírat dohody o financování s dalšími subjekty implementační struktury, zejména se správci finančních nástrojů a finančními zprostředkovateli. </w:t>
      </w:r>
      <w:r w:rsidRPr="0050698A">
        <w:t>S cílem zachování možnosti řízení prostředků v kompetenci ŘO mohou řídicí orgány uzavřít s Fondem fondů smlouvy alternativní k dohodě o financování, na jejichž základě by se Fond fondů zavázal ke správě a nakládání se svěřenými prostředky a k zajišťování služeb kolektivního investování, prostředky by nicméně zůstali ve vlastnictví ŘO.</w:t>
      </w:r>
      <w:r>
        <w:t xml:space="preserve"> </w:t>
      </w:r>
      <w:r w:rsidRPr="0050698A">
        <w:t>Výše uvedený alternativní návrh ale musí být před realiz</w:t>
      </w:r>
      <w:r>
        <w:t>ací schválen ze strany MF a EK, resp. musí mu předcházet změna související legislativy.</w:t>
      </w:r>
    </w:p>
    <w:p w:rsidR="000D32A5" w:rsidRPr="00D20870" w:rsidRDefault="000D32A5" w:rsidP="000D32A5">
      <w:pPr>
        <w:pStyle w:val="BodyText1"/>
      </w:pPr>
      <w:r>
        <w:t xml:space="preserve">Fond </w:t>
      </w:r>
      <w:r w:rsidRPr="00D20870">
        <w:t xml:space="preserve">fondů, resp. jeho správce, </w:t>
      </w:r>
      <w:r>
        <w:t xml:space="preserve">zajišťuje ve vztahu k finančním nástrojům </w:t>
      </w:r>
      <w:r w:rsidRPr="00D20870">
        <w:t>zejména následující činnosti:</w:t>
      </w:r>
    </w:p>
    <w:p w:rsidR="000D32A5" w:rsidRPr="00D20870" w:rsidRDefault="000D32A5" w:rsidP="000D32A5">
      <w:pPr>
        <w:pStyle w:val="BodyText1"/>
        <w:numPr>
          <w:ilvl w:val="0"/>
          <w:numId w:val="29"/>
        </w:numPr>
        <w:spacing w:before="120"/>
        <w:ind w:left="567" w:hanging="283"/>
        <w:jc w:val="both"/>
      </w:pPr>
      <w:r w:rsidRPr="00D20870">
        <w:t>Zpracov</w:t>
      </w:r>
      <w:r>
        <w:t>ává</w:t>
      </w:r>
      <w:r w:rsidRPr="00D20870">
        <w:t xml:space="preserve"> řídící a kontrolní systém (předloží ŘO ke schválení) – zejména následující: Organizační struktura FN, začlenění </w:t>
      </w:r>
      <w:r w:rsidR="003739E3">
        <w:t>FF</w:t>
      </w:r>
      <w:r w:rsidR="003739E3" w:rsidRPr="00D20870">
        <w:t xml:space="preserve"> </w:t>
      </w:r>
      <w:r w:rsidRPr="00D20870">
        <w:t xml:space="preserve">v rámci správce, pravomoci, funkce a úkoly subjektů podílejících se na realizaci FN, popis účetního systému </w:t>
      </w:r>
      <w:r w:rsidR="003739E3">
        <w:t>FF</w:t>
      </w:r>
      <w:r w:rsidRPr="00D20870">
        <w:t xml:space="preserve">, popis informačního systému </w:t>
      </w:r>
      <w:r w:rsidR="003739E3">
        <w:t>FF</w:t>
      </w:r>
      <w:r w:rsidRPr="00D20870">
        <w:t xml:space="preserve">, vnitřní kontrolní systém </w:t>
      </w:r>
      <w:r w:rsidR="003739E3">
        <w:t>FF</w:t>
      </w:r>
      <w:r w:rsidRPr="00D20870">
        <w:t>, organizační struktura Fondů, systém výběru projektů, kontrolní systém vůči Fondům a konečným uživatelům)</w:t>
      </w:r>
      <w:r>
        <w:t>;</w:t>
      </w:r>
    </w:p>
    <w:p w:rsidR="000D32A5" w:rsidRPr="00D20870" w:rsidRDefault="000D32A5" w:rsidP="000D32A5">
      <w:pPr>
        <w:pStyle w:val="BodyText1"/>
        <w:numPr>
          <w:ilvl w:val="0"/>
          <w:numId w:val="29"/>
        </w:numPr>
        <w:spacing w:before="120"/>
        <w:ind w:left="567" w:hanging="283"/>
        <w:jc w:val="both"/>
      </w:pPr>
      <w:r w:rsidRPr="00D20870">
        <w:t>Připrav</w:t>
      </w:r>
      <w:r>
        <w:t>uje</w:t>
      </w:r>
      <w:r w:rsidRPr="00D20870">
        <w:t xml:space="preserve"> pravidla pro fungování fondů a kritéria, kterými </w:t>
      </w:r>
      <w:r>
        <w:t>se fond řídí při výběru projektů;</w:t>
      </w:r>
    </w:p>
    <w:p w:rsidR="000D32A5" w:rsidRPr="00D20870" w:rsidRDefault="000D32A5" w:rsidP="000D32A5">
      <w:pPr>
        <w:pStyle w:val="BodyText1"/>
        <w:numPr>
          <w:ilvl w:val="0"/>
          <w:numId w:val="29"/>
        </w:numPr>
        <w:spacing w:before="120"/>
        <w:ind w:left="567" w:hanging="283"/>
        <w:jc w:val="both"/>
      </w:pPr>
      <w:r w:rsidRPr="00D20870">
        <w:t>Realiz</w:t>
      </w:r>
      <w:r>
        <w:t>uje</w:t>
      </w:r>
      <w:r w:rsidRPr="00D20870">
        <w:t xml:space="preserve"> investiční strategii dohodnutou s ŘO, prostřednictvím investování do Fondu</w:t>
      </w:r>
      <w:r>
        <w:t>/podfondu/FN;</w:t>
      </w:r>
    </w:p>
    <w:p w:rsidR="000D32A5" w:rsidRPr="00D20870" w:rsidRDefault="000D32A5" w:rsidP="000D32A5">
      <w:pPr>
        <w:pStyle w:val="BodyText1"/>
        <w:numPr>
          <w:ilvl w:val="0"/>
          <w:numId w:val="29"/>
        </w:numPr>
        <w:spacing w:before="120"/>
        <w:ind w:left="567" w:hanging="283"/>
        <w:jc w:val="both"/>
      </w:pPr>
      <w:r w:rsidRPr="00D20870">
        <w:t xml:space="preserve">V součinnosti s ŘO </w:t>
      </w:r>
      <w:r>
        <w:t>zajišťuje</w:t>
      </w:r>
      <w:r w:rsidRPr="00D20870">
        <w:t xml:space="preserve"> VŘ na </w:t>
      </w:r>
      <w:r>
        <w:t>správce F</w:t>
      </w:r>
      <w:r w:rsidRPr="00D20870">
        <w:t>ond</w:t>
      </w:r>
      <w:r>
        <w:t>u;</w:t>
      </w:r>
      <w:r w:rsidRPr="00D20870">
        <w:t xml:space="preserve"> </w:t>
      </w:r>
    </w:p>
    <w:p w:rsidR="000D32A5" w:rsidRPr="00D20870" w:rsidRDefault="000D32A5" w:rsidP="000D32A5">
      <w:pPr>
        <w:pStyle w:val="BodyText1"/>
        <w:numPr>
          <w:ilvl w:val="0"/>
          <w:numId w:val="29"/>
        </w:numPr>
        <w:spacing w:before="120"/>
        <w:ind w:left="567" w:hanging="283"/>
        <w:jc w:val="both"/>
      </w:pPr>
      <w:r w:rsidRPr="00D20870">
        <w:t>Zajišť</w:t>
      </w:r>
      <w:r>
        <w:t>uje finanční toky mezi ŘO a FN;</w:t>
      </w:r>
    </w:p>
    <w:p w:rsidR="000D32A5" w:rsidRPr="00D20870" w:rsidRDefault="000D32A5" w:rsidP="000D32A5">
      <w:pPr>
        <w:pStyle w:val="BodyText1"/>
        <w:numPr>
          <w:ilvl w:val="0"/>
          <w:numId w:val="29"/>
        </w:numPr>
        <w:spacing w:before="120"/>
        <w:ind w:left="567" w:hanging="283"/>
        <w:jc w:val="both"/>
      </w:pPr>
      <w:r w:rsidRPr="00D20870">
        <w:t>Posuz</w:t>
      </w:r>
      <w:r>
        <w:t>uje a odsouhlasuje</w:t>
      </w:r>
      <w:r w:rsidRPr="00D20870">
        <w:t xml:space="preserve"> investiční strategii fondů a podfondů a obchodní plány finančních zprostředkovatelů</w:t>
      </w:r>
      <w:r>
        <w:t>;</w:t>
      </w:r>
    </w:p>
    <w:p w:rsidR="000D32A5" w:rsidRPr="00D20870" w:rsidRDefault="000D32A5" w:rsidP="000D32A5">
      <w:pPr>
        <w:pStyle w:val="BodyText1"/>
        <w:numPr>
          <w:ilvl w:val="0"/>
          <w:numId w:val="29"/>
        </w:numPr>
        <w:spacing w:before="120"/>
        <w:ind w:left="567" w:hanging="283"/>
        <w:jc w:val="both"/>
      </w:pPr>
      <w:r w:rsidRPr="00D20870">
        <w:t>Průběžně kontrol</w:t>
      </w:r>
      <w:r>
        <w:t>uje</w:t>
      </w:r>
      <w:r w:rsidRPr="00D20870">
        <w:t xml:space="preserve"> realizaci investičního (obchodního) plánu a o plnění informuje Řídící orgán</w:t>
      </w:r>
      <w:r>
        <w:t>;</w:t>
      </w:r>
    </w:p>
    <w:p w:rsidR="000D32A5" w:rsidRPr="00D20870" w:rsidRDefault="000D32A5" w:rsidP="000D32A5">
      <w:pPr>
        <w:pStyle w:val="BodyText1"/>
        <w:numPr>
          <w:ilvl w:val="0"/>
          <w:numId w:val="29"/>
        </w:numPr>
        <w:spacing w:before="120"/>
        <w:ind w:left="567" w:hanging="283"/>
        <w:jc w:val="both"/>
      </w:pPr>
      <w:r w:rsidRPr="00D20870">
        <w:t>Vyhodnoc</w:t>
      </w:r>
      <w:r>
        <w:t>uje</w:t>
      </w:r>
      <w:r w:rsidRPr="00D20870">
        <w:t xml:space="preserve"> úspěšnost realizovaných projektů</w:t>
      </w:r>
      <w:r>
        <w:t>;</w:t>
      </w:r>
    </w:p>
    <w:p w:rsidR="000D32A5" w:rsidRPr="00D20870" w:rsidRDefault="000D32A5" w:rsidP="000D32A5">
      <w:pPr>
        <w:pStyle w:val="BodyText1"/>
        <w:numPr>
          <w:ilvl w:val="0"/>
          <w:numId w:val="29"/>
        </w:numPr>
        <w:spacing w:before="120"/>
        <w:ind w:left="567" w:hanging="283"/>
        <w:jc w:val="both"/>
      </w:pPr>
      <w:r w:rsidRPr="00D20870">
        <w:t>Pln</w:t>
      </w:r>
      <w:r>
        <w:t>í</w:t>
      </w:r>
      <w:r w:rsidRPr="00D20870">
        <w:t xml:space="preserve"> povinnosti příjemce (předkládání monitorovacích zpráv atd.)</w:t>
      </w:r>
    </w:p>
    <w:p w:rsidR="000D32A5" w:rsidRPr="00D20870" w:rsidRDefault="000D32A5" w:rsidP="000D32A5">
      <w:pPr>
        <w:pStyle w:val="BodyText1"/>
        <w:numPr>
          <w:ilvl w:val="0"/>
          <w:numId w:val="29"/>
        </w:numPr>
        <w:spacing w:before="120"/>
        <w:ind w:left="567" w:hanging="283"/>
        <w:jc w:val="both"/>
      </w:pPr>
      <w:r>
        <w:t>Nese</w:t>
      </w:r>
      <w:r w:rsidRPr="00D20870">
        <w:t xml:space="preserve"> odpovědnost za nastavení řídících a kontrolních systémů a za vedení oddělené účetní evidence</w:t>
      </w:r>
      <w:r>
        <w:t>;</w:t>
      </w:r>
    </w:p>
    <w:p w:rsidR="000D32A5" w:rsidRPr="00D20870" w:rsidRDefault="000D32A5" w:rsidP="000D32A5">
      <w:pPr>
        <w:pStyle w:val="BodyText1"/>
        <w:numPr>
          <w:ilvl w:val="0"/>
          <w:numId w:val="29"/>
        </w:numPr>
        <w:spacing w:before="120"/>
        <w:ind w:left="567" w:hanging="283"/>
        <w:jc w:val="both"/>
      </w:pPr>
      <w:r w:rsidRPr="00D20870">
        <w:t>Provád</w:t>
      </w:r>
      <w:r>
        <w:t>í kontrolu výkonu činností fondů;</w:t>
      </w:r>
    </w:p>
    <w:p w:rsidR="000D32A5" w:rsidRPr="00D20870" w:rsidRDefault="000D32A5" w:rsidP="000D32A5">
      <w:pPr>
        <w:pStyle w:val="BodyText1"/>
        <w:numPr>
          <w:ilvl w:val="0"/>
          <w:numId w:val="29"/>
        </w:numPr>
        <w:spacing w:before="120"/>
        <w:ind w:left="567" w:hanging="283"/>
        <w:jc w:val="both"/>
      </w:pPr>
      <w:r w:rsidRPr="00D20870">
        <w:t>N</w:t>
      </w:r>
      <w:r>
        <w:t>ese</w:t>
      </w:r>
      <w:r w:rsidRPr="00D20870">
        <w:t xml:space="preserve"> odpovědnost za správu poskytnutých prostředků</w:t>
      </w:r>
      <w:r>
        <w:t>;</w:t>
      </w:r>
    </w:p>
    <w:p w:rsidR="000D32A5" w:rsidRPr="00D20870" w:rsidRDefault="000D32A5" w:rsidP="000D32A5">
      <w:pPr>
        <w:pStyle w:val="BodyText1"/>
        <w:numPr>
          <w:ilvl w:val="0"/>
          <w:numId w:val="29"/>
        </w:numPr>
        <w:spacing w:before="120"/>
        <w:ind w:left="567" w:hanging="283"/>
      </w:pPr>
      <w:r w:rsidRPr="00D20870">
        <w:t>Zajišť</w:t>
      </w:r>
      <w:r>
        <w:t>uje</w:t>
      </w:r>
      <w:r w:rsidRPr="00D20870">
        <w:t xml:space="preserve"> smluvní vztahy s realizátory projektů</w:t>
      </w:r>
      <w:r>
        <w:t>;</w:t>
      </w:r>
    </w:p>
    <w:p w:rsidR="000D32A5" w:rsidRPr="00D20870" w:rsidRDefault="000D32A5" w:rsidP="000D32A5">
      <w:pPr>
        <w:pStyle w:val="BodyText1"/>
        <w:numPr>
          <w:ilvl w:val="0"/>
          <w:numId w:val="29"/>
        </w:numPr>
        <w:spacing w:before="120"/>
        <w:ind w:left="567" w:hanging="283"/>
      </w:pPr>
      <w:r>
        <w:t>Nese</w:t>
      </w:r>
      <w:r w:rsidRPr="00D20870">
        <w:t xml:space="preserve"> zodpovědnost za dodržení podmínek realizace projektů</w:t>
      </w:r>
      <w:r>
        <w:t>;</w:t>
      </w:r>
    </w:p>
    <w:p w:rsidR="000D32A5" w:rsidRPr="00D20870" w:rsidRDefault="000D32A5" w:rsidP="000D32A5">
      <w:pPr>
        <w:pStyle w:val="BodyText1"/>
        <w:numPr>
          <w:ilvl w:val="0"/>
          <w:numId w:val="29"/>
        </w:numPr>
        <w:spacing w:before="120"/>
        <w:ind w:left="567" w:hanging="283"/>
      </w:pPr>
      <w:r>
        <w:t>Nese</w:t>
      </w:r>
      <w:r w:rsidRPr="00D20870">
        <w:t xml:space="preserve"> zodpovědnost za vrácení investovaných prostředků zpět na úroveň </w:t>
      </w:r>
      <w:r w:rsidR="003739E3">
        <w:t>FF</w:t>
      </w:r>
      <w:r>
        <w:t>;</w:t>
      </w:r>
    </w:p>
    <w:p w:rsidR="000D32A5" w:rsidRPr="00D20870" w:rsidRDefault="000D32A5" w:rsidP="000D32A5">
      <w:pPr>
        <w:pStyle w:val="BodyText1"/>
        <w:numPr>
          <w:ilvl w:val="0"/>
          <w:numId w:val="29"/>
        </w:numPr>
        <w:spacing w:before="120"/>
        <w:ind w:left="567" w:hanging="283"/>
      </w:pPr>
      <w:r>
        <w:t>Nese</w:t>
      </w:r>
      <w:r w:rsidRPr="00D20870">
        <w:t xml:space="preserve"> zodpovědnost za vymáhání nesplacených úvěrů a o jejich výši informovat prostřednictvím </w:t>
      </w:r>
      <w:r w:rsidR="003739E3">
        <w:t>FF</w:t>
      </w:r>
      <w:r w:rsidR="003739E3" w:rsidRPr="00D20870">
        <w:t xml:space="preserve"> </w:t>
      </w:r>
      <w:r w:rsidRPr="00D20870">
        <w:t>řídicí orgán</w:t>
      </w:r>
      <w:r>
        <w:t>;</w:t>
      </w:r>
    </w:p>
    <w:p w:rsidR="000D32A5" w:rsidRPr="00D20870" w:rsidRDefault="000D32A5" w:rsidP="000D32A5">
      <w:pPr>
        <w:pStyle w:val="BodyText1"/>
        <w:numPr>
          <w:ilvl w:val="0"/>
          <w:numId w:val="29"/>
        </w:numPr>
        <w:spacing w:before="120"/>
        <w:ind w:left="567" w:hanging="283"/>
      </w:pPr>
      <w:r w:rsidRPr="00D20870">
        <w:t>Zpracováv</w:t>
      </w:r>
      <w:r>
        <w:t>á</w:t>
      </w:r>
      <w:r w:rsidRPr="00D20870">
        <w:t xml:space="preserve"> pravidelné zprávy o stavu realizace FN pro </w:t>
      </w:r>
      <w:r w:rsidR="003739E3">
        <w:t>FF</w:t>
      </w:r>
      <w:r>
        <w:t>;</w:t>
      </w:r>
    </w:p>
    <w:p w:rsidR="000D32A5" w:rsidRPr="00D20870" w:rsidRDefault="000D32A5" w:rsidP="000D32A5">
      <w:pPr>
        <w:pStyle w:val="BodyText1"/>
        <w:numPr>
          <w:ilvl w:val="0"/>
          <w:numId w:val="29"/>
        </w:numPr>
        <w:spacing w:before="120"/>
        <w:ind w:left="567" w:hanging="283"/>
      </w:pPr>
      <w:r w:rsidRPr="00D20870">
        <w:t>Asist</w:t>
      </w:r>
      <w:r>
        <w:t>uje</w:t>
      </w:r>
      <w:r w:rsidRPr="00D20870">
        <w:t xml:space="preserve"> ŘO při procesech vykazování a notifikacích veřejných podpor</w:t>
      </w:r>
      <w:r>
        <w:t>;</w:t>
      </w:r>
    </w:p>
    <w:p w:rsidR="000D32A5" w:rsidRPr="00D20870" w:rsidRDefault="000D32A5" w:rsidP="000D32A5">
      <w:pPr>
        <w:pStyle w:val="BodyText1"/>
        <w:numPr>
          <w:ilvl w:val="0"/>
          <w:numId w:val="29"/>
        </w:numPr>
        <w:spacing w:before="120"/>
        <w:ind w:left="567" w:hanging="283"/>
      </w:pPr>
      <w:r w:rsidRPr="00D20870">
        <w:t>U</w:t>
      </w:r>
      <w:r>
        <w:t>schovává</w:t>
      </w:r>
      <w:r w:rsidRPr="00D20870">
        <w:t xml:space="preserve"> veškeré dokumenty související s realizací FN</w:t>
      </w:r>
      <w:r>
        <w:t>;</w:t>
      </w:r>
    </w:p>
    <w:p w:rsidR="000D32A5" w:rsidRPr="00D20870" w:rsidRDefault="000D32A5" w:rsidP="000D32A5">
      <w:pPr>
        <w:pStyle w:val="BodyText1"/>
        <w:numPr>
          <w:ilvl w:val="0"/>
          <w:numId w:val="29"/>
        </w:numPr>
        <w:spacing w:before="120"/>
        <w:ind w:left="567" w:hanging="283"/>
      </w:pPr>
      <w:r w:rsidRPr="00D20870">
        <w:t>Zajišť</w:t>
      </w:r>
      <w:r>
        <w:t>uje</w:t>
      </w:r>
      <w:r w:rsidRPr="00D20870">
        <w:t xml:space="preserve"> informování a propagaci</w:t>
      </w:r>
      <w:r>
        <w:t>;</w:t>
      </w:r>
    </w:p>
    <w:p w:rsidR="000D32A5" w:rsidRPr="00D20870" w:rsidRDefault="000D32A5" w:rsidP="000D32A5">
      <w:pPr>
        <w:pStyle w:val="BodyText1"/>
        <w:numPr>
          <w:ilvl w:val="0"/>
          <w:numId w:val="29"/>
        </w:numPr>
        <w:spacing w:before="120"/>
        <w:ind w:left="567" w:hanging="283"/>
      </w:pPr>
      <w:r w:rsidRPr="00D20870">
        <w:t>Předklád</w:t>
      </w:r>
      <w:r>
        <w:t>á</w:t>
      </w:r>
      <w:r w:rsidRPr="00D20870">
        <w:t xml:space="preserve"> ŘO Zprávu o realizaci FN/fondu fondů</w:t>
      </w:r>
      <w:r>
        <w:t>;</w:t>
      </w:r>
    </w:p>
    <w:p w:rsidR="000D32A5" w:rsidRDefault="000D32A5" w:rsidP="000D32A5">
      <w:pPr>
        <w:pStyle w:val="BodyText1"/>
        <w:numPr>
          <w:ilvl w:val="0"/>
          <w:numId w:val="29"/>
        </w:numPr>
        <w:spacing w:before="120"/>
        <w:ind w:left="567" w:hanging="283"/>
      </w:pPr>
      <w:r w:rsidRPr="00D20870">
        <w:t>Zpracováv</w:t>
      </w:r>
      <w:r>
        <w:t>á</w:t>
      </w:r>
      <w:r w:rsidRPr="00D20870">
        <w:t xml:space="preserve"> žádost o ex-ante platb</w:t>
      </w:r>
      <w:r>
        <w:t>u ke schválení souhrnné žádosti;</w:t>
      </w:r>
    </w:p>
    <w:p w:rsidR="000D32A5" w:rsidRPr="00D20870" w:rsidRDefault="000D32A5" w:rsidP="000D32A5">
      <w:pPr>
        <w:pStyle w:val="BodyText1"/>
        <w:numPr>
          <w:ilvl w:val="0"/>
          <w:numId w:val="29"/>
        </w:numPr>
        <w:spacing w:before="120"/>
        <w:ind w:left="567" w:hanging="283"/>
      </w:pPr>
      <w:r w:rsidRPr="00D20870">
        <w:t>Uzavír</w:t>
      </w:r>
      <w:r>
        <w:t>á</w:t>
      </w:r>
      <w:r w:rsidRPr="00D20870">
        <w:t xml:space="preserve"> dohody o financování a rozhodnutí o poskytnutí dotace s Fondy/FN</w:t>
      </w:r>
      <w:r>
        <w:t>.</w:t>
      </w:r>
    </w:p>
    <w:p w:rsidR="000D32A5" w:rsidRPr="00D20870" w:rsidRDefault="000D32A5" w:rsidP="000D32A5">
      <w:pPr>
        <w:pStyle w:val="BodyText1"/>
        <w:ind w:left="74"/>
      </w:pPr>
    </w:p>
    <w:p w:rsidR="000D32A5" w:rsidRDefault="000D32A5" w:rsidP="000D32A5">
      <w:pPr>
        <w:pStyle w:val="Deloittebodytext"/>
        <w:jc w:val="both"/>
      </w:pPr>
      <w:r>
        <w:t xml:space="preserve">Výše uvedené role jsou zčásti společné i pro úroveň finančního nástroje. V případě, že nebude zřízen fond fondů, bude muset správce fondu na úrovni finančního nástroje převzít i tyto role. Není tak úplně možné striktně oddělit role vlastní pouze správci fondu fondů nebo naopak správci finančního nástroje a role uvedené v dalším textu se mohou opakovat. </w:t>
      </w:r>
    </w:p>
    <w:p w:rsidR="000D32A5" w:rsidRDefault="000D32A5" w:rsidP="000D32A5">
      <w:pPr>
        <w:pStyle w:val="Deloittebodytext"/>
        <w:jc w:val="both"/>
      </w:pPr>
    </w:p>
    <w:p w:rsidR="000D32A5" w:rsidRDefault="000D32A5" w:rsidP="000D32A5">
      <w:pPr>
        <w:pStyle w:val="Highlight2"/>
      </w:pPr>
      <w:r>
        <w:t>Úroveň finančního nástroje (role správce fondu a zprostředkovatele/ů)</w:t>
      </w:r>
    </w:p>
    <w:p w:rsidR="000D32A5" w:rsidRDefault="000D32A5" w:rsidP="000D32A5">
      <w:pPr>
        <w:pStyle w:val="BodyText1"/>
        <w:numPr>
          <w:ilvl w:val="0"/>
          <w:numId w:val="29"/>
        </w:numPr>
        <w:spacing w:before="120"/>
        <w:ind w:left="567" w:hanging="283"/>
        <w:jc w:val="both"/>
      </w:pPr>
      <w:r>
        <w:t xml:space="preserve">Realizuje </w:t>
      </w:r>
      <w:r w:rsidRPr="00D34D0A">
        <w:t>investiční strategii nebo politiku včetně prováděcích ustanovení</w:t>
      </w:r>
      <w:r>
        <w:t xml:space="preserve"> definovaných v dohodě o financování; </w:t>
      </w:r>
    </w:p>
    <w:p w:rsidR="000D32A5" w:rsidRDefault="000D32A5" w:rsidP="000D32A5">
      <w:pPr>
        <w:pStyle w:val="BodyText1"/>
        <w:numPr>
          <w:ilvl w:val="0"/>
          <w:numId w:val="29"/>
        </w:numPr>
        <w:spacing w:before="120"/>
        <w:ind w:left="567" w:hanging="283"/>
        <w:jc w:val="both"/>
      </w:pPr>
      <w:r>
        <w:t>Vyhodnocuje způsobilost projektů (předložených žadateli) ve smyslu způsobilosti poskytované podpory IROP</w:t>
      </w:r>
    </w:p>
    <w:p w:rsidR="000D32A5" w:rsidRPr="00D20870" w:rsidRDefault="000D32A5" w:rsidP="000D32A5">
      <w:pPr>
        <w:pStyle w:val="BodyText1"/>
        <w:numPr>
          <w:ilvl w:val="0"/>
          <w:numId w:val="29"/>
        </w:numPr>
        <w:spacing w:before="120"/>
        <w:ind w:left="567" w:hanging="283"/>
      </w:pPr>
      <w:r>
        <w:t xml:space="preserve">Provádí ekonomické vyhodnocení předložených projektů (vyhodnocuje bonitu žadatelů, smysluplnost projektů atd.) V případě existence zprostředkovatele může být pověřen výkonem této činnosti zprostředkovatel; </w:t>
      </w:r>
    </w:p>
    <w:p w:rsidR="000D32A5" w:rsidRDefault="000D32A5" w:rsidP="000D32A5">
      <w:pPr>
        <w:pStyle w:val="BodyText1"/>
        <w:numPr>
          <w:ilvl w:val="0"/>
          <w:numId w:val="29"/>
        </w:numPr>
        <w:spacing w:before="120"/>
        <w:ind w:left="567" w:hanging="283"/>
        <w:jc w:val="both"/>
      </w:pPr>
      <w:r>
        <w:t>Nese</w:t>
      </w:r>
      <w:r w:rsidRPr="00D20870">
        <w:t xml:space="preserve"> odpovědnost za nastavení řídících a kontrolních systémů a za vedení oddělené účetní evidence</w:t>
      </w:r>
      <w:r>
        <w:t>;</w:t>
      </w:r>
    </w:p>
    <w:p w:rsidR="000D32A5" w:rsidRPr="00D20870" w:rsidRDefault="000D32A5" w:rsidP="000D32A5">
      <w:pPr>
        <w:pStyle w:val="BodyText1"/>
        <w:numPr>
          <w:ilvl w:val="0"/>
          <w:numId w:val="29"/>
        </w:numPr>
        <w:spacing w:before="120"/>
        <w:ind w:left="567" w:hanging="283"/>
        <w:jc w:val="both"/>
      </w:pPr>
      <w:r w:rsidRPr="00D20870">
        <w:t>Vyhodnoc</w:t>
      </w:r>
      <w:r>
        <w:t>uje</w:t>
      </w:r>
      <w:r w:rsidRPr="00D20870">
        <w:t xml:space="preserve"> úspěšnost realizovaných projektů</w:t>
      </w:r>
      <w:r>
        <w:t>;</w:t>
      </w:r>
    </w:p>
    <w:p w:rsidR="000D32A5" w:rsidRPr="00D20870" w:rsidRDefault="000D32A5" w:rsidP="000D32A5">
      <w:pPr>
        <w:pStyle w:val="BodyText1"/>
        <w:numPr>
          <w:ilvl w:val="0"/>
          <w:numId w:val="29"/>
        </w:numPr>
        <w:spacing w:before="120"/>
        <w:ind w:left="567" w:hanging="283"/>
      </w:pPr>
      <w:r w:rsidRPr="00D20870">
        <w:t>Sprav</w:t>
      </w:r>
      <w:r>
        <w:t>uje</w:t>
      </w:r>
      <w:r w:rsidRPr="00D20870">
        <w:t xml:space="preserve"> prostředky přidělené ve prospěch FN</w:t>
      </w:r>
      <w:r>
        <w:t>;</w:t>
      </w:r>
    </w:p>
    <w:p w:rsidR="000D32A5" w:rsidRPr="00D20870" w:rsidRDefault="000D32A5" w:rsidP="000D32A5">
      <w:pPr>
        <w:pStyle w:val="BodyText1"/>
        <w:numPr>
          <w:ilvl w:val="0"/>
          <w:numId w:val="29"/>
        </w:numPr>
        <w:spacing w:before="120"/>
        <w:ind w:left="567" w:hanging="283"/>
      </w:pPr>
      <w:r w:rsidRPr="00D20870">
        <w:t>Zajišť</w:t>
      </w:r>
      <w:r>
        <w:t>uje</w:t>
      </w:r>
      <w:r w:rsidRPr="00D20870">
        <w:t xml:space="preserve"> smluvní vztahy s realizátory projektů</w:t>
      </w:r>
      <w:r>
        <w:t xml:space="preserve"> (v případě existence zprostředkovatele může být pověřen zprostředkovatel); </w:t>
      </w:r>
    </w:p>
    <w:p w:rsidR="000D32A5" w:rsidRPr="00D20870" w:rsidRDefault="000D32A5" w:rsidP="000D32A5">
      <w:pPr>
        <w:pStyle w:val="BodyText1"/>
        <w:numPr>
          <w:ilvl w:val="0"/>
          <w:numId w:val="29"/>
        </w:numPr>
        <w:spacing w:before="120"/>
        <w:ind w:left="567" w:hanging="283"/>
      </w:pPr>
      <w:r>
        <w:t>Nese</w:t>
      </w:r>
      <w:r w:rsidRPr="00D20870">
        <w:t xml:space="preserve"> zodpovědnost za dodržení podmínek realizace projektů</w:t>
      </w:r>
      <w:r>
        <w:t>;</w:t>
      </w:r>
    </w:p>
    <w:p w:rsidR="000D32A5" w:rsidRPr="00D20870" w:rsidRDefault="000D32A5" w:rsidP="000D32A5">
      <w:pPr>
        <w:pStyle w:val="BodyText1"/>
        <w:numPr>
          <w:ilvl w:val="0"/>
          <w:numId w:val="29"/>
        </w:numPr>
        <w:spacing w:before="120"/>
        <w:ind w:left="567" w:hanging="283"/>
      </w:pPr>
      <w:r>
        <w:t>Nese</w:t>
      </w:r>
      <w:r w:rsidRPr="00D20870">
        <w:t xml:space="preserve"> zodpovědnost za vrácení investovaných prostředků zpět na úroveň </w:t>
      </w:r>
      <w:r w:rsidR="003739E3">
        <w:t>FF</w:t>
      </w:r>
      <w:r>
        <w:t>;</w:t>
      </w:r>
    </w:p>
    <w:p w:rsidR="000D32A5" w:rsidRDefault="000D32A5" w:rsidP="000D32A5">
      <w:pPr>
        <w:pStyle w:val="BodyText1"/>
        <w:numPr>
          <w:ilvl w:val="0"/>
          <w:numId w:val="29"/>
        </w:numPr>
        <w:spacing w:before="120"/>
        <w:ind w:left="567" w:hanging="283"/>
      </w:pPr>
      <w:r>
        <w:t>Nese</w:t>
      </w:r>
      <w:r w:rsidRPr="00D20870">
        <w:t xml:space="preserve"> zodpovědnost za vymáhání nesplacených </w:t>
      </w:r>
      <w:r>
        <w:t xml:space="preserve">úvěrů (v případě existence zprostředkovatele může být pověřen zprostředkovatel) </w:t>
      </w:r>
    </w:p>
    <w:p w:rsidR="000D32A5" w:rsidRPr="00D20870" w:rsidRDefault="000D32A5" w:rsidP="000D32A5">
      <w:pPr>
        <w:pStyle w:val="BodyText1"/>
        <w:numPr>
          <w:ilvl w:val="0"/>
          <w:numId w:val="29"/>
        </w:numPr>
        <w:spacing w:before="120"/>
        <w:ind w:left="567" w:hanging="283"/>
      </w:pPr>
      <w:r w:rsidRPr="00D20870">
        <w:t>Zpracováv</w:t>
      </w:r>
      <w:r>
        <w:t>á</w:t>
      </w:r>
      <w:r w:rsidRPr="00D20870">
        <w:t xml:space="preserve"> pravidelné zprávy o stavu realizace FN pro </w:t>
      </w:r>
      <w:r w:rsidR="003739E3">
        <w:t>FF</w:t>
      </w:r>
      <w:r>
        <w:t>;</w:t>
      </w:r>
    </w:p>
    <w:p w:rsidR="000D32A5" w:rsidRDefault="000D32A5" w:rsidP="000D32A5">
      <w:pPr>
        <w:pStyle w:val="BodyText1"/>
        <w:numPr>
          <w:ilvl w:val="0"/>
          <w:numId w:val="29"/>
        </w:numPr>
        <w:spacing w:before="120"/>
        <w:ind w:left="567" w:hanging="283"/>
      </w:pPr>
      <w:r w:rsidRPr="00D20870">
        <w:t>Asist</w:t>
      </w:r>
      <w:r>
        <w:t>uje</w:t>
      </w:r>
      <w:r w:rsidRPr="00D20870">
        <w:t xml:space="preserve"> ŘO při procesech vykazování a notifikacích veřejných podpor</w:t>
      </w:r>
      <w:r>
        <w:t>,</w:t>
      </w:r>
    </w:p>
    <w:p w:rsidR="000D32A5" w:rsidRPr="00D20870" w:rsidRDefault="000D32A5" w:rsidP="000D32A5">
      <w:pPr>
        <w:pStyle w:val="BodyText1"/>
        <w:numPr>
          <w:ilvl w:val="0"/>
          <w:numId w:val="29"/>
        </w:numPr>
        <w:spacing w:before="120"/>
        <w:ind w:left="567" w:hanging="283"/>
      </w:pPr>
      <w:r>
        <w:t>Zajišťuje plnění auditních požadavků včetně požadavků na dokumentaci;</w:t>
      </w:r>
    </w:p>
    <w:p w:rsidR="000D32A5" w:rsidRPr="00D20870" w:rsidRDefault="000D32A5" w:rsidP="000D32A5">
      <w:pPr>
        <w:pStyle w:val="BodyText1"/>
        <w:numPr>
          <w:ilvl w:val="0"/>
          <w:numId w:val="29"/>
        </w:numPr>
        <w:spacing w:before="120"/>
        <w:ind w:left="567" w:hanging="283"/>
      </w:pPr>
      <w:r w:rsidRPr="00D20870">
        <w:t>U</w:t>
      </w:r>
      <w:r>
        <w:t>schovává</w:t>
      </w:r>
      <w:r w:rsidRPr="00D20870">
        <w:t xml:space="preserve"> veškeré dokumenty související s realizací FN</w:t>
      </w:r>
      <w:r>
        <w:t>;</w:t>
      </w:r>
    </w:p>
    <w:p w:rsidR="000D32A5" w:rsidRPr="00D20870" w:rsidRDefault="000D32A5" w:rsidP="000D32A5">
      <w:pPr>
        <w:pStyle w:val="BodyText1"/>
        <w:numPr>
          <w:ilvl w:val="0"/>
          <w:numId w:val="29"/>
        </w:numPr>
        <w:spacing w:before="120"/>
        <w:ind w:left="567" w:hanging="283"/>
      </w:pPr>
      <w:r w:rsidRPr="00D20870">
        <w:t>Zajišť</w:t>
      </w:r>
      <w:r>
        <w:t>uje</w:t>
      </w:r>
      <w:r w:rsidRPr="00D20870">
        <w:t xml:space="preserve"> informování a propagaci</w:t>
      </w:r>
      <w:r>
        <w:t xml:space="preserve"> FN;</w:t>
      </w:r>
    </w:p>
    <w:p w:rsidR="000D32A5" w:rsidRPr="00D20870" w:rsidRDefault="000D32A5" w:rsidP="000D32A5">
      <w:pPr>
        <w:pStyle w:val="BodyText1"/>
        <w:numPr>
          <w:ilvl w:val="0"/>
          <w:numId w:val="29"/>
        </w:numPr>
        <w:spacing w:before="120"/>
        <w:ind w:left="567" w:hanging="283"/>
      </w:pPr>
      <w:r w:rsidRPr="00D20870">
        <w:t>Předklád</w:t>
      </w:r>
      <w:r>
        <w:t>á</w:t>
      </w:r>
      <w:r w:rsidRPr="00D20870">
        <w:t xml:space="preserve"> ŘO Z</w:t>
      </w:r>
      <w:r>
        <w:t>právu o realizaci FN;</w:t>
      </w:r>
    </w:p>
    <w:p w:rsidR="000D32A5" w:rsidRDefault="000D32A5" w:rsidP="000D32A5">
      <w:pPr>
        <w:pStyle w:val="BodyText1"/>
        <w:numPr>
          <w:ilvl w:val="0"/>
          <w:numId w:val="29"/>
        </w:numPr>
        <w:spacing w:before="120"/>
        <w:ind w:left="567" w:hanging="283"/>
      </w:pPr>
      <w:r w:rsidRPr="00D20870">
        <w:t>Zpracováv</w:t>
      </w:r>
      <w:r>
        <w:t>á</w:t>
      </w:r>
      <w:r w:rsidRPr="00D20870">
        <w:t xml:space="preserve"> žádost o ex-ante platb</w:t>
      </w:r>
      <w:r>
        <w:t>u ke schválení souhrnné žádosti;</w:t>
      </w:r>
    </w:p>
    <w:p w:rsidR="000D32A5" w:rsidRPr="000577BB" w:rsidRDefault="000D32A5" w:rsidP="000D32A5">
      <w:r w:rsidRPr="000577BB">
        <w:t xml:space="preserve"> </w:t>
      </w:r>
    </w:p>
    <w:p w:rsidR="00B1341B" w:rsidRPr="00537614" w:rsidRDefault="00B1341B" w:rsidP="004B026F">
      <w:pPr>
        <w:pStyle w:val="Nadpis4"/>
      </w:pPr>
      <w:r w:rsidRPr="00537614">
        <w:t xml:space="preserve">Rozložení rizik implementace v rámci navrhované struktury </w:t>
      </w:r>
    </w:p>
    <w:p w:rsidR="00B1341B" w:rsidRPr="00537614" w:rsidRDefault="003E1FA2" w:rsidP="00D70481">
      <w:r w:rsidRPr="00537614">
        <w:t xml:space="preserve">Rizika implementace lze na základě dostupných metodik rozdělit zhruba do následujících tří kategorií: </w:t>
      </w:r>
    </w:p>
    <w:p w:rsidR="003E1FA2" w:rsidRPr="00537614" w:rsidRDefault="003E1FA2" w:rsidP="00D70481">
      <w:pPr>
        <w:pStyle w:val="Odstavecseseznamem"/>
        <w:numPr>
          <w:ilvl w:val="0"/>
          <w:numId w:val="78"/>
        </w:numPr>
      </w:pPr>
      <w:r w:rsidRPr="00537614">
        <w:t>Rizika spojená s nastavením implementace (zejména legislativní bariéry apod.)</w:t>
      </w:r>
    </w:p>
    <w:p w:rsidR="003E1FA2" w:rsidRPr="00537614" w:rsidRDefault="003E1FA2" w:rsidP="00D70481">
      <w:pPr>
        <w:pStyle w:val="Odstavecseseznamem"/>
        <w:numPr>
          <w:ilvl w:val="0"/>
          <w:numId w:val="78"/>
        </w:numPr>
      </w:pPr>
      <w:r w:rsidRPr="00537614">
        <w:t>Investiční rizika (nastavení investiční strategie a dělba rizik implementace této strategie subjekty zapojenými do implementace)</w:t>
      </w:r>
    </w:p>
    <w:p w:rsidR="003E1FA2" w:rsidRPr="00537614" w:rsidRDefault="003E1FA2" w:rsidP="00D70481">
      <w:pPr>
        <w:pStyle w:val="Odstavecseseznamem"/>
        <w:numPr>
          <w:ilvl w:val="0"/>
          <w:numId w:val="78"/>
        </w:numPr>
      </w:pPr>
      <w:r w:rsidRPr="00537614">
        <w:t xml:space="preserve">Rizika </w:t>
      </w:r>
      <w:r w:rsidR="008B44AF" w:rsidRPr="00537614">
        <w:t>spojená</w:t>
      </w:r>
      <w:r w:rsidRPr="00537614">
        <w:t xml:space="preserve"> s</w:t>
      </w:r>
      <w:r w:rsidR="002D2C6A" w:rsidRPr="00537614">
        <w:t xml:space="preserve"> defaultem na straně konečných příjemců (nutnosti řešit zpětné vymáhání poskytnuté podpory) </w:t>
      </w:r>
    </w:p>
    <w:p w:rsidR="002D2C6A" w:rsidRPr="00537614" w:rsidRDefault="008B44AF" w:rsidP="005C7438">
      <w:pPr>
        <w:pStyle w:val="CaptionIntroductionparagraph"/>
      </w:pPr>
      <w:r w:rsidRPr="00537614">
        <w:t xml:space="preserve">Investiční rizika </w:t>
      </w:r>
    </w:p>
    <w:p w:rsidR="00E43E9C" w:rsidRPr="00537614" w:rsidRDefault="002D2C6A" w:rsidP="00D70481">
      <w:r w:rsidRPr="00537614">
        <w:t xml:space="preserve">Rizika první skupiny jsou podrobněji rozepsána v kapitole </w:t>
      </w:r>
      <w:r w:rsidRPr="00537614">
        <w:fldChar w:fldCharType="begin"/>
      </w:r>
      <w:r w:rsidRPr="00537614">
        <w:instrText xml:space="preserve"> REF _Ref416429583 \r \h </w:instrText>
      </w:r>
      <w:r w:rsidR="00D70481" w:rsidRPr="00537614">
        <w:instrText xml:space="preserve"> \* MERGEFORMAT </w:instrText>
      </w:r>
      <w:r w:rsidRPr="00537614">
        <w:fldChar w:fldCharType="separate"/>
      </w:r>
      <w:r w:rsidRPr="00537614">
        <w:t>5.1.6.5</w:t>
      </w:r>
      <w:r w:rsidRPr="00537614">
        <w:fldChar w:fldCharType="end"/>
      </w:r>
      <w:r w:rsidRPr="00537614">
        <w:t xml:space="preserve"> - </w:t>
      </w:r>
      <w:r w:rsidRPr="00537614">
        <w:tab/>
        <w:t xml:space="preserve">Rizika a bariéry implementace. V následujícím textu tedy Dodavatel popisuje další dvě kategorie rizik. Z pohledu nastavení investičních rizik Dodavatel </w:t>
      </w:r>
      <w:r w:rsidR="004759A2" w:rsidRPr="00537614">
        <w:t xml:space="preserve">ošetřuje rizika nastavení implementační strategie tím, že ŘO bude mít v kompetenci schvalování investiční strategie (na přípravě se může podílet i správce fondu). Tato investiční strategie bude součástí dohody o financování (nebo jiného základního smluvního dokumentu uzavřeného mezi ŘO a správcem). Správce a další implementační subjekty (zprostředkovatelé) se touto investiční strategií budou muset řídit a ŘO bude její naplňování pravidelně kontrolovat. </w:t>
      </w:r>
      <w:r w:rsidR="00050D77" w:rsidRPr="00537614">
        <w:t xml:space="preserve">Dodavatel dále navrhuje odměnu správci definovat jako „performance oriented“, tj. ze strany ŘO nebude vyhodnocováno pouze to, že správce administruje přidělené finanční prostředky, ale do hodnocení budou zahrnuty i výkonnostní a kvalitativní prvky. Správce tak bude motivován nejen „rozpůjčovat“ ale „rozpůjčovat a zpravovat kvalitně a plně v souladu se strategií“.  Riziko špatného investičního rozhodování (a případného nesouladu se stanovenou investiční strategií) tak nebude nést ŘO. </w:t>
      </w:r>
    </w:p>
    <w:p w:rsidR="002D2C6A" w:rsidRPr="00537614" w:rsidRDefault="00050D77" w:rsidP="00D70481">
      <w:r w:rsidRPr="00537614">
        <w:t>Navrhovaná implementační struktura počítá se zapojením zprostředkujících subjektů – pravděpodobně bank. Tyto budou zainteresovány na minimalizaci spojených rizik také.  Mezi správcem fondu a zpro</w:t>
      </w:r>
      <w:r w:rsidR="00E43E9C" w:rsidRPr="00537614">
        <w:t>středkujícími subjekty bude</w:t>
      </w:r>
      <w:r w:rsidRPr="00537614">
        <w:t xml:space="preserve"> uzavřen smluvní vztah. Přímo do tohoto smluvního vztahy budou upraveny oblasti popisující sdílení rizik.  Návrhem dodavatele je </w:t>
      </w:r>
      <w:r w:rsidR="00E43E9C" w:rsidRPr="00537614">
        <w:t xml:space="preserve">paritní rozdělení podílu (vložení zdrojů 50 ESIF:50 zdroje zprostředkovatele/spolufinancujících subjektů), to znamená i stejnou míru odpovědnosti za rizika poskytnutí špatného úvěru. Nicméně z důvodu toho, že finanční nástroj má umožnit i financování projektů, které by jinak na financování </w:t>
      </w:r>
      <w:r w:rsidR="004E42F0" w:rsidRPr="00537614">
        <w:t>nedosáhli, a lze</w:t>
      </w:r>
      <w:r w:rsidR="00E43E9C" w:rsidRPr="00537614">
        <w:t xml:space="preserve"> kalkulovat s jistou mírou rizika, navrhuje dodavatel </w:t>
      </w:r>
      <w:r w:rsidR="004E42F0" w:rsidRPr="00537614">
        <w:t xml:space="preserve">využití mechanismu „first piece loss“ ve výši 10 procent ve vztahu ke spolufinancujícím zdrojům. Riziko z uplatnění tohoto mechanismu ŘO nehrozí, protože tento typ krytí ztrát je přímo zakotven i v legislativě a metodikách EU. Zde je důležité upozornit na fakt, že z aktuální zkušenosti (JESSICA, PANEL) se míra neschopnosti splácet úvěr limitně blíží nule a je možné, že mechanismus „first piece loss“ ani nebude využit. </w:t>
      </w:r>
    </w:p>
    <w:p w:rsidR="004E42F0" w:rsidRPr="00537614" w:rsidRDefault="004E42F0" w:rsidP="00D70481">
      <w:r w:rsidRPr="00537614">
        <w:t xml:space="preserve">Dodavatel navrhuje zachování standardních způsobů hodnocení rizik konečných příjemců jak na úrovni zprostředkovatelů, tak hodnocení způsobilosti (soulad s IROP) předložených projektů na úrovni správce fondu. </w:t>
      </w:r>
      <w:r w:rsidR="008B44AF" w:rsidRPr="00537614">
        <w:t xml:space="preserve">O výsledcích bude správce informovat ŘO minimálně na kvartální úrovni. Tím bude ošetřeno riziko případného odchýlení se od stanovené investiční strategie ve věcné i finanční rovině. V případě nerespektování pokynů ŘO ze strany správce fondu bude moct ŘO uplatnit sankce ve formě nevyplacení výkonové části odměny (fee). </w:t>
      </w:r>
    </w:p>
    <w:p w:rsidR="008B44AF" w:rsidRPr="00537614" w:rsidRDefault="008B44AF" w:rsidP="005C7438">
      <w:pPr>
        <w:pStyle w:val="CaptionIntroductionparagraph"/>
      </w:pPr>
      <w:r w:rsidRPr="00537614">
        <w:t xml:space="preserve">Rizika spojená s defaultem na straně konečných příjemců </w:t>
      </w:r>
    </w:p>
    <w:p w:rsidR="00D974FA" w:rsidRPr="00537614" w:rsidRDefault="00E66187" w:rsidP="00D70481">
      <w:r w:rsidRPr="00537614">
        <w:t xml:space="preserve">Dodavatel v této souvislosti navrhuje ošetřit předmětné riziko nesplácení úvěrů ze strany konečných příjemců tím, že ve smlouvách se zprostředkujícími subjekty bude jasně definován způsob, jakým bude postupováno při vymáhání pohledávek. Za předpokladu ekvivalentního přístupu k financování (tedy i dělení splátek 50:50 reflektujících samozřejmě nestejnou výši úroku na zdrojích ESIF a zdrojích spolufinancujících subjektů) bude pověřen vymáháním nesplacených úvěrů zprostředkovatelský subjekt dle svých standardních zvyklostí. Po vyčerpání možností zprostředkovatelského subjektu převezme vymáhání pohledávek správce fondu. </w:t>
      </w:r>
      <w:r w:rsidR="00D974FA" w:rsidRPr="00537614">
        <w:t>Až v</w:t>
      </w:r>
      <w:r w:rsidRPr="00537614">
        <w:t xml:space="preserve"> případě neúspěchu </w:t>
      </w:r>
      <w:r w:rsidR="00D974FA" w:rsidRPr="00537614">
        <w:t xml:space="preserve">a následném prohlášení pohledávky jako nedobytné by na příslušnou částku mohl být uplatněn mechanizmus „first piece loss“.  Toto rozhodnutí by správce fondu musel komunikovat s ŘO a vyžádat si jeho finální schválení. Dodavatel předpokládá, že by se tak dělo v pravidelných časových úsecích, ne po jednotlivých případech. </w:t>
      </w:r>
    </w:p>
    <w:p w:rsidR="008B44AF" w:rsidRPr="00537614" w:rsidRDefault="00D974FA" w:rsidP="00D70481">
      <w:r w:rsidRPr="00537614">
        <w:t xml:space="preserve">V případech zneužití podpory ze strany konečného příjemce by byl nastaven ekvivalentní postup jako v případě podpory poskytované dotační formou. Zde nejsou ve vztahu k finančnímu nástroji žádná další rizika, naopak je zde předpoklad transparentního a účelného zacházení s finančními prostředky – důvodem je nutnost tyto prostředky vrátit. </w:t>
      </w:r>
    </w:p>
    <w:p w:rsidR="00F36672" w:rsidRPr="00537614" w:rsidRDefault="00F36672" w:rsidP="004B026F">
      <w:pPr>
        <w:pStyle w:val="Nadpis4"/>
      </w:pPr>
      <w:r w:rsidRPr="00537614">
        <w:t>Finanční toky</w:t>
      </w:r>
      <w:bookmarkEnd w:id="112"/>
    </w:p>
    <w:p w:rsidR="00F36672" w:rsidRDefault="00F36672" w:rsidP="00F36672">
      <w:pPr>
        <w:pStyle w:val="Deloittebodytext"/>
        <w:spacing w:after="120"/>
        <w:jc w:val="both"/>
      </w:pPr>
      <w:r>
        <w:t xml:space="preserve">Finanční toky v rámci finančních nástrojů upravuje na národní úrovni </w:t>
      </w:r>
      <w:r w:rsidRPr="00580F51">
        <w:t xml:space="preserve">Metodický pokyn finančních toků programů spolufinancovaných z Evropských strukturálních fondů, Fondu soudržnosti a Evropského námořního a rybářského fondu na programové období 2014 </w:t>
      </w:r>
      <w:r>
        <w:t>–</w:t>
      </w:r>
      <w:r w:rsidRPr="00580F51">
        <w:t xml:space="preserve"> 2020</w:t>
      </w:r>
      <w:r>
        <w:t xml:space="preserve"> a Metodické doporučení pro implementaci finančních nástrojů v programovém období 2014-2020. </w:t>
      </w:r>
    </w:p>
    <w:p w:rsidR="00F36672" w:rsidRDefault="00F36672" w:rsidP="00F36672">
      <w:pPr>
        <w:pStyle w:val="Deloittebodytext"/>
        <w:spacing w:after="120"/>
        <w:jc w:val="both"/>
      </w:pPr>
      <w:r>
        <w:t>Na základě uzavřené dohody o financování převede ŘO prostředky IROP vyčleněné na finanční nástroje správci finančního nástroje. Správce finančního nástroje tyto prostředky buď přímo poskytuje způsobilým žadatelům (spolu s prostředky zapojených finančních zprostředkovatelů), případně využije převodu prostředků na finanční zprostředkovatele, kteří jsou kontaktním bodem pro konečného příjemce a jsou zdrojem financování na základě patřičné smlouvy.</w:t>
      </w:r>
    </w:p>
    <w:p w:rsidR="00F36672" w:rsidRDefault="00F36672" w:rsidP="00F36672">
      <w:pPr>
        <w:pStyle w:val="Deloittebodytext"/>
        <w:spacing w:after="120"/>
        <w:jc w:val="both"/>
      </w:pPr>
      <w:r>
        <w:t>Správce FN / Finanční zprostředkovatel zajistí konečným příjemcům podle konkrétního typu finančního nástroje další zdroje financování projektu, a to z prostředků finančního nástroje / fondu fondů / finančního zprostředkovatele nebo jiného spoluinvestora (soukromý zdroj). Prostředky poskytuje konečnému příjemci na základě příslušného právního aktu.</w:t>
      </w:r>
    </w:p>
    <w:p w:rsidR="00F36672" w:rsidRDefault="00F36672" w:rsidP="00F36672">
      <w:pPr>
        <w:pStyle w:val="Deloittebodytext"/>
        <w:spacing w:after="120"/>
        <w:jc w:val="both"/>
      </w:pPr>
      <w:r>
        <w:t>Platby na účty správců finančních nástrojů, resp. fondu fondů probíhají na bázi ex-ante plateb, které provádí ŘO v souladu s dohodou o financování.</w:t>
      </w:r>
      <w:r>
        <w:rPr>
          <w:rStyle w:val="Znakapoznpodarou"/>
        </w:rPr>
        <w:footnoteReference w:id="9"/>
      </w:r>
      <w:r>
        <w:t xml:space="preserve"> Forma plateb konečnému příjemci je upravená smlouvou mezi příjemcem, resp. finančním zprostředkovatelem, a konečným příjemcem.</w:t>
      </w:r>
    </w:p>
    <w:p w:rsidR="00F36672" w:rsidRDefault="00F36672" w:rsidP="00F36672">
      <w:pPr>
        <w:pStyle w:val="Deloittebodytext"/>
        <w:spacing w:after="120"/>
        <w:jc w:val="both"/>
      </w:pPr>
      <w:r w:rsidRPr="00481C0C">
        <w:t xml:space="preserve">V případě kombinace více zdrojů financování v rámci jedné operace, s výjimkou kombinace jednotlivých forem finančních nástrojů, je nutné, aby byla pro každý typ podpory předložena zvláštní žádost o platbu. Nicméně toto rozlišení </w:t>
      </w:r>
      <w:r w:rsidRPr="00481C0C">
        <w:rPr>
          <w:b/>
        </w:rPr>
        <w:t>nemusí probíhat již na úrovni konečného příjemce</w:t>
      </w:r>
      <w:r w:rsidRPr="00481C0C">
        <w:t>, tj. ŘO, příp. příjemce, má povinnost zajistit, aby pro každý druh podpory byla vytvořena samostatná žádost o platbu. V každé žádosti o platbu je dále rozlišena celková výše příspěvků vyplacená danému finančnímu nástroji a zároveň celková částka vyplacená na způsobilé výdaje.</w:t>
      </w:r>
    </w:p>
    <w:p w:rsidR="00F36672" w:rsidRDefault="00F36672" w:rsidP="00F36672">
      <w:pPr>
        <w:pStyle w:val="Deloittebodytext"/>
        <w:spacing w:after="120"/>
        <w:jc w:val="both"/>
      </w:pPr>
      <w:r>
        <w:t>Příjemce, resp. finanční zprostředkovatel, ve smlouvě s konečným příjemcem zajistí vymahatelnost prostředků, které bude po vymožení následně využívat v souladu s dohodou o financování. Za tímto účelem je oprávněn sjednávat s konečným příjemcem smluvní zajišťovací finanční instrumenty (zástavní právo, ručení třetí osoby atd.).</w:t>
      </w:r>
    </w:p>
    <w:p w:rsidR="00F36672" w:rsidRDefault="00F36672" w:rsidP="00F36672">
      <w:pPr>
        <w:pStyle w:val="Deloittebodytext"/>
        <w:jc w:val="both"/>
      </w:pPr>
      <w:r>
        <w:t xml:space="preserve">Zapojení soukromého či bankovního financování je možné na všech úrovních financujícího schématu, od fondu fondů po konečného příjemce podpory, s mezistupni v podobě jednotlivých fondů či podfondů. Zájem o investice do vyšších úrovní schématu bude záviset na ekonomické výkonnosti celé struktury. </w:t>
      </w:r>
    </w:p>
    <w:p w:rsidR="00F36672" w:rsidRDefault="00F36672" w:rsidP="004B026F">
      <w:pPr>
        <w:pStyle w:val="Nadpis4"/>
      </w:pPr>
      <w:bookmarkStart w:id="113" w:name="_Toc413183928"/>
      <w:r>
        <w:t>Akční plán</w:t>
      </w:r>
      <w:bookmarkEnd w:id="113"/>
      <w:r w:rsidR="004B026F">
        <w:t xml:space="preserve"> a časový harmonogram </w:t>
      </w:r>
    </w:p>
    <w:p w:rsidR="00F36672" w:rsidRPr="0002549A" w:rsidRDefault="00F36672" w:rsidP="00F36672">
      <w:pPr>
        <w:rPr>
          <w:rFonts w:eastAsia="Arial"/>
        </w:rPr>
      </w:pPr>
      <w:r w:rsidRPr="0002549A">
        <w:rPr>
          <w:rFonts w:eastAsia="Arial"/>
        </w:rPr>
        <w:t>Předkládaná ex-ante analýza vymezuje klíčové aspekty možnosti využití finančních nástrojů v</w:t>
      </w:r>
      <w:r>
        <w:rPr>
          <w:rFonts w:eastAsia="Arial"/>
        </w:rPr>
        <w:t> připravovaném IROP 2014-2020</w:t>
      </w:r>
      <w:r w:rsidRPr="0002549A">
        <w:rPr>
          <w:rFonts w:eastAsia="Arial"/>
        </w:rPr>
        <w:t>, nicméně pro možnost jejich plné implementace je třeba realizovat řadu dalších kroků, které jsou nezbytné pro budoucí efektivní, účinné a hospodárné fungování těchto nástrojů v </w:t>
      </w:r>
      <w:r>
        <w:rPr>
          <w:rFonts w:eastAsia="Arial"/>
        </w:rPr>
        <w:t>nadcházejícím</w:t>
      </w:r>
      <w:r w:rsidRPr="0002549A">
        <w:rPr>
          <w:rFonts w:eastAsia="Arial"/>
        </w:rPr>
        <w:t xml:space="preserve"> programovém období. </w:t>
      </w:r>
    </w:p>
    <w:p w:rsidR="00F36672" w:rsidRPr="00831C45" w:rsidRDefault="00F36672" w:rsidP="00F36672">
      <w:pPr>
        <w:pStyle w:val="BodyText1"/>
      </w:pPr>
      <w:r w:rsidRPr="00831C45">
        <w:t>Implementace finančních nástrojů v ČR má dvě roviny:</w:t>
      </w:r>
    </w:p>
    <w:p w:rsidR="00F36672" w:rsidRDefault="00F36672" w:rsidP="00F36672">
      <w:pPr>
        <w:pStyle w:val="BodyText1"/>
        <w:numPr>
          <w:ilvl w:val="0"/>
          <w:numId w:val="27"/>
        </w:numPr>
        <w:spacing w:before="120"/>
        <w:jc w:val="both"/>
      </w:pPr>
      <w:r w:rsidRPr="00F96F8A">
        <w:rPr>
          <w:b/>
        </w:rPr>
        <w:t>Zřízení Fondu fondů</w:t>
      </w:r>
      <w:r w:rsidRPr="00831C45">
        <w:t xml:space="preserve"> </w:t>
      </w:r>
      <w:r w:rsidRPr="00831C45">
        <w:rPr>
          <w:b/>
        </w:rPr>
        <w:t>na národní úrovni,</w:t>
      </w:r>
      <w:r w:rsidRPr="00831C45">
        <w:t xml:space="preserve"> který bude </w:t>
      </w:r>
      <w:r>
        <w:t xml:space="preserve">plnit funkci správce fondu fondů, bude </w:t>
      </w:r>
      <w:r w:rsidRPr="00831C45">
        <w:t>poskytovat odborné služby pro všechny řídící orgány (v případě zájmu ze strany ŘO)</w:t>
      </w:r>
      <w:r>
        <w:t xml:space="preserve"> a bude plnit funkci depozitáře.</w:t>
      </w:r>
      <w:r>
        <w:rPr>
          <w:rStyle w:val="Znakapoznpodarou"/>
        </w:rPr>
        <w:footnoteReference w:id="10"/>
      </w:r>
      <w:r>
        <w:t xml:space="preserve"> </w:t>
      </w:r>
    </w:p>
    <w:p w:rsidR="00F36672" w:rsidRPr="00491F73" w:rsidRDefault="00F36672" w:rsidP="00F36672">
      <w:pPr>
        <w:pStyle w:val="BodyText1"/>
        <w:numPr>
          <w:ilvl w:val="0"/>
          <w:numId w:val="27"/>
        </w:numPr>
        <w:spacing w:before="120"/>
        <w:jc w:val="both"/>
        <w:rPr>
          <w:b/>
        </w:rPr>
      </w:pPr>
      <w:r w:rsidRPr="00491F73">
        <w:rPr>
          <w:b/>
        </w:rPr>
        <w:t>Zřízení finančních nástrojů</w:t>
      </w:r>
      <w:r>
        <w:t xml:space="preserve"> (Fondu, podfondů a finančních nástrojů) </w:t>
      </w:r>
      <w:r w:rsidRPr="00491F73">
        <w:rPr>
          <w:b/>
        </w:rPr>
        <w:t>na úrovni jednotlivých řídicích orgánů.</w:t>
      </w:r>
    </w:p>
    <w:p w:rsidR="00F36672" w:rsidRDefault="00F36672" w:rsidP="00F36672">
      <w:pPr>
        <w:pStyle w:val="BodyText1"/>
      </w:pPr>
    </w:p>
    <w:p w:rsidR="00F36672" w:rsidRDefault="00F36672" w:rsidP="00F36672">
      <w:pPr>
        <w:pStyle w:val="BodyText1"/>
        <w:jc w:val="both"/>
      </w:pPr>
      <w:r w:rsidRPr="0002549A">
        <w:t>Níže uv</w:t>
      </w:r>
      <w:r>
        <w:t>edené</w:t>
      </w:r>
      <w:r w:rsidRPr="0002549A">
        <w:t xml:space="preserve"> kroky specifikují návrh akčního plánu, dle kterého by měl</w:t>
      </w:r>
      <w:r>
        <w:t xml:space="preserve">y orgánu implementující finanční nástroje na národní úrovni a na úrovni IROP </w:t>
      </w:r>
      <w:r w:rsidRPr="0002549A">
        <w:t xml:space="preserve">postupovat, aby došlo k úspěšné implementaci navrhovaných opatření. Sledovaný harmonogram se snaží o reflexi stavu příprav na nové čerpání a rychle se blížící </w:t>
      </w:r>
      <w:r w:rsidRPr="00690C71">
        <w:t xml:space="preserve">termíny uzavření vyjednávání s EK. </w:t>
      </w:r>
    </w:p>
    <w:p w:rsidR="00F36672" w:rsidRDefault="00F36672" w:rsidP="00F36672">
      <w:pPr>
        <w:pStyle w:val="BodyText1"/>
        <w:spacing w:before="120"/>
      </w:pPr>
      <w:r>
        <w:t>Potřebné kroky a hlavní milníky</w:t>
      </w:r>
      <w:r w:rsidRPr="00491F73">
        <w:t xml:space="preserve"> obou úrovní </w:t>
      </w:r>
      <w:r>
        <w:t>jsou uvedeny v tabulkách</w:t>
      </w:r>
      <w:r w:rsidRPr="00491F73">
        <w:t xml:space="preserve"> níže.</w:t>
      </w:r>
    </w:p>
    <w:p w:rsidR="00F36672" w:rsidRDefault="00F36672" w:rsidP="00F36672">
      <w:pPr>
        <w:pStyle w:val="BodyText1"/>
        <w:rPr>
          <w:b/>
        </w:rPr>
      </w:pPr>
    </w:p>
    <w:tbl>
      <w:tblPr>
        <w:tblW w:w="5000" w:type="pct"/>
        <w:tblBorders>
          <w:bottom w:val="single" w:sz="4" w:space="0" w:color="00A1DE"/>
          <w:insideH w:val="single" w:sz="4" w:space="0" w:color="00A1DE"/>
        </w:tblBorders>
        <w:tblCellMar>
          <w:top w:w="28" w:type="dxa"/>
          <w:left w:w="28" w:type="dxa"/>
          <w:bottom w:w="28" w:type="dxa"/>
          <w:right w:w="28" w:type="dxa"/>
        </w:tblCellMar>
        <w:tblLook w:val="04A0" w:firstRow="1" w:lastRow="0" w:firstColumn="1" w:lastColumn="0" w:noHBand="0" w:noVBand="1"/>
      </w:tblPr>
      <w:tblGrid>
        <w:gridCol w:w="374"/>
        <w:gridCol w:w="6600"/>
        <w:gridCol w:w="2152"/>
      </w:tblGrid>
      <w:tr w:rsidR="00F36672" w:rsidRPr="00D60031" w:rsidTr="00D655A7">
        <w:trPr>
          <w:tblHeader/>
        </w:trPr>
        <w:tc>
          <w:tcPr>
            <w:tcW w:w="205" w:type="pct"/>
            <w:shd w:val="clear" w:color="auto" w:fill="00A1DE"/>
          </w:tcPr>
          <w:p w:rsidR="00F36672" w:rsidRPr="00D60031" w:rsidRDefault="00F36672" w:rsidP="00D655A7">
            <w:pPr>
              <w:pStyle w:val="BodyText1"/>
              <w:rPr>
                <w:b/>
                <w:color w:val="FFFFFF"/>
              </w:rPr>
            </w:pPr>
          </w:p>
        </w:tc>
        <w:tc>
          <w:tcPr>
            <w:tcW w:w="3616" w:type="pct"/>
            <w:shd w:val="clear" w:color="auto" w:fill="00A1DE"/>
          </w:tcPr>
          <w:p w:rsidR="00F36672" w:rsidRPr="00D60031" w:rsidRDefault="00F36672" w:rsidP="00D655A7">
            <w:pPr>
              <w:pStyle w:val="BodyText1"/>
              <w:rPr>
                <w:b/>
                <w:color w:val="FFFFFF"/>
              </w:rPr>
            </w:pPr>
            <w:r w:rsidRPr="00D60031">
              <w:rPr>
                <w:b/>
                <w:color w:val="FFFFFF"/>
              </w:rPr>
              <w:t>Kroky</w:t>
            </w:r>
          </w:p>
        </w:tc>
        <w:tc>
          <w:tcPr>
            <w:tcW w:w="1179" w:type="pct"/>
            <w:shd w:val="clear" w:color="auto" w:fill="00A1DE"/>
          </w:tcPr>
          <w:p w:rsidR="00F36672" w:rsidRPr="00D60031" w:rsidRDefault="00F36672" w:rsidP="00D655A7">
            <w:pPr>
              <w:pStyle w:val="BodyText1"/>
              <w:rPr>
                <w:b/>
                <w:color w:val="FFFFFF"/>
              </w:rPr>
            </w:pPr>
            <w:r w:rsidRPr="00D60031">
              <w:rPr>
                <w:b/>
                <w:color w:val="FFFFFF"/>
              </w:rPr>
              <w:t>Termín</w:t>
            </w:r>
          </w:p>
        </w:tc>
      </w:tr>
      <w:tr w:rsidR="00F36672" w:rsidRPr="00D60031" w:rsidTr="00D655A7">
        <w:tc>
          <w:tcPr>
            <w:tcW w:w="205" w:type="pct"/>
            <w:shd w:val="clear" w:color="auto" w:fill="C5EEFF" w:themeFill="accent3" w:themeFillTint="33"/>
          </w:tcPr>
          <w:p w:rsidR="00F36672" w:rsidRPr="00D60031" w:rsidRDefault="00F36672" w:rsidP="00D655A7">
            <w:pPr>
              <w:pStyle w:val="BodyText1"/>
              <w:rPr>
                <w:b/>
                <w:color w:val="auto"/>
              </w:rPr>
            </w:pPr>
            <w:r>
              <w:rPr>
                <w:b/>
                <w:color w:val="auto"/>
              </w:rPr>
              <w:t>Č</w:t>
            </w:r>
          </w:p>
        </w:tc>
        <w:tc>
          <w:tcPr>
            <w:tcW w:w="4795" w:type="pct"/>
            <w:gridSpan w:val="2"/>
            <w:shd w:val="clear" w:color="auto" w:fill="C5EEFF" w:themeFill="accent3" w:themeFillTint="33"/>
          </w:tcPr>
          <w:p w:rsidR="00F36672" w:rsidRPr="00D60031" w:rsidRDefault="00F36672" w:rsidP="00D655A7">
            <w:pPr>
              <w:pStyle w:val="BodyText1"/>
              <w:rPr>
                <w:b/>
                <w:color w:val="auto"/>
              </w:rPr>
            </w:pPr>
            <w:r w:rsidRPr="00D60031">
              <w:rPr>
                <w:b/>
                <w:color w:val="auto"/>
              </w:rPr>
              <w:t>Národní úroveň</w:t>
            </w:r>
            <w:r>
              <w:rPr>
                <w:b/>
                <w:color w:val="auto"/>
              </w:rPr>
              <w:t xml:space="preserve"> (koordinuje a zabezpečuje primárně MF)</w:t>
            </w:r>
          </w:p>
        </w:tc>
      </w:tr>
      <w:tr w:rsidR="00F36672" w:rsidRPr="00944D54" w:rsidTr="00D655A7">
        <w:tc>
          <w:tcPr>
            <w:tcW w:w="205" w:type="pct"/>
            <w:shd w:val="clear" w:color="auto" w:fill="FFFFFF"/>
          </w:tcPr>
          <w:p w:rsidR="00F36672" w:rsidRDefault="00F36672" w:rsidP="00D655A7">
            <w:pPr>
              <w:pStyle w:val="BodyText1"/>
              <w:rPr>
                <w:b/>
                <w:color w:val="auto"/>
              </w:rPr>
            </w:pPr>
            <w:r>
              <w:rPr>
                <w:b/>
                <w:color w:val="auto"/>
              </w:rPr>
              <w:t>1</w:t>
            </w:r>
          </w:p>
        </w:tc>
        <w:tc>
          <w:tcPr>
            <w:tcW w:w="3616" w:type="pct"/>
            <w:shd w:val="clear" w:color="auto" w:fill="FFFFFF"/>
          </w:tcPr>
          <w:p w:rsidR="00F36672" w:rsidRPr="000869EB" w:rsidRDefault="00F36672" w:rsidP="00D655A7">
            <w:pPr>
              <w:pStyle w:val="BodyText1"/>
            </w:pPr>
            <w:r>
              <w:rPr>
                <w:b/>
                <w:color w:val="auto"/>
              </w:rPr>
              <w:t>Rozhodnutí o zřízení fondu fondů na národní úrovni</w:t>
            </w:r>
          </w:p>
        </w:tc>
        <w:tc>
          <w:tcPr>
            <w:tcW w:w="1179" w:type="pct"/>
            <w:shd w:val="clear" w:color="auto" w:fill="FFFFFF"/>
          </w:tcPr>
          <w:p w:rsidR="00F36672" w:rsidRPr="00D60031" w:rsidRDefault="00F36672" w:rsidP="00D655A7">
            <w:pPr>
              <w:pStyle w:val="BodyText1"/>
              <w:rPr>
                <w:b/>
              </w:rPr>
            </w:pPr>
            <w:r w:rsidRPr="00D60031">
              <w:rPr>
                <w:b/>
              </w:rPr>
              <w:t>Bezodkladně</w:t>
            </w:r>
          </w:p>
        </w:tc>
      </w:tr>
      <w:tr w:rsidR="00F36672" w:rsidRPr="00944D54" w:rsidTr="00D655A7">
        <w:tc>
          <w:tcPr>
            <w:tcW w:w="205" w:type="pct"/>
            <w:shd w:val="clear" w:color="auto" w:fill="FFFFFF"/>
          </w:tcPr>
          <w:p w:rsidR="00F36672" w:rsidRPr="00A97BE6" w:rsidRDefault="00F36672" w:rsidP="00D655A7">
            <w:pPr>
              <w:pStyle w:val="BodyText1"/>
              <w:rPr>
                <w:b/>
              </w:rPr>
            </w:pPr>
            <w:r>
              <w:rPr>
                <w:b/>
              </w:rPr>
              <w:t>2</w:t>
            </w:r>
          </w:p>
        </w:tc>
        <w:tc>
          <w:tcPr>
            <w:tcW w:w="3616" w:type="pct"/>
            <w:shd w:val="clear" w:color="auto" w:fill="FFFFFF"/>
          </w:tcPr>
          <w:p w:rsidR="00F36672" w:rsidRPr="00A97BE6" w:rsidRDefault="00F36672" w:rsidP="00D655A7">
            <w:pPr>
              <w:pStyle w:val="BodyText1"/>
              <w:rPr>
                <w:b/>
              </w:rPr>
            </w:pPr>
            <w:r w:rsidRPr="00A97BE6">
              <w:rPr>
                <w:b/>
              </w:rPr>
              <w:t xml:space="preserve">Projednání předběžného návrhu </w:t>
            </w:r>
            <w:r>
              <w:rPr>
                <w:b/>
              </w:rPr>
              <w:t>struktur fondu fondů s Evropskou komisí</w:t>
            </w:r>
          </w:p>
        </w:tc>
        <w:tc>
          <w:tcPr>
            <w:tcW w:w="1179" w:type="pct"/>
            <w:shd w:val="clear" w:color="auto" w:fill="FFFFFF"/>
          </w:tcPr>
          <w:p w:rsidR="00F36672" w:rsidRPr="00D60031" w:rsidRDefault="00F36672" w:rsidP="00D655A7">
            <w:pPr>
              <w:pStyle w:val="BodyText1"/>
              <w:rPr>
                <w:b/>
              </w:rPr>
            </w:pPr>
            <w:r w:rsidRPr="00D60031">
              <w:rPr>
                <w:b/>
              </w:rPr>
              <w:t>Bezodkladně</w:t>
            </w:r>
          </w:p>
        </w:tc>
      </w:tr>
      <w:tr w:rsidR="00F36672" w:rsidRPr="001740B9" w:rsidTr="00D655A7">
        <w:tc>
          <w:tcPr>
            <w:tcW w:w="205" w:type="pct"/>
            <w:shd w:val="clear" w:color="auto" w:fill="FFFFFF"/>
          </w:tcPr>
          <w:p w:rsidR="00F36672" w:rsidRPr="001740B9" w:rsidRDefault="00F36672" w:rsidP="00D655A7">
            <w:pPr>
              <w:pStyle w:val="BodyText1"/>
              <w:rPr>
                <w:b/>
              </w:rPr>
            </w:pPr>
            <w:r>
              <w:rPr>
                <w:b/>
              </w:rPr>
              <w:t>3</w:t>
            </w:r>
          </w:p>
        </w:tc>
        <w:tc>
          <w:tcPr>
            <w:tcW w:w="3616" w:type="pct"/>
            <w:shd w:val="clear" w:color="auto" w:fill="FFFFFF"/>
          </w:tcPr>
          <w:p w:rsidR="00F36672" w:rsidRPr="001740B9" w:rsidRDefault="00F36672" w:rsidP="00D655A7">
            <w:pPr>
              <w:pStyle w:val="BodyText1"/>
              <w:rPr>
                <w:b/>
              </w:rPr>
            </w:pPr>
            <w:r w:rsidRPr="001740B9">
              <w:rPr>
                <w:b/>
              </w:rPr>
              <w:t>Schválení rozpracování doporu</w:t>
            </w:r>
            <w:r>
              <w:rPr>
                <w:b/>
              </w:rPr>
              <w:t>čované varianty na úrovni vlády</w:t>
            </w:r>
          </w:p>
        </w:tc>
        <w:tc>
          <w:tcPr>
            <w:tcW w:w="1179" w:type="pct"/>
            <w:shd w:val="clear" w:color="auto" w:fill="FFFFFF"/>
          </w:tcPr>
          <w:p w:rsidR="00F36672" w:rsidRPr="00D60031" w:rsidRDefault="00F36672" w:rsidP="00D655A7">
            <w:pPr>
              <w:pStyle w:val="BodyText1"/>
              <w:rPr>
                <w:b/>
              </w:rPr>
            </w:pPr>
            <w:r>
              <w:rPr>
                <w:b/>
              </w:rPr>
              <w:t>Bezodkladně</w:t>
            </w:r>
          </w:p>
        </w:tc>
      </w:tr>
      <w:tr w:rsidR="00F36672" w:rsidRPr="00944D54" w:rsidTr="00D655A7">
        <w:tc>
          <w:tcPr>
            <w:tcW w:w="205" w:type="pct"/>
            <w:shd w:val="clear" w:color="auto" w:fill="FFFFFF"/>
          </w:tcPr>
          <w:p w:rsidR="00F36672" w:rsidRPr="001740B9" w:rsidRDefault="00F36672" w:rsidP="00D655A7">
            <w:pPr>
              <w:pStyle w:val="BodyText1"/>
              <w:rPr>
                <w:b/>
              </w:rPr>
            </w:pPr>
            <w:r>
              <w:rPr>
                <w:b/>
              </w:rPr>
              <w:t>4</w:t>
            </w:r>
          </w:p>
        </w:tc>
        <w:tc>
          <w:tcPr>
            <w:tcW w:w="3616" w:type="pct"/>
            <w:shd w:val="clear" w:color="auto" w:fill="FFFFFF"/>
          </w:tcPr>
          <w:p w:rsidR="00F36672" w:rsidRPr="001740B9" w:rsidRDefault="00F36672" w:rsidP="00D655A7">
            <w:pPr>
              <w:pStyle w:val="BodyText1"/>
              <w:rPr>
                <w:b/>
              </w:rPr>
            </w:pPr>
            <w:r w:rsidRPr="001740B9">
              <w:rPr>
                <w:b/>
              </w:rPr>
              <w:t>Nastave</w:t>
            </w:r>
            <w:r>
              <w:rPr>
                <w:b/>
              </w:rPr>
              <w:t>ní spolupráce s řídícími orgány</w:t>
            </w:r>
          </w:p>
          <w:p w:rsidR="00F36672" w:rsidRPr="000869EB" w:rsidRDefault="00F36672" w:rsidP="00D655A7">
            <w:pPr>
              <w:pStyle w:val="BodyText1"/>
            </w:pPr>
            <w:r>
              <w:t>V rámci nastavování implementačních struktur na národní úrovni (fond fondů) je potřeba nastavit systém spolupráce s řídicími orgány tak, aby byla vybraná</w:t>
            </w:r>
            <w:r w:rsidRPr="000869EB">
              <w:t xml:space="preserve"> varianta </w:t>
            </w:r>
            <w:r>
              <w:t xml:space="preserve">implementace fondu fondů na národní úrovni </w:t>
            </w:r>
            <w:r w:rsidRPr="000869EB">
              <w:t>připravována v úzké součinnosti s nimi a reflektovala výsledky jednotlivých ex-ante posouzení, a to zejména z hlediska typologie doporučovaných finančn</w:t>
            </w:r>
            <w:r>
              <w:t>ích nástrojů v těchto analýzách.</w:t>
            </w:r>
          </w:p>
        </w:tc>
        <w:tc>
          <w:tcPr>
            <w:tcW w:w="1179" w:type="pct"/>
            <w:shd w:val="clear" w:color="auto" w:fill="FFFFFF"/>
          </w:tcPr>
          <w:p w:rsidR="00F36672" w:rsidRPr="00D60031" w:rsidRDefault="00F36672" w:rsidP="00D655A7">
            <w:pPr>
              <w:pStyle w:val="BodyText1"/>
              <w:rPr>
                <w:b/>
              </w:rPr>
            </w:pPr>
            <w:r>
              <w:rPr>
                <w:b/>
              </w:rPr>
              <w:t xml:space="preserve">Únor - Duben </w:t>
            </w:r>
            <w:r w:rsidRPr="00D60031">
              <w:rPr>
                <w:b/>
              </w:rPr>
              <w:t>2015</w:t>
            </w:r>
          </w:p>
        </w:tc>
      </w:tr>
      <w:tr w:rsidR="00F36672" w:rsidRPr="00944D54" w:rsidTr="00D655A7">
        <w:tc>
          <w:tcPr>
            <w:tcW w:w="205" w:type="pct"/>
            <w:shd w:val="clear" w:color="auto" w:fill="FFFFFF"/>
          </w:tcPr>
          <w:p w:rsidR="00F36672" w:rsidRPr="00A97BE6" w:rsidRDefault="00F36672" w:rsidP="00D655A7">
            <w:pPr>
              <w:pStyle w:val="BodyText1"/>
              <w:rPr>
                <w:b/>
              </w:rPr>
            </w:pPr>
            <w:r>
              <w:rPr>
                <w:b/>
              </w:rPr>
              <w:t>5</w:t>
            </w:r>
          </w:p>
        </w:tc>
        <w:tc>
          <w:tcPr>
            <w:tcW w:w="3616" w:type="pct"/>
            <w:shd w:val="clear" w:color="auto" w:fill="FFFFFF"/>
          </w:tcPr>
          <w:p w:rsidR="00F36672" w:rsidRPr="00A97BE6" w:rsidRDefault="00F36672" w:rsidP="00D655A7">
            <w:pPr>
              <w:pStyle w:val="BodyText1"/>
              <w:rPr>
                <w:b/>
              </w:rPr>
            </w:pPr>
            <w:r w:rsidRPr="00A97BE6">
              <w:rPr>
                <w:b/>
              </w:rPr>
              <w:t>Detailní rozpracování doporu</w:t>
            </w:r>
            <w:r>
              <w:rPr>
                <w:b/>
              </w:rPr>
              <w:t>če</w:t>
            </w:r>
            <w:r w:rsidRPr="00A97BE6">
              <w:rPr>
                <w:b/>
              </w:rPr>
              <w:t>né varianty</w:t>
            </w:r>
            <w:r>
              <w:rPr>
                <w:b/>
              </w:rPr>
              <w:t xml:space="preserve"> implementace IFN v ČR </w:t>
            </w:r>
          </w:p>
          <w:p w:rsidR="00F36672" w:rsidRDefault="00F36672" w:rsidP="00D655A7">
            <w:pPr>
              <w:pStyle w:val="BodyText1"/>
            </w:pPr>
            <w:r w:rsidRPr="000869EB">
              <w:t>Vytvoření projektového tým</w:t>
            </w:r>
            <w:r>
              <w:t>u</w:t>
            </w:r>
            <w:r w:rsidRPr="000869EB">
              <w:t>, který bude realizovat studii proveditelnosti</w:t>
            </w:r>
            <w:r>
              <w:t xml:space="preserve">. </w:t>
            </w:r>
          </w:p>
          <w:p w:rsidR="00F36672" w:rsidRDefault="00F36672" w:rsidP="00D655A7">
            <w:pPr>
              <w:pStyle w:val="BodyText1"/>
            </w:pPr>
            <w:r w:rsidRPr="000869EB">
              <w:t xml:space="preserve">Zpracování podrobné organizační, funkční a právní analýzy, včetně </w:t>
            </w:r>
            <w:r>
              <w:t>posouzení možností</w:t>
            </w:r>
            <w:r w:rsidRPr="000869EB">
              <w:t xml:space="preserve"> financování ze státního rozpočtu</w:t>
            </w:r>
            <w:r>
              <w:t>. Vyhodnocení proveditelnosti z hlediska souladu s legislativou (rozpočtová pravidla, zákon o státní pokladně, služební zákon atd.)</w:t>
            </w:r>
          </w:p>
          <w:p w:rsidR="00F36672" w:rsidRPr="000869EB" w:rsidRDefault="00F36672" w:rsidP="00D655A7">
            <w:pPr>
              <w:pStyle w:val="BodyText1"/>
            </w:pPr>
            <w:r>
              <w:t>Zpracování studie proveditelnosti vybrané varianty implementace fondu fondů. Studie proveditelnosti musí obsahovat minimálně specifikaci nutných legislativních úprav, procesně-organizační nastavení, personální nastavení, specifikaci právních vztahů a finančních toků mezi jednotlivými subjekty implementujícími IFN v ČR).</w:t>
            </w:r>
          </w:p>
        </w:tc>
        <w:tc>
          <w:tcPr>
            <w:tcW w:w="1179" w:type="pct"/>
            <w:shd w:val="clear" w:color="auto" w:fill="FFFFFF"/>
          </w:tcPr>
          <w:p w:rsidR="00F36672" w:rsidRPr="00D60031" w:rsidRDefault="00F36672" w:rsidP="00D655A7">
            <w:pPr>
              <w:pStyle w:val="BodyText1"/>
              <w:rPr>
                <w:b/>
              </w:rPr>
            </w:pPr>
            <w:r>
              <w:rPr>
                <w:b/>
              </w:rPr>
              <w:t xml:space="preserve">Březen </w:t>
            </w:r>
            <w:r w:rsidR="00D70481">
              <w:rPr>
                <w:b/>
              </w:rPr>
              <w:t>–</w:t>
            </w:r>
            <w:r>
              <w:rPr>
                <w:b/>
              </w:rPr>
              <w:t xml:space="preserve"> </w:t>
            </w:r>
            <w:r w:rsidR="00D70481">
              <w:rPr>
                <w:b/>
              </w:rPr>
              <w:t xml:space="preserve">Červenec </w:t>
            </w:r>
            <w:r w:rsidRPr="00D60031">
              <w:rPr>
                <w:b/>
              </w:rPr>
              <w:t>2015</w:t>
            </w:r>
          </w:p>
        </w:tc>
      </w:tr>
      <w:tr w:rsidR="00F36672" w:rsidRPr="00C53605" w:rsidTr="00D655A7">
        <w:tc>
          <w:tcPr>
            <w:tcW w:w="205" w:type="pct"/>
            <w:shd w:val="clear" w:color="auto" w:fill="FFFFFF"/>
          </w:tcPr>
          <w:p w:rsidR="00F36672" w:rsidRDefault="00F36672" w:rsidP="00D655A7">
            <w:pPr>
              <w:pStyle w:val="BodyText1"/>
              <w:rPr>
                <w:b/>
              </w:rPr>
            </w:pPr>
            <w:r>
              <w:rPr>
                <w:b/>
              </w:rPr>
              <w:t>6</w:t>
            </w:r>
          </w:p>
        </w:tc>
        <w:tc>
          <w:tcPr>
            <w:tcW w:w="3616" w:type="pct"/>
            <w:shd w:val="clear" w:color="auto" w:fill="FFFFFF"/>
          </w:tcPr>
          <w:p w:rsidR="00F36672" w:rsidRPr="000506C2" w:rsidRDefault="00F36672" w:rsidP="00D655A7">
            <w:pPr>
              <w:pStyle w:val="BodyText1"/>
              <w:rPr>
                <w:b/>
              </w:rPr>
            </w:pPr>
            <w:r>
              <w:rPr>
                <w:b/>
              </w:rPr>
              <w:t>Zahájení veřejné diskuze s potenciálními soukromými investory</w:t>
            </w:r>
          </w:p>
        </w:tc>
        <w:tc>
          <w:tcPr>
            <w:tcW w:w="1179" w:type="pct"/>
            <w:shd w:val="clear" w:color="auto" w:fill="FFFFFF"/>
          </w:tcPr>
          <w:p w:rsidR="00F36672" w:rsidRDefault="00F36672" w:rsidP="00D655A7">
            <w:pPr>
              <w:pStyle w:val="BodyText1"/>
              <w:rPr>
                <w:b/>
              </w:rPr>
            </w:pPr>
            <w:r>
              <w:rPr>
                <w:b/>
              </w:rPr>
              <w:t xml:space="preserve">Bezodkladně </w:t>
            </w:r>
          </w:p>
        </w:tc>
      </w:tr>
      <w:tr w:rsidR="00F36672" w:rsidRPr="00D60031" w:rsidTr="00D655A7">
        <w:tc>
          <w:tcPr>
            <w:tcW w:w="205" w:type="pct"/>
            <w:shd w:val="clear" w:color="auto" w:fill="FFFFFF"/>
          </w:tcPr>
          <w:p w:rsidR="00F36672" w:rsidRPr="000506C2" w:rsidRDefault="00F36672" w:rsidP="00D655A7">
            <w:pPr>
              <w:pStyle w:val="BodyText1"/>
              <w:rPr>
                <w:b/>
              </w:rPr>
            </w:pPr>
            <w:r>
              <w:rPr>
                <w:b/>
              </w:rPr>
              <w:t>7</w:t>
            </w:r>
          </w:p>
        </w:tc>
        <w:tc>
          <w:tcPr>
            <w:tcW w:w="3616" w:type="pct"/>
            <w:shd w:val="clear" w:color="auto" w:fill="FFFFFF"/>
          </w:tcPr>
          <w:p w:rsidR="00F36672" w:rsidRPr="000869EB" w:rsidRDefault="00F36672" w:rsidP="00D655A7">
            <w:pPr>
              <w:pStyle w:val="BodyText1"/>
            </w:pPr>
            <w:r w:rsidRPr="000506C2">
              <w:rPr>
                <w:b/>
              </w:rPr>
              <w:t>Realizace potřebných legislativních úprav</w:t>
            </w:r>
            <w:r>
              <w:t xml:space="preserve"> (oficiální legislativní proces)</w:t>
            </w:r>
          </w:p>
        </w:tc>
        <w:tc>
          <w:tcPr>
            <w:tcW w:w="1179" w:type="pct"/>
            <w:shd w:val="clear" w:color="auto" w:fill="FFFFFF"/>
          </w:tcPr>
          <w:p w:rsidR="00F36672" w:rsidRPr="00D60031" w:rsidRDefault="00F36672" w:rsidP="00D655A7">
            <w:pPr>
              <w:pStyle w:val="BodyText1"/>
              <w:rPr>
                <w:b/>
              </w:rPr>
            </w:pPr>
            <w:r>
              <w:rPr>
                <w:b/>
              </w:rPr>
              <w:t>Únor – Červen</w:t>
            </w:r>
            <w:r w:rsidR="00D70481">
              <w:rPr>
                <w:b/>
              </w:rPr>
              <w:t>ec</w:t>
            </w:r>
            <w:r>
              <w:rPr>
                <w:b/>
              </w:rPr>
              <w:t xml:space="preserve"> 2015</w:t>
            </w:r>
          </w:p>
        </w:tc>
      </w:tr>
      <w:tr w:rsidR="00F36672" w:rsidRPr="00C53605" w:rsidTr="00D655A7">
        <w:tc>
          <w:tcPr>
            <w:tcW w:w="205" w:type="pct"/>
            <w:shd w:val="clear" w:color="auto" w:fill="FFFFFF"/>
          </w:tcPr>
          <w:p w:rsidR="00F36672" w:rsidRDefault="00F36672" w:rsidP="00D655A7">
            <w:pPr>
              <w:pStyle w:val="BodyText1"/>
              <w:rPr>
                <w:b/>
              </w:rPr>
            </w:pPr>
            <w:r>
              <w:rPr>
                <w:b/>
              </w:rPr>
              <w:t>8</w:t>
            </w:r>
          </w:p>
        </w:tc>
        <w:tc>
          <w:tcPr>
            <w:tcW w:w="3616" w:type="pct"/>
            <w:shd w:val="clear" w:color="auto" w:fill="FFFFFF"/>
          </w:tcPr>
          <w:p w:rsidR="00F36672" w:rsidRPr="00061B71" w:rsidRDefault="00F36672" w:rsidP="003739E3">
            <w:pPr>
              <w:pStyle w:val="BodyText1"/>
            </w:pPr>
            <w:r>
              <w:rPr>
                <w:b/>
              </w:rPr>
              <w:t xml:space="preserve">Zřízení </w:t>
            </w:r>
            <w:r w:rsidR="003739E3">
              <w:rPr>
                <w:b/>
              </w:rPr>
              <w:t xml:space="preserve">Fondu </w:t>
            </w:r>
            <w:r>
              <w:rPr>
                <w:b/>
              </w:rPr>
              <w:t>fond</w:t>
            </w:r>
            <w:r w:rsidR="003739E3">
              <w:rPr>
                <w:b/>
              </w:rPr>
              <w:t>ů</w:t>
            </w:r>
            <w:r>
              <w:rPr>
                <w:b/>
              </w:rPr>
              <w:t xml:space="preserve"> a ustanovení správce fondu </w:t>
            </w:r>
            <w:r>
              <w:t>včetně vymezení jeho rolí a odpovědností</w:t>
            </w:r>
          </w:p>
        </w:tc>
        <w:tc>
          <w:tcPr>
            <w:tcW w:w="1179" w:type="pct"/>
            <w:shd w:val="clear" w:color="auto" w:fill="FFFFFF"/>
          </w:tcPr>
          <w:p w:rsidR="00F36672" w:rsidRDefault="00F36672" w:rsidP="00D655A7">
            <w:pPr>
              <w:pStyle w:val="BodyText1"/>
              <w:rPr>
                <w:b/>
              </w:rPr>
            </w:pPr>
            <w:r>
              <w:rPr>
                <w:b/>
              </w:rPr>
              <w:t>Červen – Červenec 2015</w:t>
            </w:r>
          </w:p>
        </w:tc>
      </w:tr>
      <w:tr w:rsidR="00F36672" w:rsidRPr="00944D54" w:rsidTr="00D655A7">
        <w:tc>
          <w:tcPr>
            <w:tcW w:w="205" w:type="pct"/>
            <w:shd w:val="clear" w:color="auto" w:fill="FFFFFF"/>
          </w:tcPr>
          <w:p w:rsidR="00F36672" w:rsidRPr="000506C2" w:rsidRDefault="00F36672" w:rsidP="00D655A7">
            <w:pPr>
              <w:pStyle w:val="BodyText1"/>
              <w:rPr>
                <w:b/>
              </w:rPr>
            </w:pPr>
            <w:r>
              <w:rPr>
                <w:b/>
              </w:rPr>
              <w:t>9</w:t>
            </w:r>
          </w:p>
        </w:tc>
        <w:tc>
          <w:tcPr>
            <w:tcW w:w="3616" w:type="pct"/>
            <w:shd w:val="clear" w:color="auto" w:fill="FFFFFF"/>
          </w:tcPr>
          <w:p w:rsidR="00F36672" w:rsidRPr="000869EB" w:rsidRDefault="00F36672" w:rsidP="00D655A7">
            <w:pPr>
              <w:pStyle w:val="BodyText1"/>
            </w:pPr>
            <w:r w:rsidRPr="000506C2">
              <w:rPr>
                <w:b/>
              </w:rPr>
              <w:t>Zpracování řídící</w:t>
            </w:r>
            <w:r>
              <w:rPr>
                <w:b/>
              </w:rPr>
              <w:t xml:space="preserve"> dokumentace</w:t>
            </w:r>
            <w:r w:rsidRPr="000506C2">
              <w:rPr>
                <w:b/>
              </w:rPr>
              <w:t xml:space="preserve"> </w:t>
            </w:r>
            <w:r>
              <w:t>(operační manuál, delegační dohody, příručky)</w:t>
            </w:r>
          </w:p>
        </w:tc>
        <w:tc>
          <w:tcPr>
            <w:tcW w:w="1179" w:type="pct"/>
            <w:shd w:val="clear" w:color="auto" w:fill="FFFFFF"/>
          </w:tcPr>
          <w:p w:rsidR="00F36672" w:rsidRDefault="00F36672" w:rsidP="00D655A7">
            <w:pPr>
              <w:pStyle w:val="BodyText1"/>
              <w:rPr>
                <w:b/>
              </w:rPr>
            </w:pPr>
            <w:r>
              <w:rPr>
                <w:b/>
              </w:rPr>
              <w:t>Červen – Září 2015</w:t>
            </w:r>
          </w:p>
        </w:tc>
      </w:tr>
      <w:tr w:rsidR="00F36672" w:rsidRPr="00944D54" w:rsidTr="00D655A7">
        <w:tc>
          <w:tcPr>
            <w:tcW w:w="205" w:type="pct"/>
            <w:shd w:val="clear" w:color="auto" w:fill="FFFFFF"/>
          </w:tcPr>
          <w:p w:rsidR="00F36672" w:rsidRPr="000506C2" w:rsidRDefault="00F36672" w:rsidP="00D655A7">
            <w:pPr>
              <w:pStyle w:val="BodyText1"/>
              <w:rPr>
                <w:b/>
              </w:rPr>
            </w:pPr>
            <w:r>
              <w:rPr>
                <w:b/>
              </w:rPr>
              <w:t>10</w:t>
            </w:r>
          </w:p>
        </w:tc>
        <w:tc>
          <w:tcPr>
            <w:tcW w:w="3616" w:type="pct"/>
            <w:shd w:val="clear" w:color="auto" w:fill="FFFFFF"/>
          </w:tcPr>
          <w:p w:rsidR="00F36672" w:rsidRPr="000506C2" w:rsidRDefault="00F36672" w:rsidP="00D655A7">
            <w:pPr>
              <w:pStyle w:val="BodyText1"/>
              <w:rPr>
                <w:b/>
              </w:rPr>
            </w:pPr>
            <w:r w:rsidRPr="000506C2">
              <w:rPr>
                <w:b/>
              </w:rPr>
              <w:t xml:space="preserve">Finální schválení </w:t>
            </w:r>
            <w:r>
              <w:rPr>
                <w:b/>
              </w:rPr>
              <w:t>řídící dokumentace potřebné pro implementaci IFN (</w:t>
            </w:r>
            <w:r w:rsidRPr="000506C2">
              <w:rPr>
                <w:b/>
              </w:rPr>
              <w:t>včetně auditu designace</w:t>
            </w:r>
            <w:r>
              <w:rPr>
                <w:b/>
              </w:rPr>
              <w:t>)</w:t>
            </w:r>
          </w:p>
        </w:tc>
        <w:tc>
          <w:tcPr>
            <w:tcW w:w="1179" w:type="pct"/>
            <w:shd w:val="clear" w:color="auto" w:fill="FFFFFF"/>
          </w:tcPr>
          <w:p w:rsidR="00F36672" w:rsidRPr="00D60031" w:rsidRDefault="00F36672" w:rsidP="00D655A7">
            <w:pPr>
              <w:pStyle w:val="BodyText1"/>
              <w:rPr>
                <w:b/>
              </w:rPr>
            </w:pPr>
            <w:r>
              <w:rPr>
                <w:b/>
              </w:rPr>
              <w:t xml:space="preserve">Září – Prosinec 2015 </w:t>
            </w:r>
          </w:p>
        </w:tc>
      </w:tr>
      <w:tr w:rsidR="00F36672" w:rsidRPr="00944D54" w:rsidTr="00D655A7">
        <w:tc>
          <w:tcPr>
            <w:tcW w:w="205" w:type="pct"/>
            <w:shd w:val="clear" w:color="auto" w:fill="FFFFFF"/>
          </w:tcPr>
          <w:p w:rsidR="00F36672" w:rsidRPr="00061B71" w:rsidRDefault="00F36672" w:rsidP="00D655A7">
            <w:pPr>
              <w:pStyle w:val="BodyText1"/>
              <w:rPr>
                <w:b/>
              </w:rPr>
            </w:pPr>
            <w:r>
              <w:rPr>
                <w:b/>
              </w:rPr>
              <w:t>12</w:t>
            </w:r>
          </w:p>
        </w:tc>
        <w:tc>
          <w:tcPr>
            <w:tcW w:w="3616" w:type="pct"/>
            <w:shd w:val="clear" w:color="auto" w:fill="FFFFFF"/>
          </w:tcPr>
          <w:p w:rsidR="00F36672" w:rsidRPr="00061B71" w:rsidRDefault="00F36672" w:rsidP="00D655A7">
            <w:pPr>
              <w:pStyle w:val="BodyText1"/>
              <w:rPr>
                <w:b/>
              </w:rPr>
            </w:pPr>
            <w:r w:rsidRPr="00061B71">
              <w:rPr>
                <w:b/>
              </w:rPr>
              <w:t xml:space="preserve">Spuštění prvních výzev ve finančních nástrojích </w:t>
            </w:r>
          </w:p>
        </w:tc>
        <w:tc>
          <w:tcPr>
            <w:tcW w:w="1179" w:type="pct"/>
            <w:shd w:val="clear" w:color="auto" w:fill="FFFFFF"/>
          </w:tcPr>
          <w:p w:rsidR="00F36672" w:rsidRPr="00D60031" w:rsidRDefault="00F36672" w:rsidP="00D655A7">
            <w:pPr>
              <w:pStyle w:val="BodyText1"/>
              <w:rPr>
                <w:b/>
              </w:rPr>
            </w:pPr>
            <w:r w:rsidRPr="00D60031">
              <w:rPr>
                <w:b/>
              </w:rPr>
              <w:t>Leden 2016</w:t>
            </w:r>
          </w:p>
        </w:tc>
      </w:tr>
      <w:tr w:rsidR="00F36672" w:rsidRPr="00061B71" w:rsidTr="00D655A7">
        <w:tc>
          <w:tcPr>
            <w:tcW w:w="5000" w:type="pct"/>
            <w:gridSpan w:val="3"/>
            <w:shd w:val="clear" w:color="auto" w:fill="C5EEFF" w:themeFill="accent3" w:themeFillTint="33"/>
          </w:tcPr>
          <w:p w:rsidR="00F36672" w:rsidRPr="000506C2" w:rsidRDefault="00F36672" w:rsidP="00D655A7">
            <w:pPr>
              <w:pStyle w:val="BodyText1"/>
              <w:rPr>
                <w:b/>
                <w:color w:val="auto"/>
              </w:rPr>
            </w:pPr>
            <w:r w:rsidRPr="000506C2">
              <w:rPr>
                <w:b/>
                <w:color w:val="auto"/>
              </w:rPr>
              <w:t xml:space="preserve">Úroveň </w:t>
            </w:r>
            <w:r>
              <w:rPr>
                <w:b/>
                <w:color w:val="auto"/>
              </w:rPr>
              <w:t>F</w:t>
            </w:r>
            <w:r w:rsidRPr="000506C2">
              <w:rPr>
                <w:b/>
                <w:color w:val="auto"/>
              </w:rPr>
              <w:t>ond</w:t>
            </w:r>
            <w:r>
              <w:rPr>
                <w:b/>
                <w:color w:val="auto"/>
              </w:rPr>
              <w:t>u, finančního nástroje (koordinuje a zabezpečuje ŘO IROP)</w:t>
            </w:r>
          </w:p>
        </w:tc>
      </w:tr>
      <w:tr w:rsidR="00F36672" w:rsidRPr="00C53605" w:rsidTr="00D655A7">
        <w:tc>
          <w:tcPr>
            <w:tcW w:w="205" w:type="pct"/>
            <w:shd w:val="clear" w:color="auto" w:fill="FFFFFF"/>
          </w:tcPr>
          <w:p w:rsidR="00F36672" w:rsidRDefault="00F36672" w:rsidP="00D655A7">
            <w:pPr>
              <w:pStyle w:val="BodyText1"/>
              <w:rPr>
                <w:b/>
              </w:rPr>
            </w:pPr>
            <w:r>
              <w:rPr>
                <w:b/>
              </w:rPr>
              <w:t>1</w:t>
            </w:r>
          </w:p>
        </w:tc>
        <w:tc>
          <w:tcPr>
            <w:tcW w:w="3616" w:type="pct"/>
            <w:shd w:val="clear" w:color="auto" w:fill="FFFFFF"/>
          </w:tcPr>
          <w:p w:rsidR="00F36672" w:rsidRPr="000506C2" w:rsidRDefault="00F36672" w:rsidP="00D655A7">
            <w:pPr>
              <w:pStyle w:val="BodyText1"/>
              <w:rPr>
                <w:b/>
              </w:rPr>
            </w:pPr>
            <w:r>
              <w:rPr>
                <w:b/>
              </w:rPr>
              <w:t>Akceptace závěrečné zprávy ex-ante posouzení možností využití finančních nástrojů v IROP</w:t>
            </w:r>
          </w:p>
        </w:tc>
        <w:tc>
          <w:tcPr>
            <w:tcW w:w="1179" w:type="pct"/>
            <w:shd w:val="clear" w:color="auto" w:fill="FFFFFF"/>
          </w:tcPr>
          <w:p w:rsidR="00F36672" w:rsidRPr="000506C2" w:rsidRDefault="00F36672" w:rsidP="00D655A7">
            <w:pPr>
              <w:pStyle w:val="BodyText1"/>
              <w:rPr>
                <w:b/>
                <w:color w:val="auto"/>
              </w:rPr>
            </w:pPr>
            <w:r>
              <w:rPr>
                <w:b/>
                <w:color w:val="auto"/>
              </w:rPr>
              <w:t>Únor 2015</w:t>
            </w:r>
          </w:p>
        </w:tc>
      </w:tr>
      <w:tr w:rsidR="00F36672" w:rsidRPr="00C53605" w:rsidTr="00D655A7">
        <w:tc>
          <w:tcPr>
            <w:tcW w:w="205" w:type="pct"/>
            <w:shd w:val="clear" w:color="auto" w:fill="FFFFFF"/>
          </w:tcPr>
          <w:p w:rsidR="00F36672" w:rsidRDefault="00F36672" w:rsidP="00D655A7">
            <w:pPr>
              <w:pStyle w:val="BodyText1"/>
              <w:rPr>
                <w:b/>
              </w:rPr>
            </w:pPr>
            <w:r>
              <w:rPr>
                <w:b/>
              </w:rPr>
              <w:t>2</w:t>
            </w:r>
          </w:p>
        </w:tc>
        <w:tc>
          <w:tcPr>
            <w:tcW w:w="3616" w:type="pct"/>
            <w:shd w:val="clear" w:color="auto" w:fill="FFFFFF"/>
          </w:tcPr>
          <w:p w:rsidR="00F36672" w:rsidRDefault="00F36672" w:rsidP="00D655A7">
            <w:pPr>
              <w:pStyle w:val="BodyText1"/>
              <w:rPr>
                <w:b/>
              </w:rPr>
            </w:pPr>
            <w:r>
              <w:rPr>
                <w:b/>
              </w:rPr>
              <w:t>Konzultace závěrů předběžného hodnocení ŘO s PCO a NOK</w:t>
            </w:r>
          </w:p>
        </w:tc>
        <w:tc>
          <w:tcPr>
            <w:tcW w:w="1179" w:type="pct"/>
            <w:shd w:val="clear" w:color="auto" w:fill="FFFFFF"/>
          </w:tcPr>
          <w:p w:rsidR="00F36672" w:rsidRPr="000506C2" w:rsidRDefault="00F36672" w:rsidP="00D655A7">
            <w:pPr>
              <w:pStyle w:val="BodyText1"/>
              <w:rPr>
                <w:b/>
                <w:color w:val="auto"/>
              </w:rPr>
            </w:pPr>
            <w:r>
              <w:rPr>
                <w:b/>
                <w:color w:val="auto"/>
              </w:rPr>
              <w:t>Únor – Duben 2015</w:t>
            </w:r>
          </w:p>
        </w:tc>
      </w:tr>
      <w:tr w:rsidR="00F36672" w:rsidRPr="00061B71" w:rsidTr="00D655A7">
        <w:tc>
          <w:tcPr>
            <w:tcW w:w="205" w:type="pct"/>
            <w:shd w:val="clear" w:color="auto" w:fill="FFFFFF"/>
          </w:tcPr>
          <w:p w:rsidR="00F36672" w:rsidRPr="000506C2" w:rsidRDefault="00F36672" w:rsidP="00D655A7">
            <w:pPr>
              <w:pStyle w:val="BodyText1"/>
              <w:rPr>
                <w:b/>
              </w:rPr>
            </w:pPr>
            <w:r>
              <w:rPr>
                <w:b/>
              </w:rPr>
              <w:t>3</w:t>
            </w:r>
          </w:p>
        </w:tc>
        <w:tc>
          <w:tcPr>
            <w:tcW w:w="3616" w:type="pct"/>
            <w:shd w:val="clear" w:color="auto" w:fill="FFFFFF"/>
          </w:tcPr>
          <w:p w:rsidR="00F36672" w:rsidRPr="000869EB" w:rsidRDefault="00F36672" w:rsidP="00D655A7">
            <w:pPr>
              <w:pStyle w:val="BodyText1"/>
            </w:pPr>
            <w:r w:rsidRPr="000506C2">
              <w:rPr>
                <w:b/>
              </w:rPr>
              <w:t xml:space="preserve">Rozhodnutí vedení </w:t>
            </w:r>
            <w:r>
              <w:rPr>
                <w:b/>
              </w:rPr>
              <w:t>MMR</w:t>
            </w:r>
            <w:r w:rsidRPr="000869EB">
              <w:t xml:space="preserve"> o implementaci finančních nástrojů v rámci vybraných opatření a o objemu alokace příslušných prioritních os na finanční nástroje</w:t>
            </w:r>
            <w:r>
              <w:t xml:space="preserve">. </w:t>
            </w:r>
            <w:r w:rsidRPr="00690C71">
              <w:t xml:space="preserve">Schválení rozhodnutí využít IFN monitorovacím výborem </w:t>
            </w:r>
            <w:r>
              <w:t>IROP</w:t>
            </w:r>
          </w:p>
        </w:tc>
        <w:tc>
          <w:tcPr>
            <w:tcW w:w="1179" w:type="pct"/>
            <w:shd w:val="clear" w:color="auto" w:fill="FFFFFF"/>
          </w:tcPr>
          <w:p w:rsidR="00F36672" w:rsidRPr="00D60031" w:rsidRDefault="00F36672" w:rsidP="00D655A7">
            <w:pPr>
              <w:pStyle w:val="BodyText1"/>
              <w:rPr>
                <w:b/>
              </w:rPr>
            </w:pPr>
            <w:r>
              <w:rPr>
                <w:b/>
              </w:rPr>
              <w:t xml:space="preserve">Únor – Duben </w:t>
            </w:r>
            <w:r w:rsidRPr="00D60031">
              <w:rPr>
                <w:b/>
              </w:rPr>
              <w:t>2015</w:t>
            </w:r>
          </w:p>
        </w:tc>
      </w:tr>
      <w:tr w:rsidR="00F36672" w:rsidRPr="00C53605" w:rsidTr="00D655A7">
        <w:tc>
          <w:tcPr>
            <w:tcW w:w="205" w:type="pct"/>
            <w:shd w:val="clear" w:color="auto" w:fill="FFFFFF"/>
          </w:tcPr>
          <w:p w:rsidR="00F36672" w:rsidRDefault="00F36672" w:rsidP="00D655A7">
            <w:pPr>
              <w:pStyle w:val="BodyText1"/>
              <w:rPr>
                <w:b/>
              </w:rPr>
            </w:pPr>
            <w:r>
              <w:rPr>
                <w:b/>
              </w:rPr>
              <w:t>4</w:t>
            </w:r>
          </w:p>
        </w:tc>
        <w:tc>
          <w:tcPr>
            <w:tcW w:w="3616" w:type="pct"/>
            <w:shd w:val="clear" w:color="auto" w:fill="FFFFFF"/>
          </w:tcPr>
          <w:p w:rsidR="00F36672" w:rsidRPr="000506C2" w:rsidRDefault="00F36672" w:rsidP="00D655A7">
            <w:pPr>
              <w:pStyle w:val="BodyText1"/>
              <w:rPr>
                <w:b/>
              </w:rPr>
            </w:pPr>
            <w:r>
              <w:rPr>
                <w:b/>
              </w:rPr>
              <w:t>Posouzení proveditelnosti závěrů ex-ante analýzy ze strany EK</w:t>
            </w:r>
          </w:p>
        </w:tc>
        <w:tc>
          <w:tcPr>
            <w:tcW w:w="1179" w:type="pct"/>
            <w:shd w:val="clear" w:color="auto" w:fill="FFFFFF"/>
          </w:tcPr>
          <w:p w:rsidR="00F36672" w:rsidRPr="00D60031" w:rsidRDefault="00F36672" w:rsidP="00D655A7">
            <w:pPr>
              <w:pStyle w:val="BodyText1"/>
              <w:rPr>
                <w:b/>
              </w:rPr>
            </w:pPr>
            <w:r>
              <w:rPr>
                <w:b/>
              </w:rPr>
              <w:t>Únor – Duben 2015</w:t>
            </w:r>
          </w:p>
        </w:tc>
      </w:tr>
      <w:tr w:rsidR="00F36672" w:rsidRPr="00C53605" w:rsidTr="00D655A7">
        <w:tc>
          <w:tcPr>
            <w:tcW w:w="205" w:type="pct"/>
            <w:shd w:val="clear" w:color="auto" w:fill="FFFFFF"/>
          </w:tcPr>
          <w:p w:rsidR="00F36672" w:rsidRDefault="00F36672" w:rsidP="00D655A7">
            <w:pPr>
              <w:pStyle w:val="BodyText1"/>
              <w:rPr>
                <w:b/>
              </w:rPr>
            </w:pPr>
            <w:r>
              <w:rPr>
                <w:b/>
              </w:rPr>
              <w:t>5</w:t>
            </w:r>
          </w:p>
        </w:tc>
        <w:tc>
          <w:tcPr>
            <w:tcW w:w="3616" w:type="pct"/>
            <w:shd w:val="clear" w:color="auto" w:fill="FFFFFF"/>
          </w:tcPr>
          <w:p w:rsidR="00F36672" w:rsidRDefault="00F36672" w:rsidP="00D655A7">
            <w:pPr>
              <w:pStyle w:val="BodyText1"/>
              <w:rPr>
                <w:b/>
              </w:rPr>
            </w:pPr>
            <w:r>
              <w:rPr>
                <w:b/>
              </w:rPr>
              <w:t>Zahájení veřejné diskuze s potenciálními uchazeči o správu a s potenciálními soukromými investory</w:t>
            </w:r>
          </w:p>
        </w:tc>
        <w:tc>
          <w:tcPr>
            <w:tcW w:w="1179" w:type="pct"/>
            <w:shd w:val="clear" w:color="auto" w:fill="FFFFFF"/>
          </w:tcPr>
          <w:p w:rsidR="00F36672" w:rsidRPr="00D60031" w:rsidRDefault="00F36672" w:rsidP="00D655A7">
            <w:pPr>
              <w:pStyle w:val="BodyText1"/>
              <w:rPr>
                <w:b/>
              </w:rPr>
            </w:pPr>
            <w:r>
              <w:rPr>
                <w:b/>
              </w:rPr>
              <w:t xml:space="preserve">Bezodkladně </w:t>
            </w:r>
          </w:p>
        </w:tc>
      </w:tr>
      <w:tr w:rsidR="00F36672" w:rsidRPr="00BE7E1F" w:rsidTr="00D655A7">
        <w:tc>
          <w:tcPr>
            <w:tcW w:w="205" w:type="pct"/>
            <w:shd w:val="clear" w:color="auto" w:fill="FFFFFF"/>
          </w:tcPr>
          <w:p w:rsidR="00F36672" w:rsidRDefault="00F36672" w:rsidP="00D655A7">
            <w:pPr>
              <w:pStyle w:val="BodyText1"/>
              <w:rPr>
                <w:b/>
              </w:rPr>
            </w:pPr>
            <w:r>
              <w:rPr>
                <w:b/>
              </w:rPr>
              <w:t>6</w:t>
            </w:r>
          </w:p>
        </w:tc>
        <w:tc>
          <w:tcPr>
            <w:tcW w:w="3616" w:type="pct"/>
            <w:shd w:val="clear" w:color="auto" w:fill="FFFFFF"/>
          </w:tcPr>
          <w:p w:rsidR="00F36672" w:rsidRDefault="00F36672" w:rsidP="00D655A7">
            <w:pPr>
              <w:pStyle w:val="BodyText1"/>
              <w:rPr>
                <w:b/>
              </w:rPr>
            </w:pPr>
            <w:r>
              <w:rPr>
                <w:b/>
              </w:rPr>
              <w:t>Nastavení spolupráce s řídicími orgány ohledně koordinace tvorby IFN na úrovni ŘO</w:t>
            </w:r>
          </w:p>
        </w:tc>
        <w:tc>
          <w:tcPr>
            <w:tcW w:w="1179" w:type="pct"/>
            <w:shd w:val="clear" w:color="auto" w:fill="FFFFFF"/>
          </w:tcPr>
          <w:p w:rsidR="00F36672" w:rsidRDefault="00F36672" w:rsidP="00D655A7">
            <w:pPr>
              <w:pStyle w:val="BodyText1"/>
              <w:rPr>
                <w:b/>
              </w:rPr>
            </w:pPr>
            <w:r>
              <w:rPr>
                <w:b/>
              </w:rPr>
              <w:t>Únor – Červenec 2015</w:t>
            </w:r>
          </w:p>
        </w:tc>
      </w:tr>
      <w:tr w:rsidR="00F36672" w:rsidRPr="00C53605" w:rsidTr="00D655A7">
        <w:tc>
          <w:tcPr>
            <w:tcW w:w="205" w:type="pct"/>
            <w:shd w:val="clear" w:color="auto" w:fill="FFFFFF"/>
          </w:tcPr>
          <w:p w:rsidR="00F36672" w:rsidRPr="00C4100E" w:rsidRDefault="00F36672" w:rsidP="00D655A7">
            <w:pPr>
              <w:pStyle w:val="BodyText1"/>
              <w:rPr>
                <w:b/>
              </w:rPr>
            </w:pPr>
            <w:r>
              <w:rPr>
                <w:b/>
              </w:rPr>
              <w:t>7</w:t>
            </w:r>
          </w:p>
        </w:tc>
        <w:tc>
          <w:tcPr>
            <w:tcW w:w="3616" w:type="pct"/>
            <w:shd w:val="clear" w:color="auto" w:fill="FFFFFF"/>
          </w:tcPr>
          <w:p w:rsidR="00F36672" w:rsidRDefault="00F36672" w:rsidP="00D655A7">
            <w:pPr>
              <w:pStyle w:val="BodyText1"/>
              <w:rPr>
                <w:b/>
              </w:rPr>
            </w:pPr>
            <w:r w:rsidRPr="00C4100E">
              <w:rPr>
                <w:b/>
              </w:rPr>
              <w:t>Vyřešení návaznosti systému implementace FN na právní a jiné normy</w:t>
            </w:r>
          </w:p>
        </w:tc>
        <w:tc>
          <w:tcPr>
            <w:tcW w:w="1179" w:type="pct"/>
            <w:shd w:val="clear" w:color="auto" w:fill="FFFFFF"/>
          </w:tcPr>
          <w:p w:rsidR="00F36672" w:rsidRPr="00061B71" w:rsidRDefault="00F36672" w:rsidP="00D655A7">
            <w:pPr>
              <w:pStyle w:val="BodyText1"/>
              <w:rPr>
                <w:b/>
                <w:highlight w:val="yellow"/>
              </w:rPr>
            </w:pPr>
            <w:r>
              <w:rPr>
                <w:b/>
              </w:rPr>
              <w:t>Únor – Červenec 2015</w:t>
            </w:r>
          </w:p>
        </w:tc>
      </w:tr>
      <w:tr w:rsidR="00F36672" w:rsidRPr="00C53605" w:rsidTr="00D655A7">
        <w:tc>
          <w:tcPr>
            <w:tcW w:w="205" w:type="pct"/>
            <w:shd w:val="clear" w:color="auto" w:fill="FFFFFF"/>
          </w:tcPr>
          <w:p w:rsidR="00F36672" w:rsidRDefault="00F36672" w:rsidP="00D655A7">
            <w:pPr>
              <w:pStyle w:val="BodyText1"/>
              <w:rPr>
                <w:b/>
              </w:rPr>
            </w:pPr>
            <w:r>
              <w:rPr>
                <w:b/>
              </w:rPr>
              <w:t>8</w:t>
            </w:r>
          </w:p>
        </w:tc>
        <w:tc>
          <w:tcPr>
            <w:tcW w:w="3616" w:type="pct"/>
            <w:shd w:val="clear" w:color="auto" w:fill="FFFFFF"/>
          </w:tcPr>
          <w:p w:rsidR="00F36672" w:rsidRDefault="00F36672" w:rsidP="00D655A7">
            <w:pPr>
              <w:pStyle w:val="BodyText1"/>
              <w:rPr>
                <w:b/>
              </w:rPr>
            </w:pPr>
            <w:r>
              <w:rPr>
                <w:b/>
              </w:rPr>
              <w:t>Zpracování konkrétní podoby IFN</w:t>
            </w:r>
          </w:p>
          <w:p w:rsidR="00F36672" w:rsidRDefault="00F36672" w:rsidP="00D655A7">
            <w:pPr>
              <w:pStyle w:val="BodyText1"/>
              <w:numPr>
                <w:ilvl w:val="0"/>
                <w:numId w:val="28"/>
              </w:numPr>
              <w:ind w:left="343" w:hanging="235"/>
            </w:pPr>
            <w:r>
              <w:t>Detailní rozpracování investiční strategie schválených IFN včetně konkrétního nastavení podmínek podpory prostřednictvím IFN,</w:t>
            </w:r>
          </w:p>
          <w:p w:rsidR="00F36672" w:rsidRPr="00366A88" w:rsidRDefault="00F36672" w:rsidP="00D655A7">
            <w:pPr>
              <w:pStyle w:val="BodyText1"/>
              <w:numPr>
                <w:ilvl w:val="0"/>
                <w:numId w:val="28"/>
              </w:numPr>
              <w:ind w:left="343" w:hanging="235"/>
              <w:rPr>
                <w:szCs w:val="19"/>
              </w:rPr>
            </w:pPr>
            <w:r>
              <w:rPr>
                <w:szCs w:val="19"/>
              </w:rPr>
              <w:t>P</w:t>
            </w:r>
            <w:r w:rsidRPr="00690C71">
              <w:rPr>
                <w:szCs w:val="19"/>
              </w:rPr>
              <w:t>odmínky pro možné uplatnění tzv. preferenčního odměňování u vybraných finančních nástrojů</w:t>
            </w:r>
            <w:r w:rsidRPr="00366A88">
              <w:rPr>
                <w:szCs w:val="19"/>
              </w:rPr>
              <w:t>,</w:t>
            </w:r>
          </w:p>
          <w:p w:rsidR="00F36672" w:rsidRDefault="00F36672" w:rsidP="00D655A7">
            <w:pPr>
              <w:pStyle w:val="BodyText1"/>
              <w:numPr>
                <w:ilvl w:val="0"/>
                <w:numId w:val="28"/>
              </w:numPr>
              <w:ind w:left="343" w:hanging="235"/>
            </w:pPr>
            <w:r>
              <w:t xml:space="preserve">Nastavení požadovaných přínosů, </w:t>
            </w:r>
          </w:p>
          <w:p w:rsidR="00F36672" w:rsidRDefault="00F36672" w:rsidP="00D655A7">
            <w:pPr>
              <w:pStyle w:val="BodyText1"/>
              <w:numPr>
                <w:ilvl w:val="0"/>
                <w:numId w:val="28"/>
              </w:numPr>
              <w:ind w:left="343" w:hanging="235"/>
            </w:pPr>
            <w:r>
              <w:t>Přesné vymezení alokace,</w:t>
            </w:r>
          </w:p>
          <w:p w:rsidR="00F36672" w:rsidRDefault="00F36672" w:rsidP="00D655A7">
            <w:pPr>
              <w:pStyle w:val="BodyText1"/>
              <w:numPr>
                <w:ilvl w:val="0"/>
                <w:numId w:val="28"/>
              </w:numPr>
              <w:ind w:left="343" w:hanging="235"/>
            </w:pPr>
            <w:r>
              <w:t>Procesně-organizační nastavení, požadavky na personální kapacitu a technické zajištění,</w:t>
            </w:r>
          </w:p>
          <w:p w:rsidR="00F36672" w:rsidRPr="00061B71" w:rsidRDefault="00F36672" w:rsidP="00D655A7">
            <w:pPr>
              <w:pStyle w:val="BodyText1"/>
              <w:numPr>
                <w:ilvl w:val="0"/>
                <w:numId w:val="28"/>
              </w:numPr>
              <w:ind w:left="343" w:hanging="235"/>
            </w:pPr>
            <w:r>
              <w:t xml:space="preserve">Nastavení a uzavření smluvních dokumentů se subjekty zapojenými do implementace (dohoda o financování, delegační dohoda, statut atd.) </w:t>
            </w:r>
          </w:p>
        </w:tc>
        <w:tc>
          <w:tcPr>
            <w:tcW w:w="1179" w:type="pct"/>
            <w:shd w:val="clear" w:color="auto" w:fill="FFFFFF"/>
          </w:tcPr>
          <w:p w:rsidR="00F36672" w:rsidRPr="00061B71" w:rsidRDefault="00F36672" w:rsidP="00D655A7">
            <w:pPr>
              <w:pStyle w:val="BodyText1"/>
              <w:rPr>
                <w:b/>
                <w:highlight w:val="yellow"/>
              </w:rPr>
            </w:pPr>
            <w:r>
              <w:rPr>
                <w:b/>
              </w:rPr>
              <w:t>Únor – Červenec 2015</w:t>
            </w:r>
          </w:p>
        </w:tc>
      </w:tr>
      <w:tr w:rsidR="00F36672" w:rsidRPr="00C4100E" w:rsidTr="00D655A7">
        <w:tc>
          <w:tcPr>
            <w:tcW w:w="205" w:type="pct"/>
            <w:shd w:val="clear" w:color="auto" w:fill="FFFFFF"/>
          </w:tcPr>
          <w:p w:rsidR="00F36672" w:rsidRDefault="00F36672" w:rsidP="00D655A7">
            <w:pPr>
              <w:pStyle w:val="BodyText1"/>
              <w:rPr>
                <w:b/>
              </w:rPr>
            </w:pPr>
            <w:r>
              <w:rPr>
                <w:b/>
              </w:rPr>
              <w:t>9</w:t>
            </w:r>
          </w:p>
        </w:tc>
        <w:tc>
          <w:tcPr>
            <w:tcW w:w="3616" w:type="pct"/>
            <w:shd w:val="clear" w:color="auto" w:fill="FFFFFF"/>
          </w:tcPr>
          <w:p w:rsidR="00F36672" w:rsidRDefault="00F36672" w:rsidP="00D655A7">
            <w:pPr>
              <w:pStyle w:val="BodyText1"/>
              <w:rPr>
                <w:b/>
              </w:rPr>
            </w:pPr>
            <w:r>
              <w:rPr>
                <w:b/>
              </w:rPr>
              <w:t>Schválení detailního nastavení IFN ze strany ŘO</w:t>
            </w:r>
          </w:p>
        </w:tc>
        <w:tc>
          <w:tcPr>
            <w:tcW w:w="1179" w:type="pct"/>
            <w:shd w:val="clear" w:color="auto" w:fill="FFFFFF"/>
          </w:tcPr>
          <w:p w:rsidR="00F36672" w:rsidRDefault="00F36672" w:rsidP="00D655A7">
            <w:pPr>
              <w:pStyle w:val="BodyText1"/>
              <w:rPr>
                <w:b/>
              </w:rPr>
            </w:pPr>
            <w:r w:rsidRPr="00690C71">
              <w:rPr>
                <w:b/>
              </w:rPr>
              <w:t>Červenec 2015</w:t>
            </w:r>
          </w:p>
        </w:tc>
      </w:tr>
      <w:tr w:rsidR="00F36672" w:rsidRPr="00C53605" w:rsidTr="00D655A7">
        <w:tc>
          <w:tcPr>
            <w:tcW w:w="205" w:type="pct"/>
            <w:shd w:val="clear" w:color="auto" w:fill="FFFFFF"/>
          </w:tcPr>
          <w:p w:rsidR="00F36672" w:rsidRPr="00A456DF" w:rsidRDefault="00F36672" w:rsidP="00D655A7">
            <w:pPr>
              <w:pStyle w:val="BodyText1"/>
              <w:rPr>
                <w:b/>
                <w:szCs w:val="19"/>
              </w:rPr>
            </w:pPr>
            <w:r>
              <w:rPr>
                <w:b/>
                <w:szCs w:val="19"/>
              </w:rPr>
              <w:t>10</w:t>
            </w:r>
          </w:p>
        </w:tc>
        <w:tc>
          <w:tcPr>
            <w:tcW w:w="3616" w:type="pct"/>
            <w:shd w:val="clear" w:color="auto" w:fill="FFFFFF"/>
          </w:tcPr>
          <w:p w:rsidR="00F36672" w:rsidRPr="00C4100E" w:rsidRDefault="00F36672" w:rsidP="00D655A7">
            <w:pPr>
              <w:pStyle w:val="BodyText1"/>
              <w:rPr>
                <w:i/>
              </w:rPr>
            </w:pPr>
            <w:r w:rsidRPr="005B0AC2">
              <w:rPr>
                <w:szCs w:val="19"/>
              </w:rPr>
              <w:t>Zabezpečení věcné přípravy na nastavení administrativních struktur pro správu agendy finančních nástrojů na řídícím orgánu</w:t>
            </w:r>
          </w:p>
        </w:tc>
        <w:tc>
          <w:tcPr>
            <w:tcW w:w="1179" w:type="pct"/>
            <w:shd w:val="clear" w:color="auto" w:fill="FFFFFF"/>
          </w:tcPr>
          <w:p w:rsidR="00F36672" w:rsidRPr="00061B71" w:rsidRDefault="00F36672" w:rsidP="00D655A7">
            <w:pPr>
              <w:pStyle w:val="BodyText1"/>
              <w:rPr>
                <w:b/>
                <w:highlight w:val="yellow"/>
              </w:rPr>
            </w:pPr>
            <w:r w:rsidRPr="000D414E">
              <w:rPr>
                <w:b/>
              </w:rPr>
              <w:t>Červenec – Prosinec 2015</w:t>
            </w:r>
          </w:p>
        </w:tc>
      </w:tr>
      <w:tr w:rsidR="00F36672" w:rsidRPr="00C53605" w:rsidTr="00D655A7">
        <w:tc>
          <w:tcPr>
            <w:tcW w:w="205" w:type="pct"/>
            <w:shd w:val="clear" w:color="auto" w:fill="FFFFFF"/>
          </w:tcPr>
          <w:p w:rsidR="00F36672" w:rsidRPr="00BE7E1F" w:rsidRDefault="00F36672" w:rsidP="00D655A7">
            <w:pPr>
              <w:pStyle w:val="BodyText1"/>
              <w:rPr>
                <w:b/>
                <w:szCs w:val="19"/>
              </w:rPr>
            </w:pPr>
            <w:r>
              <w:rPr>
                <w:b/>
                <w:szCs w:val="19"/>
              </w:rPr>
              <w:t>11</w:t>
            </w:r>
          </w:p>
        </w:tc>
        <w:tc>
          <w:tcPr>
            <w:tcW w:w="3616" w:type="pct"/>
            <w:shd w:val="clear" w:color="auto" w:fill="FFFFFF"/>
          </w:tcPr>
          <w:p w:rsidR="00F36672" w:rsidRPr="005B0AC2" w:rsidRDefault="00F36672" w:rsidP="00D655A7">
            <w:pPr>
              <w:pStyle w:val="BodyText1"/>
              <w:rPr>
                <w:szCs w:val="19"/>
              </w:rPr>
            </w:pPr>
            <w:r w:rsidRPr="00BE7E1F">
              <w:rPr>
                <w:b/>
                <w:szCs w:val="19"/>
              </w:rPr>
              <w:t>Systematické budování absorpční kapacity</w:t>
            </w:r>
            <w:r w:rsidRPr="005B0AC2">
              <w:rPr>
                <w:szCs w:val="19"/>
              </w:rPr>
              <w:t xml:space="preserve"> (ve smyslu zajištění dostatečného množství projektů a schopnosti projekty realizovat a administrovat</w:t>
            </w:r>
            <w:r>
              <w:rPr>
                <w:szCs w:val="19"/>
              </w:rPr>
              <w:t>, zpracování komunikačního plánu a realizace PR aktivit</w:t>
            </w:r>
            <w:r w:rsidRPr="005B0AC2">
              <w:rPr>
                <w:szCs w:val="19"/>
              </w:rPr>
              <w:t>)</w:t>
            </w:r>
          </w:p>
        </w:tc>
        <w:tc>
          <w:tcPr>
            <w:tcW w:w="1179" w:type="pct"/>
            <w:shd w:val="clear" w:color="auto" w:fill="FFFFFF"/>
          </w:tcPr>
          <w:p w:rsidR="00F36672" w:rsidRPr="00061B71" w:rsidRDefault="00F36672" w:rsidP="00D655A7">
            <w:pPr>
              <w:pStyle w:val="BodyText1"/>
              <w:rPr>
                <w:b/>
                <w:highlight w:val="yellow"/>
              </w:rPr>
            </w:pPr>
            <w:r w:rsidRPr="00690C71">
              <w:rPr>
                <w:b/>
              </w:rPr>
              <w:t>Červenec – Prosinec 2015</w:t>
            </w:r>
          </w:p>
        </w:tc>
      </w:tr>
      <w:tr w:rsidR="00F36672" w:rsidRPr="00BE7E1F" w:rsidTr="00D655A7">
        <w:tc>
          <w:tcPr>
            <w:tcW w:w="205" w:type="pct"/>
            <w:shd w:val="clear" w:color="auto" w:fill="FFFFFF"/>
          </w:tcPr>
          <w:p w:rsidR="00F36672" w:rsidRPr="00432017" w:rsidRDefault="00F36672" w:rsidP="00D655A7">
            <w:pPr>
              <w:pStyle w:val="BodyText1"/>
              <w:rPr>
                <w:b/>
              </w:rPr>
            </w:pPr>
            <w:r>
              <w:rPr>
                <w:b/>
              </w:rPr>
              <w:t>12</w:t>
            </w:r>
          </w:p>
        </w:tc>
        <w:tc>
          <w:tcPr>
            <w:tcW w:w="3616" w:type="pct"/>
            <w:shd w:val="clear" w:color="auto" w:fill="FFFFFF"/>
          </w:tcPr>
          <w:p w:rsidR="00F36672" w:rsidRPr="000869EB" w:rsidRDefault="00F36672" w:rsidP="00D655A7">
            <w:pPr>
              <w:pStyle w:val="BodyText1"/>
            </w:pPr>
            <w:r>
              <w:rPr>
                <w:b/>
              </w:rPr>
              <w:t>Výběr správce</w:t>
            </w:r>
            <w:r w:rsidRPr="00432017">
              <w:rPr>
                <w:b/>
              </w:rPr>
              <w:t xml:space="preserve"> IFN </w:t>
            </w:r>
          </w:p>
        </w:tc>
        <w:tc>
          <w:tcPr>
            <w:tcW w:w="1179" w:type="pct"/>
            <w:shd w:val="clear" w:color="auto" w:fill="FFFFFF"/>
          </w:tcPr>
          <w:p w:rsidR="00F36672" w:rsidRPr="00D60031" w:rsidRDefault="00F36672" w:rsidP="004B026F">
            <w:pPr>
              <w:pStyle w:val="BodyText1"/>
              <w:rPr>
                <w:b/>
              </w:rPr>
            </w:pPr>
            <w:r>
              <w:rPr>
                <w:b/>
              </w:rPr>
              <w:t xml:space="preserve">Červenec 2015 </w:t>
            </w:r>
          </w:p>
        </w:tc>
      </w:tr>
      <w:tr w:rsidR="00F36672" w:rsidRPr="00C53605" w:rsidTr="00D655A7">
        <w:tc>
          <w:tcPr>
            <w:tcW w:w="205" w:type="pct"/>
            <w:shd w:val="clear" w:color="auto" w:fill="FFFFFF"/>
          </w:tcPr>
          <w:p w:rsidR="00F36672" w:rsidRPr="00061B71" w:rsidRDefault="00F36672" w:rsidP="00D655A7">
            <w:pPr>
              <w:pStyle w:val="BodyText1"/>
              <w:rPr>
                <w:b/>
              </w:rPr>
            </w:pPr>
            <w:r>
              <w:rPr>
                <w:b/>
              </w:rPr>
              <w:t>14</w:t>
            </w:r>
          </w:p>
        </w:tc>
        <w:tc>
          <w:tcPr>
            <w:tcW w:w="3616" w:type="pct"/>
            <w:shd w:val="clear" w:color="auto" w:fill="FFFFFF"/>
          </w:tcPr>
          <w:p w:rsidR="00F36672" w:rsidRPr="000869EB" w:rsidRDefault="00F36672" w:rsidP="00D655A7">
            <w:pPr>
              <w:pStyle w:val="BodyText1"/>
            </w:pPr>
            <w:r w:rsidRPr="00061B71">
              <w:rPr>
                <w:b/>
              </w:rPr>
              <w:t>Zpracování řídící dokumentace</w:t>
            </w:r>
            <w:r>
              <w:t>, metodiky a kritérií pro výběr operací, včetně modelu pro hodnocení projektů</w:t>
            </w:r>
          </w:p>
        </w:tc>
        <w:tc>
          <w:tcPr>
            <w:tcW w:w="1179" w:type="pct"/>
            <w:shd w:val="clear" w:color="auto" w:fill="FFFFFF"/>
          </w:tcPr>
          <w:p w:rsidR="00F36672" w:rsidRPr="00D60031" w:rsidRDefault="00F36672" w:rsidP="00D655A7">
            <w:pPr>
              <w:pStyle w:val="BodyText1"/>
              <w:rPr>
                <w:b/>
              </w:rPr>
            </w:pPr>
            <w:r>
              <w:rPr>
                <w:b/>
              </w:rPr>
              <w:t>Červenec – Září 2015</w:t>
            </w:r>
          </w:p>
        </w:tc>
      </w:tr>
      <w:tr w:rsidR="00F36672" w:rsidRPr="00C53605" w:rsidTr="00D655A7">
        <w:tc>
          <w:tcPr>
            <w:tcW w:w="205" w:type="pct"/>
            <w:shd w:val="clear" w:color="auto" w:fill="FFFFFF"/>
          </w:tcPr>
          <w:p w:rsidR="00F36672" w:rsidRPr="00061B71" w:rsidRDefault="00F36672" w:rsidP="00D655A7">
            <w:pPr>
              <w:pStyle w:val="BodyText1"/>
              <w:rPr>
                <w:b/>
              </w:rPr>
            </w:pPr>
            <w:r>
              <w:rPr>
                <w:b/>
              </w:rPr>
              <w:t>15</w:t>
            </w:r>
          </w:p>
        </w:tc>
        <w:tc>
          <w:tcPr>
            <w:tcW w:w="3616" w:type="pct"/>
            <w:shd w:val="clear" w:color="auto" w:fill="FFFFFF"/>
          </w:tcPr>
          <w:p w:rsidR="00F36672" w:rsidRPr="00BE31F6" w:rsidRDefault="00F36672" w:rsidP="00D655A7">
            <w:pPr>
              <w:pStyle w:val="BodyText1"/>
            </w:pPr>
            <w:r w:rsidRPr="00061B71">
              <w:rPr>
                <w:b/>
              </w:rPr>
              <w:t>Výběr finančních zprostředkovatelů</w:t>
            </w:r>
            <w:r>
              <w:t xml:space="preserve"> (na základě výběrového řízení) </w:t>
            </w:r>
            <w:r w:rsidRPr="00061B71">
              <w:rPr>
                <w:b/>
              </w:rPr>
              <w:t>a uzavření Dohod o financování</w:t>
            </w:r>
            <w:r>
              <w:t>, případně uzavření rámcové dohody o spolupráci souběžně s více způsobilými subjekty</w:t>
            </w:r>
          </w:p>
        </w:tc>
        <w:tc>
          <w:tcPr>
            <w:tcW w:w="1179" w:type="pct"/>
            <w:shd w:val="clear" w:color="auto" w:fill="FFFFFF"/>
          </w:tcPr>
          <w:p w:rsidR="00F36672" w:rsidRPr="00D60031" w:rsidRDefault="00F36672" w:rsidP="003739E3">
            <w:pPr>
              <w:pStyle w:val="BodyText1"/>
              <w:rPr>
                <w:b/>
              </w:rPr>
            </w:pPr>
            <w:r>
              <w:rPr>
                <w:b/>
              </w:rPr>
              <w:t xml:space="preserve">Červenec – Listopad 2015 </w:t>
            </w:r>
            <w:r>
              <w:rPr>
                <w:b/>
              </w:rPr>
              <w:br/>
              <w:t xml:space="preserve">(v závislosti na </w:t>
            </w:r>
            <w:r w:rsidR="003739E3">
              <w:rPr>
                <w:b/>
              </w:rPr>
              <w:t>FF</w:t>
            </w:r>
            <w:r>
              <w:rPr>
                <w:b/>
              </w:rPr>
              <w:t>)</w:t>
            </w:r>
          </w:p>
        </w:tc>
      </w:tr>
      <w:tr w:rsidR="00F36672" w:rsidRPr="00944D54" w:rsidTr="00D655A7">
        <w:tc>
          <w:tcPr>
            <w:tcW w:w="205" w:type="pct"/>
            <w:shd w:val="clear" w:color="auto" w:fill="FFFFFF"/>
          </w:tcPr>
          <w:p w:rsidR="00F36672" w:rsidRDefault="00F36672" w:rsidP="00D655A7">
            <w:pPr>
              <w:pStyle w:val="BodyText1"/>
              <w:rPr>
                <w:b/>
              </w:rPr>
            </w:pPr>
            <w:r>
              <w:rPr>
                <w:b/>
              </w:rPr>
              <w:t>16</w:t>
            </w:r>
          </w:p>
        </w:tc>
        <w:tc>
          <w:tcPr>
            <w:tcW w:w="3616" w:type="pct"/>
            <w:shd w:val="clear" w:color="auto" w:fill="FFFFFF"/>
          </w:tcPr>
          <w:p w:rsidR="00F36672" w:rsidRPr="00061B71" w:rsidRDefault="00F36672" w:rsidP="00D655A7">
            <w:pPr>
              <w:pStyle w:val="BodyText1"/>
              <w:rPr>
                <w:b/>
              </w:rPr>
            </w:pPr>
            <w:r w:rsidRPr="000506C2">
              <w:rPr>
                <w:b/>
              </w:rPr>
              <w:t xml:space="preserve">Finální schválení </w:t>
            </w:r>
            <w:r>
              <w:rPr>
                <w:b/>
              </w:rPr>
              <w:t>řídící dokumentace potřebné pro implementaci IFN (</w:t>
            </w:r>
            <w:r w:rsidRPr="000506C2">
              <w:rPr>
                <w:b/>
              </w:rPr>
              <w:t>včetně auditu designace</w:t>
            </w:r>
            <w:r>
              <w:rPr>
                <w:b/>
              </w:rPr>
              <w:t>)</w:t>
            </w:r>
          </w:p>
        </w:tc>
        <w:tc>
          <w:tcPr>
            <w:tcW w:w="1179" w:type="pct"/>
            <w:shd w:val="clear" w:color="auto" w:fill="FFFFFF"/>
          </w:tcPr>
          <w:p w:rsidR="00F36672" w:rsidRPr="00D60031" w:rsidRDefault="00F36672" w:rsidP="00D655A7">
            <w:pPr>
              <w:pStyle w:val="BodyText1"/>
              <w:rPr>
                <w:b/>
              </w:rPr>
            </w:pPr>
            <w:r>
              <w:rPr>
                <w:b/>
              </w:rPr>
              <w:t xml:space="preserve">Září – Prosinec 2015 </w:t>
            </w:r>
          </w:p>
        </w:tc>
      </w:tr>
      <w:tr w:rsidR="00F36672" w:rsidRPr="00944D54" w:rsidTr="00D655A7">
        <w:tc>
          <w:tcPr>
            <w:tcW w:w="205" w:type="pct"/>
            <w:shd w:val="clear" w:color="auto" w:fill="FFFFFF"/>
          </w:tcPr>
          <w:p w:rsidR="00F36672" w:rsidRDefault="00F36672" w:rsidP="00D655A7">
            <w:pPr>
              <w:pStyle w:val="BodyText1"/>
              <w:rPr>
                <w:b/>
              </w:rPr>
            </w:pPr>
            <w:r>
              <w:rPr>
                <w:b/>
              </w:rPr>
              <w:t>17</w:t>
            </w:r>
          </w:p>
        </w:tc>
        <w:tc>
          <w:tcPr>
            <w:tcW w:w="3616" w:type="pct"/>
            <w:shd w:val="clear" w:color="auto" w:fill="FFFFFF"/>
          </w:tcPr>
          <w:p w:rsidR="00F36672" w:rsidRDefault="00F36672" w:rsidP="00D655A7">
            <w:pPr>
              <w:pStyle w:val="BodyText1"/>
            </w:pPr>
            <w:r>
              <w:rPr>
                <w:b/>
              </w:rPr>
              <w:t>Schválení monitorovacím výborem IROP a zaslání na EK</w:t>
            </w:r>
          </w:p>
        </w:tc>
        <w:tc>
          <w:tcPr>
            <w:tcW w:w="1179" w:type="pct"/>
            <w:shd w:val="clear" w:color="auto" w:fill="FFFFFF"/>
          </w:tcPr>
          <w:p w:rsidR="00F36672" w:rsidRPr="00D60031" w:rsidRDefault="00F36672" w:rsidP="00D655A7">
            <w:pPr>
              <w:pStyle w:val="BodyText1"/>
              <w:rPr>
                <w:b/>
              </w:rPr>
            </w:pPr>
            <w:r>
              <w:rPr>
                <w:b/>
              </w:rPr>
              <w:t>Září – Prosinec 2015</w:t>
            </w:r>
          </w:p>
        </w:tc>
      </w:tr>
      <w:tr w:rsidR="00F36672" w:rsidRPr="00944D54" w:rsidTr="00D655A7">
        <w:tc>
          <w:tcPr>
            <w:tcW w:w="205" w:type="pct"/>
            <w:shd w:val="clear" w:color="auto" w:fill="FFFFFF"/>
          </w:tcPr>
          <w:p w:rsidR="00F36672" w:rsidRDefault="00F36672" w:rsidP="00D655A7">
            <w:pPr>
              <w:pStyle w:val="BodyText1"/>
              <w:rPr>
                <w:b/>
              </w:rPr>
            </w:pPr>
            <w:r>
              <w:rPr>
                <w:b/>
              </w:rPr>
              <w:t>18</w:t>
            </w:r>
          </w:p>
        </w:tc>
        <w:tc>
          <w:tcPr>
            <w:tcW w:w="3616" w:type="pct"/>
            <w:shd w:val="clear" w:color="auto" w:fill="FFFFFF"/>
          </w:tcPr>
          <w:p w:rsidR="00F36672" w:rsidRDefault="00F36672" w:rsidP="00D655A7">
            <w:pPr>
              <w:pStyle w:val="BodyText1"/>
              <w:rPr>
                <w:b/>
              </w:rPr>
            </w:pPr>
            <w:r>
              <w:rPr>
                <w:b/>
              </w:rPr>
              <w:t>Aktualizace programového dokumentu</w:t>
            </w:r>
          </w:p>
        </w:tc>
        <w:tc>
          <w:tcPr>
            <w:tcW w:w="1179" w:type="pct"/>
            <w:shd w:val="clear" w:color="auto" w:fill="FFFFFF"/>
          </w:tcPr>
          <w:p w:rsidR="00F36672" w:rsidRPr="00D60031" w:rsidRDefault="00F36672" w:rsidP="00D655A7">
            <w:pPr>
              <w:pStyle w:val="BodyText1"/>
              <w:rPr>
                <w:b/>
              </w:rPr>
            </w:pPr>
            <w:r>
              <w:rPr>
                <w:b/>
              </w:rPr>
              <w:t>Prosinec 2015</w:t>
            </w:r>
          </w:p>
        </w:tc>
      </w:tr>
      <w:tr w:rsidR="00F36672" w:rsidRPr="00C53605" w:rsidTr="00D655A7">
        <w:tc>
          <w:tcPr>
            <w:tcW w:w="205" w:type="pct"/>
            <w:shd w:val="clear" w:color="auto" w:fill="FFFFFF"/>
          </w:tcPr>
          <w:p w:rsidR="00F36672" w:rsidRDefault="00F36672" w:rsidP="00D655A7">
            <w:pPr>
              <w:pStyle w:val="BodyText1"/>
              <w:rPr>
                <w:b/>
              </w:rPr>
            </w:pPr>
            <w:r>
              <w:rPr>
                <w:b/>
              </w:rPr>
              <w:t>19</w:t>
            </w:r>
          </w:p>
        </w:tc>
        <w:tc>
          <w:tcPr>
            <w:tcW w:w="3616" w:type="pct"/>
            <w:shd w:val="clear" w:color="auto" w:fill="FFFFFF"/>
          </w:tcPr>
          <w:p w:rsidR="00F36672" w:rsidRDefault="00F36672" w:rsidP="00D655A7">
            <w:pPr>
              <w:pStyle w:val="BodyText1"/>
              <w:rPr>
                <w:b/>
              </w:rPr>
            </w:pPr>
            <w:r>
              <w:rPr>
                <w:b/>
              </w:rPr>
              <w:t xml:space="preserve">Přidělení prostředků alokace OP subjektu implementujícímu IFN </w:t>
            </w:r>
          </w:p>
        </w:tc>
        <w:tc>
          <w:tcPr>
            <w:tcW w:w="1179" w:type="pct"/>
            <w:shd w:val="clear" w:color="auto" w:fill="FFFFFF"/>
          </w:tcPr>
          <w:p w:rsidR="00F36672" w:rsidRPr="00D60031" w:rsidRDefault="00F36672" w:rsidP="00D655A7">
            <w:pPr>
              <w:pStyle w:val="BodyText1"/>
              <w:rPr>
                <w:b/>
              </w:rPr>
            </w:pPr>
            <w:r>
              <w:rPr>
                <w:b/>
              </w:rPr>
              <w:t>Leden 2016</w:t>
            </w:r>
          </w:p>
        </w:tc>
      </w:tr>
      <w:tr w:rsidR="00F36672" w:rsidRPr="00C53605" w:rsidTr="00D655A7">
        <w:tc>
          <w:tcPr>
            <w:tcW w:w="205" w:type="pct"/>
            <w:shd w:val="clear" w:color="auto" w:fill="FFFFFF"/>
          </w:tcPr>
          <w:p w:rsidR="00F36672" w:rsidRPr="00061B71" w:rsidRDefault="00F36672" w:rsidP="00D655A7">
            <w:pPr>
              <w:pStyle w:val="BodyText1"/>
              <w:rPr>
                <w:b/>
              </w:rPr>
            </w:pPr>
            <w:r>
              <w:rPr>
                <w:b/>
              </w:rPr>
              <w:t>20</w:t>
            </w:r>
          </w:p>
        </w:tc>
        <w:tc>
          <w:tcPr>
            <w:tcW w:w="3616" w:type="pct"/>
            <w:shd w:val="clear" w:color="auto" w:fill="FFFFFF"/>
          </w:tcPr>
          <w:p w:rsidR="00F36672" w:rsidRDefault="00F36672" w:rsidP="00D655A7">
            <w:pPr>
              <w:pStyle w:val="BodyText1"/>
            </w:pPr>
            <w:r w:rsidRPr="00061B71">
              <w:rPr>
                <w:b/>
              </w:rPr>
              <w:t>Spuštění prvních výzev ve finančních nástrojích</w:t>
            </w:r>
          </w:p>
        </w:tc>
        <w:tc>
          <w:tcPr>
            <w:tcW w:w="1179" w:type="pct"/>
            <w:shd w:val="clear" w:color="auto" w:fill="FFFFFF"/>
          </w:tcPr>
          <w:p w:rsidR="00F36672" w:rsidRPr="00D60031" w:rsidRDefault="00F36672" w:rsidP="00D655A7">
            <w:pPr>
              <w:pStyle w:val="BodyText1"/>
              <w:rPr>
                <w:b/>
              </w:rPr>
            </w:pPr>
            <w:r w:rsidRPr="00D60031">
              <w:rPr>
                <w:b/>
              </w:rPr>
              <w:t>Leden 2016</w:t>
            </w:r>
          </w:p>
        </w:tc>
      </w:tr>
    </w:tbl>
    <w:p w:rsidR="00F36672" w:rsidRDefault="00F36672" w:rsidP="00F36672">
      <w:pPr>
        <w:spacing w:after="0"/>
        <w:rPr>
          <w:rFonts w:eastAsia="Arial"/>
          <w:b/>
        </w:rPr>
      </w:pPr>
    </w:p>
    <w:p w:rsidR="00D70481" w:rsidRDefault="00F36672" w:rsidP="00F36672">
      <w:pPr>
        <w:rPr>
          <w:rFonts w:eastAsia="Arial"/>
          <w:b/>
        </w:rPr>
      </w:pPr>
      <w:r w:rsidRPr="0002549A">
        <w:rPr>
          <w:rFonts w:eastAsia="Arial"/>
          <w:b/>
        </w:rPr>
        <w:t xml:space="preserve">Uvedený akční plán pouze omezeně reflektuje důležitou neznámou, a to jak rychle a efektivně budou schopny na přípravě spolupracovat partnerské řídící orgány, u kterých bude </w:t>
      </w:r>
      <w:r>
        <w:rPr>
          <w:rFonts w:eastAsia="Arial"/>
          <w:b/>
        </w:rPr>
        <w:t>IROP</w:t>
      </w:r>
      <w:r w:rsidRPr="0002549A">
        <w:rPr>
          <w:rFonts w:eastAsia="Arial"/>
          <w:b/>
        </w:rPr>
        <w:t xml:space="preserve"> usilovat o vytvoření sdílených struktur a sladění samotných nástrojů, aby byly kompatibilní či synergické, především aby nepůsobily mezi sebou odstředivými silami či si nekonkurovaly. Jakékoliv zdržení na jejich straně (především ve vazbě na termíny dokončení ex-ante analýz a projednání, zpřesnění a doplnění jejich závěrů) může opozdit všechny navrhované termíny v prezentovaném akčním plánu.</w:t>
      </w:r>
      <w:r w:rsidR="005732A0">
        <w:rPr>
          <w:rFonts w:eastAsia="Arial"/>
          <w:b/>
        </w:rPr>
        <w:t xml:space="preserve"> </w:t>
      </w:r>
    </w:p>
    <w:p w:rsidR="00F36672" w:rsidRDefault="005732A0" w:rsidP="00F36672">
      <w:pPr>
        <w:rPr>
          <w:rFonts w:eastAsia="Arial"/>
          <w:b/>
        </w:rPr>
      </w:pPr>
      <w:r>
        <w:rPr>
          <w:rFonts w:eastAsia="Arial"/>
          <w:b/>
        </w:rPr>
        <w:t>Obdobně je nutné reflektovat aktuální vývoj ostatních výše uvedených kroků</w:t>
      </w:r>
      <w:r w:rsidR="00D70481">
        <w:rPr>
          <w:rFonts w:eastAsia="Arial"/>
          <w:b/>
        </w:rPr>
        <w:t xml:space="preserve"> a definovaných rizik popsaných v této správě</w:t>
      </w:r>
      <w:r>
        <w:rPr>
          <w:rFonts w:eastAsia="Arial"/>
          <w:b/>
        </w:rPr>
        <w:t xml:space="preserve"> (např. postup pracovní skupiny MF se studií proveditelnosti k tzv. střešní struktuře) a dle míry plnění uvedených milníků upravovat akční plán implementace.</w:t>
      </w:r>
    </w:p>
    <w:p w:rsidR="00F36672" w:rsidRDefault="00F36672" w:rsidP="00F36672">
      <w:pPr>
        <w:rPr>
          <w:rFonts w:eastAsia="Arial"/>
        </w:rPr>
      </w:pPr>
      <w:r w:rsidRPr="0002549A">
        <w:rPr>
          <w:rFonts w:eastAsia="Arial"/>
        </w:rPr>
        <w:t>Výše uvedený akční plán je ambiciózní, avšak s ohledem na již nyní nashromážděné zpoždění v přípravě nového období není jiná možnost, než nedovolit rozvolnění aktivit a usilovat o plnění úkolů v co možná nejkratším čase t</w:t>
      </w:r>
      <w:r w:rsidR="004B026F">
        <w:rPr>
          <w:rFonts w:eastAsia="Arial"/>
        </w:rPr>
        <w:t>ak, aby bylo zabezpečeno rychlé</w:t>
      </w:r>
      <w:r w:rsidRPr="0002549A">
        <w:rPr>
          <w:rFonts w:eastAsia="Arial"/>
        </w:rPr>
        <w:t xml:space="preserve"> zahájení čerpání.</w:t>
      </w:r>
    </w:p>
    <w:p w:rsidR="001B31DC" w:rsidRDefault="001B31DC" w:rsidP="001B31DC">
      <w:pPr>
        <w:pStyle w:val="Nadpis4"/>
        <w:rPr>
          <w:rFonts w:eastAsia="Arial"/>
        </w:rPr>
      </w:pPr>
      <w:bookmarkStart w:id="114" w:name="_Ref416429583"/>
      <w:r>
        <w:rPr>
          <w:rFonts w:eastAsia="Arial"/>
        </w:rPr>
        <w:t xml:space="preserve">Rizika </w:t>
      </w:r>
      <w:r w:rsidR="00521270">
        <w:rPr>
          <w:rFonts w:eastAsia="Arial"/>
        </w:rPr>
        <w:t xml:space="preserve">a bariéry </w:t>
      </w:r>
      <w:r>
        <w:rPr>
          <w:rFonts w:eastAsia="Arial"/>
        </w:rPr>
        <w:t>implementace</w:t>
      </w:r>
      <w:bookmarkEnd w:id="114"/>
    </w:p>
    <w:p w:rsidR="001B31DC" w:rsidRDefault="001B31DC" w:rsidP="001B31DC">
      <w:r w:rsidRPr="00632D35">
        <w:t>V oblast</w:t>
      </w:r>
      <w:r>
        <w:t>i</w:t>
      </w:r>
      <w:r w:rsidRPr="00632D35">
        <w:t xml:space="preserve"> návrhu investiční strategie, která by měla být jedním ze stěžejních podkladů pro budoucí nastavení soutěže na správce fond</w:t>
      </w:r>
      <w:r w:rsidR="00011767">
        <w:t>u</w:t>
      </w:r>
      <w:r w:rsidRPr="00632D35">
        <w:t xml:space="preserve"> a nastavení </w:t>
      </w:r>
      <w:r>
        <w:t>smluvních vztahů</w:t>
      </w:r>
      <w:r w:rsidRPr="00632D35">
        <w:t xml:space="preserve">, musel </w:t>
      </w:r>
      <w:r>
        <w:t>dodavatel přistoupit k řadě zjednodušení a pracovat s definovanými předpoklady</w:t>
      </w:r>
      <w:r w:rsidRPr="00632D35">
        <w:t>. Mezi hlavní omezení</w:t>
      </w:r>
      <w:r>
        <w:t xml:space="preserve"> a otevřené otázky, které omezují míru detailu rozpracování </w:t>
      </w:r>
      <w:r w:rsidRPr="00632D35">
        <w:t>této zprávy, lze zařadit především</w:t>
      </w:r>
      <w:r>
        <w:t xml:space="preserve"> omezení a otázky obsažené v tabulce níže, případně uvedené dále v kapitole o veřejné podpoře.</w:t>
      </w:r>
      <w:r w:rsidR="009217C2">
        <w:t xml:space="preserve"> </w:t>
      </w:r>
    </w:p>
    <w:p w:rsidR="001B31DC" w:rsidRDefault="001B31DC" w:rsidP="001B31DC"/>
    <w:p w:rsidR="001B31DC" w:rsidRDefault="001B31DC" w:rsidP="001B31DC">
      <w:pPr>
        <w:spacing w:after="0"/>
        <w:jc w:val="left"/>
        <w:sectPr w:rsidR="001B31DC" w:rsidSect="00F6327E">
          <w:footerReference w:type="default" r:id="rId35"/>
          <w:headerReference w:type="first" r:id="rId36"/>
          <w:pgSz w:w="11906" w:h="16838" w:code="9"/>
          <w:pgMar w:top="1418" w:right="1418" w:bottom="1418" w:left="1418" w:header="709" w:footer="709" w:gutter="0"/>
          <w:paperSrc w:first="15" w:other="15"/>
          <w:cols w:space="708"/>
          <w:docGrid w:linePitch="360"/>
        </w:sectPr>
      </w:pPr>
    </w:p>
    <w:p w:rsidR="009217C2" w:rsidRDefault="009217C2" w:rsidP="009217C2">
      <w:pPr>
        <w:spacing w:after="0"/>
        <w:jc w:val="left"/>
      </w:pPr>
    </w:p>
    <w:p w:rsidR="009217C2" w:rsidRDefault="009217C2" w:rsidP="009217C2"/>
    <w:tbl>
      <w:tblPr>
        <w:tblStyle w:val="Deloittetable2"/>
        <w:tblW w:w="5000" w:type="pct"/>
        <w:tblLook w:val="04A0" w:firstRow="1" w:lastRow="0" w:firstColumn="1" w:lastColumn="0" w:noHBand="0" w:noVBand="1"/>
      </w:tblPr>
      <w:tblGrid>
        <w:gridCol w:w="479"/>
        <w:gridCol w:w="2533"/>
        <w:gridCol w:w="5949"/>
        <w:gridCol w:w="5097"/>
      </w:tblGrid>
      <w:tr w:rsidR="009217C2" w:rsidRPr="00682752" w:rsidTr="00F61B77">
        <w:trPr>
          <w:cnfStyle w:val="100000000000" w:firstRow="1" w:lastRow="0" w:firstColumn="0" w:lastColumn="0" w:oddVBand="0" w:evenVBand="0" w:oddHBand="0" w:evenHBand="0" w:firstRowFirstColumn="0" w:firstRowLastColumn="0" w:lastRowFirstColumn="0" w:lastRowLastColumn="0"/>
          <w:trHeight w:val="122"/>
          <w:tblHeader/>
        </w:trPr>
        <w:tc>
          <w:tcPr>
            <w:cnfStyle w:val="001000000000" w:firstRow="0" w:lastRow="0" w:firstColumn="1" w:lastColumn="0" w:oddVBand="0" w:evenVBand="0" w:oddHBand="0" w:evenHBand="0" w:firstRowFirstColumn="0" w:firstRowLastColumn="0" w:lastRowFirstColumn="0" w:lastRowLastColumn="0"/>
            <w:tcW w:w="170" w:type="pct"/>
            <w:vAlign w:val="center"/>
          </w:tcPr>
          <w:p w:rsidR="009217C2" w:rsidRPr="00682752" w:rsidRDefault="009217C2" w:rsidP="00F61B77">
            <w:pPr>
              <w:spacing w:after="0"/>
              <w:jc w:val="left"/>
            </w:pPr>
            <w:r w:rsidRPr="00682752">
              <w:t>Č</w:t>
            </w:r>
          </w:p>
        </w:tc>
        <w:tc>
          <w:tcPr>
            <w:tcW w:w="901" w:type="pct"/>
            <w:vAlign w:val="center"/>
          </w:tcPr>
          <w:p w:rsidR="009217C2" w:rsidRPr="00682752" w:rsidRDefault="009217C2" w:rsidP="00F61B77">
            <w:pPr>
              <w:spacing w:after="0"/>
              <w:jc w:val="left"/>
              <w:cnfStyle w:val="100000000000" w:firstRow="1" w:lastRow="0" w:firstColumn="0" w:lastColumn="0" w:oddVBand="0" w:evenVBand="0" w:oddHBand="0" w:evenHBand="0" w:firstRowFirstColumn="0" w:firstRowLastColumn="0" w:lastRowFirstColumn="0" w:lastRowLastColumn="0"/>
            </w:pPr>
            <w:r w:rsidRPr="00682752">
              <w:t>Problém/omezení/riziko/</w:t>
            </w:r>
            <w:r w:rsidRPr="00682752">
              <w:br/>
              <w:t>otevřená otázka</w:t>
            </w:r>
          </w:p>
        </w:tc>
        <w:tc>
          <w:tcPr>
            <w:tcW w:w="2116" w:type="pct"/>
            <w:vAlign w:val="center"/>
          </w:tcPr>
          <w:p w:rsidR="009217C2" w:rsidRPr="00682752" w:rsidRDefault="009217C2" w:rsidP="00F61B77">
            <w:pPr>
              <w:spacing w:after="0"/>
              <w:jc w:val="left"/>
              <w:cnfStyle w:val="100000000000" w:firstRow="1" w:lastRow="0" w:firstColumn="0" w:lastColumn="0" w:oddVBand="0" w:evenVBand="0" w:oddHBand="0" w:evenHBand="0" w:firstRowFirstColumn="0" w:firstRowLastColumn="0" w:lastRowFirstColumn="0" w:lastRowLastColumn="0"/>
            </w:pPr>
            <w:r w:rsidRPr="00682752">
              <w:t>Popis a dopady na návrh nástroje a návrh implementační struktury</w:t>
            </w:r>
          </w:p>
        </w:tc>
        <w:tc>
          <w:tcPr>
            <w:tcW w:w="1813" w:type="pct"/>
            <w:vAlign w:val="center"/>
          </w:tcPr>
          <w:p w:rsidR="009217C2" w:rsidRPr="00682752" w:rsidRDefault="009217C2" w:rsidP="00F61B77">
            <w:pPr>
              <w:spacing w:after="0"/>
              <w:jc w:val="left"/>
              <w:cnfStyle w:val="100000000000" w:firstRow="1" w:lastRow="0" w:firstColumn="0" w:lastColumn="0" w:oddVBand="0" w:evenVBand="0" w:oddHBand="0" w:evenHBand="0" w:firstRowFirstColumn="0" w:firstRowLastColumn="0" w:lastRowFirstColumn="0" w:lastRowLastColumn="0"/>
            </w:pPr>
            <w:r w:rsidRPr="00682752">
              <w:t>Návrh nápravných opatření</w:t>
            </w:r>
          </w:p>
        </w:tc>
      </w:tr>
      <w:tr w:rsidR="009217C2" w:rsidRPr="00682752" w:rsidTr="00F61B77">
        <w:trPr>
          <w:trHeight w:val="171"/>
        </w:trPr>
        <w:tc>
          <w:tcPr>
            <w:cnfStyle w:val="001000000000" w:firstRow="0" w:lastRow="0" w:firstColumn="1" w:lastColumn="0" w:oddVBand="0" w:evenVBand="0" w:oddHBand="0" w:evenHBand="0" w:firstRowFirstColumn="0" w:firstRowLastColumn="0" w:lastRowFirstColumn="0" w:lastRowLastColumn="0"/>
            <w:tcW w:w="170" w:type="pct"/>
          </w:tcPr>
          <w:p w:rsidR="009217C2" w:rsidRPr="00682752" w:rsidRDefault="009217C2" w:rsidP="00F61B77">
            <w:pPr>
              <w:spacing w:after="0"/>
              <w:jc w:val="left"/>
              <w:rPr>
                <w:b/>
              </w:rPr>
            </w:pPr>
            <w:r w:rsidRPr="00682752">
              <w:rPr>
                <w:b/>
              </w:rPr>
              <w:t>1</w:t>
            </w:r>
          </w:p>
        </w:tc>
        <w:tc>
          <w:tcPr>
            <w:tcW w:w="901" w:type="pct"/>
          </w:tcPr>
          <w:p w:rsidR="009217C2" w:rsidRPr="00682752" w:rsidRDefault="009217C2" w:rsidP="00F61B77">
            <w:pPr>
              <w:spacing w:after="0"/>
              <w:jc w:val="left"/>
              <w:cnfStyle w:val="000000000000" w:firstRow="0" w:lastRow="0" w:firstColumn="0" w:lastColumn="0" w:oddVBand="0" w:evenVBand="0" w:oddHBand="0" w:evenHBand="0" w:firstRowFirstColumn="0" w:firstRowLastColumn="0" w:lastRowFirstColumn="0" w:lastRowLastColumn="0"/>
              <w:rPr>
                <w:b/>
              </w:rPr>
            </w:pPr>
            <w:r w:rsidRPr="00682752">
              <w:rPr>
                <w:b/>
              </w:rPr>
              <w:t>Nejasná specifická kritéria přijatelnosti</w:t>
            </w:r>
          </w:p>
        </w:tc>
        <w:tc>
          <w:tcPr>
            <w:tcW w:w="2116" w:type="pct"/>
          </w:tcPr>
          <w:p w:rsidR="009217C2" w:rsidRPr="00682752" w:rsidRDefault="009217C2" w:rsidP="00F61B77">
            <w:pPr>
              <w:spacing w:after="0"/>
              <w:ind w:left="14"/>
              <w:jc w:val="left"/>
              <w:cnfStyle w:val="000000000000" w:firstRow="0" w:lastRow="0" w:firstColumn="0" w:lastColumn="0" w:oddVBand="0" w:evenVBand="0" w:oddHBand="0" w:evenHBand="0" w:firstRowFirstColumn="0" w:firstRowLastColumn="0" w:lastRowFirstColumn="0" w:lastRowLastColumn="0"/>
            </w:pPr>
            <w:r w:rsidRPr="00682752">
              <w:t>I relativně jemné zásahy do návrhu nastavení oblastí podporovaných projektů mohou znamenat vychýlení závěrů ohledně návrhu nastavení nástroje, případně i implementační struktury. Závěr platí jak na specifická kritéria, tak např. na případné úpravy cílových skupin a příjemců, hodnoticích kritérií.</w:t>
            </w:r>
          </w:p>
        </w:tc>
        <w:tc>
          <w:tcPr>
            <w:tcW w:w="1813" w:type="pct"/>
          </w:tcPr>
          <w:p w:rsidR="009217C2" w:rsidRPr="00682752" w:rsidRDefault="009217C2" w:rsidP="00F61B77">
            <w:pPr>
              <w:spacing w:after="0"/>
              <w:jc w:val="left"/>
              <w:cnfStyle w:val="000000000000" w:firstRow="0" w:lastRow="0" w:firstColumn="0" w:lastColumn="0" w:oddVBand="0" w:evenVBand="0" w:oddHBand="0" w:evenHBand="0" w:firstRowFirstColumn="0" w:firstRowLastColumn="0" w:lastRowFirstColumn="0" w:lastRowLastColumn="0"/>
            </w:pPr>
            <w:r w:rsidRPr="00682752">
              <w:t>Finální ukotvení specifických kritérií přijatelnosti, cílových skupin a způsobilých příjemců, hodnoticích ze strany řídicího orgánu.</w:t>
            </w:r>
          </w:p>
        </w:tc>
      </w:tr>
      <w:tr w:rsidR="009217C2" w:rsidRPr="00682752" w:rsidTr="00F61B77">
        <w:tc>
          <w:tcPr>
            <w:cnfStyle w:val="001000000000" w:firstRow="0" w:lastRow="0" w:firstColumn="1" w:lastColumn="0" w:oddVBand="0" w:evenVBand="0" w:oddHBand="0" w:evenHBand="0" w:firstRowFirstColumn="0" w:firstRowLastColumn="0" w:lastRowFirstColumn="0" w:lastRowLastColumn="0"/>
            <w:tcW w:w="170" w:type="pct"/>
          </w:tcPr>
          <w:p w:rsidR="009217C2" w:rsidRPr="00682752" w:rsidRDefault="009217C2" w:rsidP="00F61B77">
            <w:pPr>
              <w:spacing w:after="0"/>
              <w:jc w:val="left"/>
              <w:rPr>
                <w:b/>
              </w:rPr>
            </w:pPr>
            <w:r w:rsidRPr="00682752">
              <w:rPr>
                <w:b/>
              </w:rPr>
              <w:t>2</w:t>
            </w:r>
          </w:p>
        </w:tc>
        <w:tc>
          <w:tcPr>
            <w:tcW w:w="901" w:type="pct"/>
          </w:tcPr>
          <w:p w:rsidR="009217C2" w:rsidRPr="00682752" w:rsidRDefault="009217C2" w:rsidP="00F61B77">
            <w:pPr>
              <w:spacing w:after="0"/>
              <w:jc w:val="left"/>
              <w:cnfStyle w:val="000000000000" w:firstRow="0" w:lastRow="0" w:firstColumn="0" w:lastColumn="0" w:oddVBand="0" w:evenVBand="0" w:oddHBand="0" w:evenHBand="0" w:firstRowFirstColumn="0" w:firstRowLastColumn="0" w:lastRowFirstColumn="0" w:lastRowLastColumn="0"/>
              <w:rPr>
                <w:b/>
              </w:rPr>
            </w:pPr>
            <w:r w:rsidRPr="00682752">
              <w:rPr>
                <w:b/>
              </w:rPr>
              <w:t>Nejasná alokace pro finanční nástroje</w:t>
            </w:r>
          </w:p>
        </w:tc>
        <w:tc>
          <w:tcPr>
            <w:tcW w:w="2116" w:type="pct"/>
          </w:tcPr>
          <w:p w:rsidR="009217C2" w:rsidRPr="00682752" w:rsidRDefault="009217C2" w:rsidP="00F61B77">
            <w:pPr>
              <w:spacing w:after="0"/>
              <w:ind w:left="14"/>
              <w:cnfStyle w:val="000000000000" w:firstRow="0" w:lastRow="0" w:firstColumn="0" w:lastColumn="0" w:oddVBand="0" w:evenVBand="0" w:oddHBand="0" w:evenHBand="0" w:firstRowFirstColumn="0" w:firstRowLastColumn="0" w:lastRowFirstColumn="0" w:lastRowLastColumn="0"/>
            </w:pPr>
            <w:r w:rsidRPr="00682752">
              <w:t>Jakékoliv změny v návrhu rozvržení alokací mezi specifické cíle, resp. změny v návrhu předběžné výše alokace vyčleněné na využití finančních nástrojů vychylují závěry modelování přínosů nástrojů a mohou narušit i validitu vybraných doporučení ex-ante analýzy.</w:t>
            </w:r>
          </w:p>
          <w:p w:rsidR="009217C2" w:rsidRPr="00682752" w:rsidRDefault="009217C2" w:rsidP="00F61B77">
            <w:pPr>
              <w:spacing w:after="0"/>
              <w:ind w:left="14"/>
              <w:cnfStyle w:val="000000000000" w:firstRow="0" w:lastRow="0" w:firstColumn="0" w:lastColumn="0" w:oddVBand="0" w:evenVBand="0" w:oddHBand="0" w:evenHBand="0" w:firstRowFirstColumn="0" w:firstRowLastColumn="0" w:lastRowFirstColumn="0" w:lastRowLastColumn="0"/>
            </w:pPr>
            <w:r w:rsidRPr="00682752">
              <w:t>Není známé rozčlenění alokace specifických cílů na konkrétní opatření, resp. na aktivity s geografickým omezením (původní vymezení zvýhodnění podpory oblastem s překročeným imisním limitem benzo(a)pyrenu; nyní zvažované zvýhodnění pro lokality sociálně vyloučené či obdobně znevýhodněné).</w:t>
            </w:r>
          </w:p>
        </w:tc>
        <w:tc>
          <w:tcPr>
            <w:tcW w:w="1813" w:type="pct"/>
          </w:tcPr>
          <w:p w:rsidR="009217C2" w:rsidRPr="00682752" w:rsidRDefault="009217C2" w:rsidP="00F61B77">
            <w:pPr>
              <w:spacing w:after="0"/>
              <w:ind w:left="11"/>
              <w:cnfStyle w:val="000000000000" w:firstRow="0" w:lastRow="0" w:firstColumn="0" w:lastColumn="0" w:oddVBand="0" w:evenVBand="0" w:oddHBand="0" w:evenHBand="0" w:firstRowFirstColumn="0" w:firstRowLastColumn="0" w:lastRowFirstColumn="0" w:lastRowLastColumn="0"/>
            </w:pPr>
            <w:r w:rsidRPr="00682752">
              <w:t>Finalizace alokace jednotlivých specifických cílů/aktivit ze strany ŘO.</w:t>
            </w:r>
          </w:p>
          <w:p w:rsidR="009217C2" w:rsidRPr="00682752" w:rsidRDefault="009217C2" w:rsidP="00F61B77">
            <w:pPr>
              <w:spacing w:after="0"/>
              <w:ind w:left="11"/>
              <w:cnfStyle w:val="000000000000" w:firstRow="0" w:lastRow="0" w:firstColumn="0" w:lastColumn="0" w:oddVBand="0" w:evenVBand="0" w:oddHBand="0" w:evenHBand="0" w:firstRowFirstColumn="0" w:firstRowLastColumn="0" w:lastRowFirstColumn="0" w:lastRowLastColumn="0"/>
            </w:pPr>
          </w:p>
          <w:p w:rsidR="009217C2" w:rsidRPr="00682752" w:rsidRDefault="009217C2" w:rsidP="00F61B77">
            <w:pPr>
              <w:spacing w:after="0"/>
              <w:ind w:left="11"/>
              <w:cnfStyle w:val="000000000000" w:firstRow="0" w:lastRow="0" w:firstColumn="0" w:lastColumn="0" w:oddVBand="0" w:evenVBand="0" w:oddHBand="0" w:evenHBand="0" w:firstRowFirstColumn="0" w:firstRowLastColumn="0" w:lastRowFirstColumn="0" w:lastRowLastColumn="0"/>
            </w:pPr>
            <w:r w:rsidRPr="00682752">
              <w:t>Zohlednění plánu vyčlenění výhod (např. ponechání v dotačním schématu nebo vyšší dotační složka v rámci finančního nástroje) dle případně ustanovené prioritizace vybraných lokalit.</w:t>
            </w:r>
          </w:p>
          <w:p w:rsidR="009217C2" w:rsidRPr="00682752" w:rsidRDefault="009217C2" w:rsidP="00F61B77">
            <w:pPr>
              <w:spacing w:after="0"/>
              <w:ind w:left="11"/>
              <w:cnfStyle w:val="000000000000" w:firstRow="0" w:lastRow="0" w:firstColumn="0" w:lastColumn="0" w:oddVBand="0" w:evenVBand="0" w:oddHBand="0" w:evenHBand="0" w:firstRowFirstColumn="0" w:firstRowLastColumn="0" w:lastRowFirstColumn="0" w:lastRowLastColumn="0"/>
            </w:pPr>
            <w:r w:rsidRPr="00682752">
              <w:t>Zohlednění případného zavedení sekuritizace v indikátorech, v modelování využití alokace v rámci specifického cíle, apod.</w:t>
            </w:r>
          </w:p>
        </w:tc>
      </w:tr>
      <w:tr w:rsidR="009217C2" w:rsidRPr="00682752" w:rsidTr="00F61B77">
        <w:tc>
          <w:tcPr>
            <w:cnfStyle w:val="001000000000" w:firstRow="0" w:lastRow="0" w:firstColumn="1" w:lastColumn="0" w:oddVBand="0" w:evenVBand="0" w:oddHBand="0" w:evenHBand="0" w:firstRowFirstColumn="0" w:firstRowLastColumn="0" w:lastRowFirstColumn="0" w:lastRowLastColumn="0"/>
            <w:tcW w:w="170" w:type="pct"/>
          </w:tcPr>
          <w:p w:rsidR="009217C2" w:rsidRPr="00682752" w:rsidRDefault="009217C2" w:rsidP="00F61B77">
            <w:pPr>
              <w:spacing w:after="0"/>
              <w:jc w:val="left"/>
              <w:rPr>
                <w:b/>
              </w:rPr>
            </w:pPr>
            <w:r w:rsidRPr="00682752">
              <w:rPr>
                <w:b/>
              </w:rPr>
              <w:t>3</w:t>
            </w:r>
          </w:p>
        </w:tc>
        <w:tc>
          <w:tcPr>
            <w:tcW w:w="901" w:type="pct"/>
          </w:tcPr>
          <w:p w:rsidR="009217C2" w:rsidRPr="00682752" w:rsidRDefault="009217C2" w:rsidP="00F61B77">
            <w:pPr>
              <w:spacing w:after="0"/>
              <w:jc w:val="left"/>
              <w:cnfStyle w:val="000000000000" w:firstRow="0" w:lastRow="0" w:firstColumn="0" w:lastColumn="0" w:oddVBand="0" w:evenVBand="0" w:oddHBand="0" w:evenHBand="0" w:firstRowFirstColumn="0" w:firstRowLastColumn="0" w:lastRowFirstColumn="0" w:lastRowLastColumn="0"/>
              <w:rPr>
                <w:b/>
              </w:rPr>
            </w:pPr>
            <w:r w:rsidRPr="00682752">
              <w:rPr>
                <w:b/>
              </w:rPr>
              <w:t>Nevyjasněný přístup ČR ke „střeše implementační struktury“</w:t>
            </w:r>
          </w:p>
        </w:tc>
        <w:tc>
          <w:tcPr>
            <w:tcW w:w="2116" w:type="pct"/>
          </w:tcPr>
          <w:p w:rsidR="009217C2" w:rsidRPr="00682752" w:rsidRDefault="009217C2" w:rsidP="00F61B77">
            <w:pPr>
              <w:spacing w:after="0"/>
              <w:ind w:left="14"/>
              <w:cnfStyle w:val="000000000000" w:firstRow="0" w:lastRow="0" w:firstColumn="0" w:lastColumn="0" w:oddVBand="0" w:evenVBand="0" w:oddHBand="0" w:evenHBand="0" w:firstRowFirstColumn="0" w:firstRowLastColumn="0" w:lastRowFirstColumn="0" w:lastRowLastColumn="0"/>
            </w:pPr>
            <w:r w:rsidRPr="00682752">
              <w:t>Nevyjasněný přístup České republiky k (de)centralizaci řízení správy finančních nástrojů znemožňuje činit závazná doporučení ohledně vhodné podoby implementační struktury pro IROP.</w:t>
            </w:r>
          </w:p>
          <w:p w:rsidR="009217C2" w:rsidRPr="00682752" w:rsidRDefault="009217C2" w:rsidP="00F61B77">
            <w:pPr>
              <w:spacing w:after="0"/>
              <w:ind w:left="14"/>
              <w:cnfStyle w:val="000000000000" w:firstRow="0" w:lastRow="0" w:firstColumn="0" w:lastColumn="0" w:oddVBand="0" w:evenVBand="0" w:oddHBand="0" w:evenHBand="0" w:firstRowFirstColumn="0" w:firstRowLastColumn="0" w:lastRowFirstColumn="0" w:lastRowLastColumn="0"/>
            </w:pPr>
          </w:p>
          <w:p w:rsidR="009217C2" w:rsidRPr="00682752" w:rsidRDefault="009217C2" w:rsidP="00F61B77">
            <w:pPr>
              <w:spacing w:after="0"/>
              <w:ind w:left="14"/>
              <w:cnfStyle w:val="000000000000" w:firstRow="0" w:lastRow="0" w:firstColumn="0" w:lastColumn="0" w:oddVBand="0" w:evenVBand="0" w:oddHBand="0" w:evenHBand="0" w:firstRowFirstColumn="0" w:firstRowLastColumn="0" w:lastRowFirstColumn="0" w:lastRowLastColumn="0"/>
            </w:pPr>
            <w:r w:rsidRPr="00682752">
              <w:t>Nedořešená problematika možnosti poskytování prostředků mezi jednotlivými subjekty implementační struktury s ohledem na omezení zákona č. 218/2000 Sb.</w:t>
            </w:r>
          </w:p>
        </w:tc>
        <w:tc>
          <w:tcPr>
            <w:tcW w:w="1813" w:type="pct"/>
          </w:tcPr>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Bezodkladné přijetí rozhodnutí ohledně střešní struktury finančních nástrojů na národní úrovni. Opatření v kompetenci Ministerstva financí. Riziko poníženo usnesením vlády č. 85/2015, nicméně stále chybí řada informací, jak bude střešní struktura vybudována a propojena s jednotlivými operačními programy. Dodavatel navrhuje úzce spolupracovat s pracovní skupinou, která bude řešení střešní struktury pod hlavičkou Ministerstva financí připravovat.</w:t>
            </w: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Novelizace zákona č. 218/2000 Sb.</w:t>
            </w:r>
          </w:p>
        </w:tc>
      </w:tr>
      <w:tr w:rsidR="009217C2" w:rsidRPr="00682752" w:rsidTr="00F61B77">
        <w:tc>
          <w:tcPr>
            <w:cnfStyle w:val="001000000000" w:firstRow="0" w:lastRow="0" w:firstColumn="1" w:lastColumn="0" w:oddVBand="0" w:evenVBand="0" w:oddHBand="0" w:evenHBand="0" w:firstRowFirstColumn="0" w:firstRowLastColumn="0" w:lastRowFirstColumn="0" w:lastRowLastColumn="0"/>
            <w:tcW w:w="170" w:type="pct"/>
          </w:tcPr>
          <w:p w:rsidR="009217C2" w:rsidRPr="00682752" w:rsidRDefault="009217C2" w:rsidP="00F61B77">
            <w:pPr>
              <w:spacing w:after="0"/>
              <w:jc w:val="left"/>
              <w:rPr>
                <w:b/>
              </w:rPr>
            </w:pPr>
            <w:r w:rsidRPr="00682752">
              <w:rPr>
                <w:b/>
              </w:rPr>
              <w:t>4</w:t>
            </w:r>
          </w:p>
        </w:tc>
        <w:tc>
          <w:tcPr>
            <w:tcW w:w="901" w:type="pct"/>
          </w:tcPr>
          <w:p w:rsidR="009217C2" w:rsidRPr="00682752" w:rsidRDefault="009217C2" w:rsidP="00F61B77">
            <w:pPr>
              <w:spacing w:after="0"/>
              <w:jc w:val="left"/>
              <w:cnfStyle w:val="000000000000" w:firstRow="0" w:lastRow="0" w:firstColumn="0" w:lastColumn="0" w:oddVBand="0" w:evenVBand="0" w:oddHBand="0" w:evenHBand="0" w:firstRowFirstColumn="0" w:firstRowLastColumn="0" w:lastRowFirstColumn="0" w:lastRowLastColumn="0"/>
              <w:rPr>
                <w:b/>
              </w:rPr>
            </w:pPr>
            <w:r w:rsidRPr="00682752">
              <w:rPr>
                <w:b/>
              </w:rPr>
              <w:t>Nejasnosti metodického doporučení MMR-NOK</w:t>
            </w:r>
          </w:p>
        </w:tc>
        <w:tc>
          <w:tcPr>
            <w:tcW w:w="2116" w:type="pct"/>
          </w:tcPr>
          <w:p w:rsidR="009217C2" w:rsidRPr="00682752" w:rsidRDefault="009217C2" w:rsidP="00F61B77">
            <w:pPr>
              <w:spacing w:after="0"/>
              <w:ind w:left="14"/>
              <w:cnfStyle w:val="000000000000" w:firstRow="0" w:lastRow="0" w:firstColumn="0" w:lastColumn="0" w:oddVBand="0" w:evenVBand="0" w:oddHBand="0" w:evenHBand="0" w:firstRowFirstColumn="0" w:firstRowLastColumn="0" w:lastRowFirstColumn="0" w:lastRowLastColumn="0"/>
            </w:pPr>
            <w:r w:rsidRPr="00682752">
              <w:t>Metodické doporučení MMR-NOK upravující implementaci finančních nástrojů v programovém období 2014-2020 vyjasňuje řadu oblastí, nicméně nezodpovídá další spojité problematiky, kde je i evropská metodika příliš obecná. Příkladem takových míst je:</w:t>
            </w:r>
          </w:p>
          <w:p w:rsidR="009217C2" w:rsidRPr="00682752" w:rsidRDefault="009217C2" w:rsidP="00F61B77">
            <w:pPr>
              <w:pStyle w:val="Odstavecseseznamem"/>
              <w:numPr>
                <w:ilvl w:val="0"/>
                <w:numId w:val="19"/>
              </w:numPr>
              <w:spacing w:after="0"/>
              <w:ind w:left="723"/>
              <w:cnfStyle w:val="000000000000" w:firstRow="0" w:lastRow="0" w:firstColumn="0" w:lastColumn="0" w:oddVBand="0" w:evenVBand="0" w:oddHBand="0" w:evenHBand="0" w:firstRowFirstColumn="0" w:firstRowLastColumn="0" w:lastRowFirstColumn="0" w:lastRowLastColumn="0"/>
            </w:pPr>
            <w:r w:rsidRPr="00682752">
              <w:t>Absence rozpracování pravidel pro návrh řešení zpětného toku finančních prostředků mezi příjemcem, finančním zprostředkovatelem, fondem fondů a řídícím orgánem;</w:t>
            </w:r>
          </w:p>
          <w:p w:rsidR="009217C2" w:rsidRPr="00682752" w:rsidRDefault="009217C2" w:rsidP="00F61B77">
            <w:pPr>
              <w:pStyle w:val="Odstavecseseznamem"/>
              <w:numPr>
                <w:ilvl w:val="0"/>
                <w:numId w:val="19"/>
              </w:numPr>
              <w:spacing w:after="0"/>
              <w:ind w:left="723"/>
              <w:cnfStyle w:val="000000000000" w:firstRow="0" w:lastRow="0" w:firstColumn="0" w:lastColumn="0" w:oddVBand="0" w:evenVBand="0" w:oddHBand="0" w:evenHBand="0" w:firstRowFirstColumn="0" w:firstRowLastColumn="0" w:lastRowFirstColumn="0" w:lastRowLastColumn="0"/>
            </w:pPr>
            <w:r w:rsidRPr="00682752">
              <w:t xml:space="preserve">Nízká míra detailu k možnostem specifického nastavení </w:t>
            </w:r>
            <w:r w:rsidRPr="00682752">
              <w:br/>
              <w:t>tailor-made nástrojů, aniž by byla nutná notifikační povinnost;</w:t>
            </w:r>
          </w:p>
          <w:p w:rsidR="009217C2" w:rsidRPr="00682752" w:rsidRDefault="009217C2" w:rsidP="00F61B77">
            <w:pPr>
              <w:pStyle w:val="Odstavecseseznamem"/>
              <w:numPr>
                <w:ilvl w:val="0"/>
                <w:numId w:val="19"/>
              </w:numPr>
              <w:spacing w:after="0"/>
              <w:ind w:left="723"/>
              <w:cnfStyle w:val="000000000000" w:firstRow="0" w:lastRow="0" w:firstColumn="0" w:lastColumn="0" w:oddVBand="0" w:evenVBand="0" w:oddHBand="0" w:evenHBand="0" w:firstRowFirstColumn="0" w:firstRowLastColumn="0" w:lastRowFirstColumn="0" w:lastRowLastColumn="0"/>
            </w:pPr>
            <w:r w:rsidRPr="00682752">
              <w:t>Velmi rámcově je popsána tzv. výstupní politika a zavíraní nástroje/fondu, přestože se jedná o jednu z klíčových položek, kterou musí ŘO specifikovat před zahájením výběru správce a před zřízením nástrojů/fondů;</w:t>
            </w:r>
          </w:p>
          <w:p w:rsidR="009217C2" w:rsidRPr="00682752" w:rsidRDefault="009217C2" w:rsidP="00F61B77">
            <w:pPr>
              <w:pStyle w:val="Odstavecseseznamem"/>
              <w:numPr>
                <w:ilvl w:val="0"/>
                <w:numId w:val="19"/>
              </w:numPr>
              <w:spacing w:after="0"/>
              <w:ind w:left="723"/>
              <w:cnfStyle w:val="000000000000" w:firstRow="0" w:lastRow="0" w:firstColumn="0" w:lastColumn="0" w:oddVBand="0" w:evenVBand="0" w:oddHBand="0" w:evenHBand="0" w:firstRowFirstColumn="0" w:firstRowLastColumn="0" w:lastRowFirstColumn="0" w:lastRowLastColumn="0"/>
            </w:pPr>
            <w:r w:rsidRPr="00682752">
              <w:t>Metodika nerozpracovává detaily k možnosti nastavení kombinovaných/sdílených implementačních struktur a možné omezení, jako např. dělení rozhodovacích pravomocí, vlastnických podílů a nastavení finančních toků pro ty případy, kdy jeden nástroj/fond využívá více ŘO současně;</w:t>
            </w:r>
          </w:p>
          <w:p w:rsidR="009217C2" w:rsidRPr="00682752" w:rsidRDefault="009217C2" w:rsidP="00F61B77">
            <w:pPr>
              <w:pStyle w:val="Odstavecseseznamem"/>
              <w:numPr>
                <w:ilvl w:val="0"/>
                <w:numId w:val="19"/>
              </w:numPr>
              <w:spacing w:after="0"/>
              <w:ind w:left="723"/>
              <w:cnfStyle w:val="000000000000" w:firstRow="0" w:lastRow="0" w:firstColumn="0" w:lastColumn="0" w:oddVBand="0" w:evenVBand="0" w:oddHBand="0" w:evenHBand="0" w:firstRowFirstColumn="0" w:firstRowLastColumn="0" w:lastRowFirstColumn="0" w:lastRowLastColumn="0"/>
            </w:pPr>
            <w:r w:rsidRPr="00682752">
              <w:t>Metodika nerozpracovává podmínky a možnosti kombinace grantové podpory s podporou prostřednictvím finančních nástrojů.</w:t>
            </w:r>
          </w:p>
        </w:tc>
        <w:tc>
          <w:tcPr>
            <w:tcW w:w="1813" w:type="pct"/>
          </w:tcPr>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Zpracovatel doporučuje řídicímu orgánu konzultovat uvedené oblasti jako i závěry ex-ante analýzy (dle požadavků metodiky) s MMR-NOK a PCO. V případě nevyjasnění některých sporných otázek na národní úrovni doporučuje Zpracovatel formulovat a předložit dotazy přímo Evropské komisi.</w:t>
            </w:r>
          </w:p>
        </w:tc>
      </w:tr>
      <w:tr w:rsidR="009217C2" w:rsidRPr="00682752" w:rsidTr="00F61B77">
        <w:tc>
          <w:tcPr>
            <w:cnfStyle w:val="001000000000" w:firstRow="0" w:lastRow="0" w:firstColumn="1" w:lastColumn="0" w:oddVBand="0" w:evenVBand="0" w:oddHBand="0" w:evenHBand="0" w:firstRowFirstColumn="0" w:firstRowLastColumn="0" w:lastRowFirstColumn="0" w:lastRowLastColumn="0"/>
            <w:tcW w:w="170" w:type="pct"/>
          </w:tcPr>
          <w:p w:rsidR="009217C2" w:rsidRPr="00682752" w:rsidRDefault="009217C2" w:rsidP="00F61B77">
            <w:pPr>
              <w:spacing w:after="0"/>
              <w:jc w:val="left"/>
              <w:rPr>
                <w:b/>
              </w:rPr>
            </w:pPr>
            <w:r w:rsidRPr="00682752">
              <w:rPr>
                <w:b/>
              </w:rPr>
              <w:t>5</w:t>
            </w:r>
          </w:p>
        </w:tc>
        <w:tc>
          <w:tcPr>
            <w:tcW w:w="901" w:type="pct"/>
          </w:tcPr>
          <w:p w:rsidR="009217C2" w:rsidRPr="00682752" w:rsidRDefault="009217C2" w:rsidP="00F61B77">
            <w:pPr>
              <w:spacing w:after="0"/>
              <w:jc w:val="left"/>
              <w:cnfStyle w:val="000000000000" w:firstRow="0" w:lastRow="0" w:firstColumn="0" w:lastColumn="0" w:oddVBand="0" w:evenVBand="0" w:oddHBand="0" w:evenHBand="0" w:firstRowFirstColumn="0" w:firstRowLastColumn="0" w:lastRowFirstColumn="0" w:lastRowLastColumn="0"/>
              <w:rPr>
                <w:b/>
              </w:rPr>
            </w:pPr>
            <w:r w:rsidRPr="00682752">
              <w:rPr>
                <w:b/>
              </w:rPr>
              <w:t>Časová tíseň – zájem ŘO bez dalšího odkladu zahájit čerpání nového období</w:t>
            </w:r>
          </w:p>
        </w:tc>
        <w:tc>
          <w:tcPr>
            <w:tcW w:w="2116" w:type="pct"/>
          </w:tcPr>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 xml:space="preserve">Řada řídících orgánu již nechce čekat se spuštěním čerpání prostředků operačního programu. Obecně je rozšířeno povědomí, že nebude možné spustit finanční nástroje dříve, než v lednu 2016, zatímco dotace bude pravděpodobně možné spustit už v létě 2015. </w:t>
            </w: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rPr>
                <w:i/>
              </w:rPr>
            </w:pPr>
            <w:r w:rsidRPr="00682752">
              <w:t>I v případě, že ŘO bude mít zájem o financování vybraných oblastí prostřednictvím IFN, nemá zájem o další prodlení spuštění výzev</w:t>
            </w:r>
            <w:r w:rsidRPr="00682752">
              <w:rPr>
                <w:i/>
              </w:rPr>
              <w:t>.</w:t>
            </w:r>
          </w:p>
          <w:p w:rsidR="009217C2" w:rsidRPr="00682752" w:rsidRDefault="009217C2" w:rsidP="00F61B77">
            <w:pPr>
              <w:spacing w:after="0"/>
              <w:ind w:left="114"/>
              <w:cnfStyle w:val="000000000000" w:firstRow="0" w:lastRow="0" w:firstColumn="0" w:lastColumn="0" w:oddVBand="0" w:evenVBand="0" w:oddHBand="0" w:evenHBand="0" w:firstRowFirstColumn="0" w:firstRowLastColumn="0" w:lastRowFirstColumn="0" w:lastRowLastColumn="0"/>
            </w:pPr>
          </w:p>
        </w:tc>
        <w:tc>
          <w:tcPr>
            <w:tcW w:w="1813" w:type="pct"/>
          </w:tcPr>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Na úrovni ŘO je potřeba přijmout rozhodnutí o realizaci dotačních výzev v období před zahájením implementace finančních nástrojů, případně ohledně odložení čerpání v příslušných oblastech po zavedení finančních nástrojů.</w:t>
            </w: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V případě spuštění dotačních výzev doporučujeme vyhodnotit proveditelnost a spojená rizika (dopad na absorpci, procesně-administrativní rizika atd.).</w:t>
            </w: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 xml:space="preserve">Urychlit fázi zavedení finančních nástrojů na úrovni ŘO lze  vytvořením implementačních struktur IFN před (případným) zavedením fondu fondů na národní úrovni. </w:t>
            </w: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 xml:space="preserve">Na národní úrovni lze vznik „střešní“ struktury urychlit zapojením EIB. V případě zapojení EIB lze sjednat možnost následného převedené na národní subjekty. </w:t>
            </w: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Proveditelnost všech uvedených doporučení je nezbytné konzultovat s MMR-NOK, případně přímo s EK.</w:t>
            </w:r>
          </w:p>
        </w:tc>
      </w:tr>
      <w:tr w:rsidR="009217C2" w:rsidRPr="00682752" w:rsidTr="00F61B77">
        <w:tc>
          <w:tcPr>
            <w:cnfStyle w:val="001000000000" w:firstRow="0" w:lastRow="0" w:firstColumn="1" w:lastColumn="0" w:oddVBand="0" w:evenVBand="0" w:oddHBand="0" w:evenHBand="0" w:firstRowFirstColumn="0" w:firstRowLastColumn="0" w:lastRowFirstColumn="0" w:lastRowLastColumn="0"/>
            <w:tcW w:w="170" w:type="pct"/>
          </w:tcPr>
          <w:p w:rsidR="009217C2" w:rsidRPr="00682752" w:rsidRDefault="009217C2" w:rsidP="00F61B77">
            <w:pPr>
              <w:spacing w:after="0"/>
              <w:jc w:val="left"/>
              <w:rPr>
                <w:b/>
              </w:rPr>
            </w:pPr>
            <w:r w:rsidRPr="00682752">
              <w:rPr>
                <w:b/>
              </w:rPr>
              <w:t>6</w:t>
            </w:r>
          </w:p>
        </w:tc>
        <w:tc>
          <w:tcPr>
            <w:tcW w:w="901" w:type="pct"/>
          </w:tcPr>
          <w:p w:rsidR="009217C2" w:rsidRPr="00682752" w:rsidRDefault="009217C2" w:rsidP="00F61B77">
            <w:pPr>
              <w:spacing w:after="0"/>
              <w:jc w:val="left"/>
              <w:cnfStyle w:val="000000000000" w:firstRow="0" w:lastRow="0" w:firstColumn="0" w:lastColumn="0" w:oddVBand="0" w:evenVBand="0" w:oddHBand="0" w:evenHBand="0" w:firstRowFirstColumn="0" w:firstRowLastColumn="0" w:lastRowFirstColumn="0" w:lastRowLastColumn="0"/>
              <w:rPr>
                <w:b/>
              </w:rPr>
            </w:pPr>
            <w:r w:rsidRPr="00682752">
              <w:rPr>
                <w:b/>
              </w:rPr>
              <w:t>Možný významný pokles absorpční kapacity v důsledku nezvládnuté informační kampaně</w:t>
            </w:r>
          </w:p>
        </w:tc>
        <w:tc>
          <w:tcPr>
            <w:tcW w:w="2116" w:type="pct"/>
          </w:tcPr>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 xml:space="preserve"> Z důvodu obavy žadatelů z nového a neznámého způsobu financování v kombinaci s možným zvýhodněním v porovnání s čistě dotačním financováním existuje riziko poklesu absorpční kapacity.  </w:t>
            </w:r>
          </w:p>
          <w:p w:rsidR="009217C2" w:rsidRPr="00682752" w:rsidRDefault="009217C2" w:rsidP="00F61B77">
            <w:pPr>
              <w:spacing w:after="0"/>
              <w:ind w:left="255"/>
              <w:cnfStyle w:val="000000000000" w:firstRow="0" w:lastRow="0" w:firstColumn="0" w:lastColumn="0" w:oddVBand="0" w:evenVBand="0" w:oddHBand="0" w:evenHBand="0" w:firstRowFirstColumn="0" w:firstRowLastColumn="0" w:lastRowFirstColumn="0" w:lastRowLastColumn="0"/>
            </w:pPr>
          </w:p>
        </w:tc>
        <w:tc>
          <w:tcPr>
            <w:tcW w:w="1813" w:type="pct"/>
          </w:tcPr>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Efekt snížení poptávky po podpoře může ŘO úspěšně limitovat realizací systematické osvěty a cílené informační kampaně cílené na dotčené potenciální žadatele. Pozitivní dopad PR aktivit lze posílit koordinací činností napříč řídicími orgány plánujícími realizaci FN za současné intenzivní podpory ze strany MMR-NOK. Realizaci informační kampaně je nutno řešit v dostatečném – minimálně půlročním – předstihu před spuštěním výzev formou finančních nástrojů.</w:t>
            </w: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Dodavatel doporučuje systematicky řídit rizika spojené se zavedením inovativních finančních nástrojů a nastavení mechanismů v případě selhání. Možnosti řešení v případě nezájmu konečných žadatelů a vzniku rizika nevyčerpání alokace doporučuje Zpracovatel konzultovat s MMR-NOK, případně se zástupci EK.</w:t>
            </w:r>
          </w:p>
        </w:tc>
      </w:tr>
      <w:tr w:rsidR="009217C2" w:rsidRPr="00682752" w:rsidTr="00F61B77">
        <w:tc>
          <w:tcPr>
            <w:cnfStyle w:val="001000000000" w:firstRow="0" w:lastRow="0" w:firstColumn="1" w:lastColumn="0" w:oddVBand="0" w:evenVBand="0" w:oddHBand="0" w:evenHBand="0" w:firstRowFirstColumn="0" w:firstRowLastColumn="0" w:lastRowFirstColumn="0" w:lastRowLastColumn="0"/>
            <w:tcW w:w="170" w:type="pct"/>
          </w:tcPr>
          <w:p w:rsidR="009217C2" w:rsidRPr="00682752" w:rsidRDefault="009217C2" w:rsidP="00F61B77">
            <w:pPr>
              <w:spacing w:after="0"/>
              <w:jc w:val="left"/>
              <w:rPr>
                <w:b/>
              </w:rPr>
            </w:pPr>
            <w:r w:rsidRPr="00682752">
              <w:rPr>
                <w:b/>
              </w:rPr>
              <w:t>7</w:t>
            </w:r>
          </w:p>
        </w:tc>
        <w:tc>
          <w:tcPr>
            <w:tcW w:w="901" w:type="pct"/>
          </w:tcPr>
          <w:p w:rsidR="009217C2" w:rsidRPr="00682752" w:rsidRDefault="009217C2" w:rsidP="00F61B77">
            <w:pPr>
              <w:spacing w:after="0"/>
              <w:jc w:val="left"/>
              <w:cnfStyle w:val="000000000000" w:firstRow="0" w:lastRow="0" w:firstColumn="0" w:lastColumn="0" w:oddVBand="0" w:evenVBand="0" w:oddHBand="0" w:evenHBand="0" w:firstRowFirstColumn="0" w:firstRowLastColumn="0" w:lastRowFirstColumn="0" w:lastRowLastColumn="0"/>
              <w:rPr>
                <w:b/>
              </w:rPr>
            </w:pPr>
            <w:r w:rsidRPr="00682752">
              <w:rPr>
                <w:b/>
              </w:rPr>
              <w:t>Nesoulad strategií tematicky souvisejících operačních programů a národních podpor</w:t>
            </w:r>
          </w:p>
        </w:tc>
        <w:tc>
          <w:tcPr>
            <w:tcW w:w="2116" w:type="pct"/>
          </w:tcPr>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 xml:space="preserve">Riziko nedostatečné koordinace forem podpory jednotlivých operačních programů a národních programů. Pokud by došlo k naplnění tohoto rizika, výhodnější programy budou „kanibalizovat“ poptávku po méně výhodných programech, čímž dojde k nevyčerpání alokace těchto programů. </w:t>
            </w:r>
          </w:p>
        </w:tc>
        <w:tc>
          <w:tcPr>
            <w:tcW w:w="1813" w:type="pct"/>
          </w:tcPr>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V procesu návrhu a nastavování finančních nástrojů doporučujeme systematicky koordinovat přípravu finančních nástrojů napříč řídicími orgány a orgány implementujícími národní programy tak, aby nedošlo k překryvu podpory pro stejné příjemce za značně odlišných podmínek.</w:t>
            </w:r>
          </w:p>
        </w:tc>
      </w:tr>
      <w:tr w:rsidR="009217C2" w:rsidRPr="00682752" w:rsidTr="00F61B77">
        <w:tc>
          <w:tcPr>
            <w:cnfStyle w:val="001000000000" w:firstRow="0" w:lastRow="0" w:firstColumn="1" w:lastColumn="0" w:oddVBand="0" w:evenVBand="0" w:oddHBand="0" w:evenHBand="0" w:firstRowFirstColumn="0" w:firstRowLastColumn="0" w:lastRowFirstColumn="0" w:lastRowLastColumn="0"/>
            <w:tcW w:w="170" w:type="pct"/>
          </w:tcPr>
          <w:p w:rsidR="009217C2" w:rsidRPr="00682752" w:rsidRDefault="009217C2" w:rsidP="00F61B77">
            <w:pPr>
              <w:spacing w:after="0"/>
              <w:jc w:val="left"/>
              <w:rPr>
                <w:b/>
              </w:rPr>
            </w:pPr>
            <w:r w:rsidRPr="00682752">
              <w:rPr>
                <w:b/>
              </w:rPr>
              <w:t>8</w:t>
            </w:r>
          </w:p>
        </w:tc>
        <w:tc>
          <w:tcPr>
            <w:tcW w:w="901" w:type="pct"/>
          </w:tcPr>
          <w:p w:rsidR="009217C2" w:rsidRPr="00682752" w:rsidRDefault="009217C2" w:rsidP="00F61B77">
            <w:pPr>
              <w:spacing w:after="0"/>
              <w:jc w:val="left"/>
              <w:cnfStyle w:val="000000000000" w:firstRow="0" w:lastRow="0" w:firstColumn="0" w:lastColumn="0" w:oddVBand="0" w:evenVBand="0" w:oddHBand="0" w:evenHBand="0" w:firstRowFirstColumn="0" w:firstRowLastColumn="0" w:lastRowFirstColumn="0" w:lastRowLastColumn="0"/>
              <w:rPr>
                <w:b/>
              </w:rPr>
            </w:pPr>
            <w:r w:rsidRPr="00682752">
              <w:rPr>
                <w:b/>
              </w:rPr>
              <w:t>Chybějící zkušenosti žadatelů a z toho plynoucí riziko chybovosti</w:t>
            </w:r>
          </w:p>
        </w:tc>
        <w:tc>
          <w:tcPr>
            <w:tcW w:w="2116" w:type="pct"/>
          </w:tcPr>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 xml:space="preserve">Vzhledem k tomu, že podpora prostřednictvím finančních nástrojů bude pro žadatele nová, existuje riziko, že jim budou chybět informace a v jednotlivých fázích bude docházet k vysoké chybovosti.  </w:t>
            </w:r>
          </w:p>
        </w:tc>
        <w:tc>
          <w:tcPr>
            <w:tcW w:w="1813" w:type="pct"/>
          </w:tcPr>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Zpracovatel doporučuje Řídicímu orgánu nastavit srozumitelná a vyčerpávající Pravidla pro žadatele upravující postupy poskytování podpory prostřednictvím finančních nástrojů. Zároveň doporučuje realizovat systematickou informační kampaň o možnostech a podmínkám využití financování prostřednictvím finančních nástrojů a zajistit systematickou podporu žadatelů ve všech fázích čerpání finančního nástroje. V případě zaměření IROP lez využít zkušeností s poskytováním podpory programu JESSICA.</w:t>
            </w:r>
          </w:p>
        </w:tc>
      </w:tr>
      <w:tr w:rsidR="009217C2" w:rsidRPr="00682752" w:rsidTr="00F61B77">
        <w:tc>
          <w:tcPr>
            <w:cnfStyle w:val="001000000000" w:firstRow="0" w:lastRow="0" w:firstColumn="1" w:lastColumn="0" w:oddVBand="0" w:evenVBand="0" w:oddHBand="0" w:evenHBand="0" w:firstRowFirstColumn="0" w:firstRowLastColumn="0" w:lastRowFirstColumn="0" w:lastRowLastColumn="0"/>
            <w:tcW w:w="170" w:type="pct"/>
          </w:tcPr>
          <w:p w:rsidR="009217C2" w:rsidRPr="00682752" w:rsidRDefault="009217C2" w:rsidP="00F61B77">
            <w:pPr>
              <w:spacing w:after="0"/>
              <w:jc w:val="left"/>
              <w:rPr>
                <w:b/>
              </w:rPr>
            </w:pPr>
            <w:r w:rsidRPr="00682752">
              <w:rPr>
                <w:b/>
              </w:rPr>
              <w:t>9</w:t>
            </w:r>
          </w:p>
        </w:tc>
        <w:tc>
          <w:tcPr>
            <w:tcW w:w="901" w:type="pct"/>
          </w:tcPr>
          <w:p w:rsidR="009217C2" w:rsidRPr="00682752" w:rsidRDefault="009217C2" w:rsidP="00F61B77">
            <w:pPr>
              <w:spacing w:after="0"/>
              <w:jc w:val="left"/>
              <w:cnfStyle w:val="000000000000" w:firstRow="0" w:lastRow="0" w:firstColumn="0" w:lastColumn="0" w:oddVBand="0" w:evenVBand="0" w:oddHBand="0" w:evenHBand="0" w:firstRowFirstColumn="0" w:firstRowLastColumn="0" w:lastRowFirstColumn="0" w:lastRowLastColumn="0"/>
              <w:rPr>
                <w:b/>
              </w:rPr>
            </w:pPr>
            <w:r w:rsidRPr="00682752">
              <w:rPr>
                <w:b/>
              </w:rPr>
              <w:t>Riziko chybovosti na straně subjektů implementujících finanční nástroje</w:t>
            </w:r>
          </w:p>
        </w:tc>
        <w:tc>
          <w:tcPr>
            <w:tcW w:w="2116" w:type="pct"/>
          </w:tcPr>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Obdobně jako v případě žadatelů bude poskytování finančních nástrojů nové i pro subjekty implementační struktury (ŘO, ZS, nově zapojené subjekty), i na jejich straně lze předpokládat vyšší chybovost, případně delší dobu nutnou na jednotlivé aktivity, než v případě zavedeného systému poskytování dotací.</w:t>
            </w:r>
          </w:p>
        </w:tc>
        <w:tc>
          <w:tcPr>
            <w:tcW w:w="1813" w:type="pct"/>
          </w:tcPr>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 xml:space="preserve">Důsledné nastavení procesů a organizace na straně subjektů implementujících finanční nástroje v přípravné fázi před zavedením finančního nástroje. </w:t>
            </w: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Maximální využití stávajících procesů a struktur (v případě IROP vhodné konzultovat či využít SFRB), případně využití zkušeného partnera – např. EIB/EIF.</w:t>
            </w: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Důsledné proškolení a zajištění informovanosti pracovníků subjektů implementační struktury.</w:t>
            </w:r>
          </w:p>
        </w:tc>
      </w:tr>
      <w:tr w:rsidR="009217C2" w:rsidRPr="00682752" w:rsidTr="00F61B77">
        <w:tc>
          <w:tcPr>
            <w:cnfStyle w:val="001000000000" w:firstRow="0" w:lastRow="0" w:firstColumn="1" w:lastColumn="0" w:oddVBand="0" w:evenVBand="0" w:oddHBand="0" w:evenHBand="0" w:firstRowFirstColumn="0" w:firstRowLastColumn="0" w:lastRowFirstColumn="0" w:lastRowLastColumn="0"/>
            <w:tcW w:w="170" w:type="pct"/>
          </w:tcPr>
          <w:p w:rsidR="009217C2" w:rsidRPr="00682752" w:rsidRDefault="009217C2" w:rsidP="00F61B77">
            <w:pPr>
              <w:spacing w:after="0"/>
              <w:jc w:val="left"/>
              <w:rPr>
                <w:b/>
              </w:rPr>
            </w:pPr>
            <w:r w:rsidRPr="00682752">
              <w:rPr>
                <w:b/>
              </w:rPr>
              <w:t>10</w:t>
            </w:r>
          </w:p>
        </w:tc>
        <w:tc>
          <w:tcPr>
            <w:tcW w:w="901" w:type="pct"/>
          </w:tcPr>
          <w:p w:rsidR="009217C2" w:rsidRPr="00682752" w:rsidRDefault="009217C2" w:rsidP="00F61B77">
            <w:pPr>
              <w:spacing w:after="0"/>
              <w:jc w:val="left"/>
              <w:cnfStyle w:val="000000000000" w:firstRow="0" w:lastRow="0" w:firstColumn="0" w:lastColumn="0" w:oddVBand="0" w:evenVBand="0" w:oddHBand="0" w:evenHBand="0" w:firstRowFirstColumn="0" w:firstRowLastColumn="0" w:lastRowFirstColumn="0" w:lastRowLastColumn="0"/>
              <w:rPr>
                <w:b/>
              </w:rPr>
            </w:pPr>
            <w:r w:rsidRPr="00682752">
              <w:rPr>
                <w:b/>
              </w:rPr>
              <w:t>Jaké jsou možnosti poskytování IFN a jako jeho dílčí součásti klasické dotace?</w:t>
            </w:r>
          </w:p>
        </w:tc>
        <w:tc>
          <w:tcPr>
            <w:tcW w:w="2116" w:type="pct"/>
          </w:tcPr>
          <w:p w:rsidR="009217C2" w:rsidRPr="00682752" w:rsidRDefault="009217C2" w:rsidP="00F61B77">
            <w:pPr>
              <w:spacing w:after="0"/>
              <w:ind w:left="14"/>
              <w:cnfStyle w:val="000000000000" w:firstRow="0" w:lastRow="0" w:firstColumn="0" w:lastColumn="0" w:oddVBand="0" w:evenVBand="0" w:oddHBand="0" w:evenHBand="0" w:firstRowFirstColumn="0" w:firstRowLastColumn="0" w:lastRowFirstColumn="0" w:lastRowLastColumn="0"/>
            </w:pPr>
            <w:r w:rsidRPr="00682752">
              <w:t xml:space="preserve">Dle předběžného vyjádření Evropské komise na dotaz vznesený prostřednictvím MMR-Nok je zřejmé, že v případě využití dotace spolu s finančním nástrojem bude povinné účtovat a vykazovat tyto podpory jako dvě operace, tzn. musí být i rozlišen rozdílný účel poskytnutí podpory. Vyjasnění by mělo poskytnout vydání tzv. </w:t>
            </w:r>
            <w:r w:rsidRPr="00682752">
              <w:rPr>
                <w:i/>
              </w:rPr>
              <w:t>guidance note</w:t>
            </w:r>
            <w:r w:rsidRPr="00682752">
              <w:t>, které dle neoficiální informace bude dokončeno a zveřejněno na přelomu března/dubna 2015.</w:t>
            </w:r>
          </w:p>
        </w:tc>
        <w:tc>
          <w:tcPr>
            <w:tcW w:w="1813" w:type="pct"/>
          </w:tcPr>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 xml:space="preserve">Dodavatel doporučuje ŘO vyčkat na tzv. </w:t>
            </w:r>
            <w:r w:rsidRPr="00682752">
              <w:rPr>
                <w:i/>
              </w:rPr>
              <w:t>guidance note</w:t>
            </w:r>
            <w:r w:rsidRPr="00682752">
              <w:t>, v případě dalších nejasností zajistit jednoznačné stanovisko ze strany MMR-NOK, ÚOHS, případně EK.</w:t>
            </w: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p>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p>
        </w:tc>
      </w:tr>
      <w:tr w:rsidR="009217C2" w:rsidRPr="00682752" w:rsidTr="00F61B77">
        <w:tc>
          <w:tcPr>
            <w:cnfStyle w:val="001000000000" w:firstRow="0" w:lastRow="0" w:firstColumn="1" w:lastColumn="0" w:oddVBand="0" w:evenVBand="0" w:oddHBand="0" w:evenHBand="0" w:firstRowFirstColumn="0" w:firstRowLastColumn="0" w:lastRowFirstColumn="0" w:lastRowLastColumn="0"/>
            <w:tcW w:w="170" w:type="pct"/>
          </w:tcPr>
          <w:p w:rsidR="009217C2" w:rsidRPr="00682752" w:rsidRDefault="009217C2" w:rsidP="00F61B77">
            <w:pPr>
              <w:spacing w:after="0"/>
              <w:jc w:val="left"/>
              <w:rPr>
                <w:b/>
              </w:rPr>
            </w:pPr>
            <w:r w:rsidRPr="00682752">
              <w:rPr>
                <w:b/>
              </w:rPr>
              <w:t>11</w:t>
            </w:r>
          </w:p>
        </w:tc>
        <w:tc>
          <w:tcPr>
            <w:tcW w:w="901" w:type="pct"/>
          </w:tcPr>
          <w:p w:rsidR="009217C2" w:rsidRPr="00682752" w:rsidRDefault="009217C2" w:rsidP="00F61B77">
            <w:pPr>
              <w:spacing w:after="0"/>
              <w:jc w:val="left"/>
              <w:cnfStyle w:val="000000000000" w:firstRow="0" w:lastRow="0" w:firstColumn="0" w:lastColumn="0" w:oddVBand="0" w:evenVBand="0" w:oddHBand="0" w:evenHBand="0" w:firstRowFirstColumn="0" w:firstRowLastColumn="0" w:lastRowFirstColumn="0" w:lastRowLastColumn="0"/>
              <w:rPr>
                <w:b/>
              </w:rPr>
            </w:pPr>
            <w:r w:rsidRPr="00682752">
              <w:rPr>
                <w:b/>
              </w:rPr>
              <w:t>Vydávání dluhopisů</w:t>
            </w:r>
          </w:p>
        </w:tc>
        <w:tc>
          <w:tcPr>
            <w:tcW w:w="2116" w:type="pct"/>
          </w:tcPr>
          <w:p w:rsidR="009217C2" w:rsidRPr="00682752" w:rsidRDefault="009217C2" w:rsidP="00F61B77">
            <w:pPr>
              <w:spacing w:after="0"/>
              <w:ind w:left="14"/>
              <w:cnfStyle w:val="000000000000" w:firstRow="0" w:lastRow="0" w:firstColumn="0" w:lastColumn="0" w:oddVBand="0" w:evenVBand="0" w:oddHBand="0" w:evenHBand="0" w:firstRowFirstColumn="0" w:firstRowLastColumn="0" w:lastRowFirstColumn="0" w:lastRowLastColumn="0"/>
            </w:pPr>
            <w:r w:rsidRPr="00682752">
              <w:t>Jsou nějaká omezení, jak je možné ESIF zdroje v IFN využít pro pákování skrze vydávání dluhopisů fondem, který je spravuje?</w:t>
            </w:r>
          </w:p>
        </w:tc>
        <w:tc>
          <w:tcPr>
            <w:tcW w:w="1813" w:type="pct"/>
          </w:tcPr>
          <w:p w:rsidR="009217C2" w:rsidRPr="00682752" w:rsidRDefault="009217C2" w:rsidP="00F61B77">
            <w:pPr>
              <w:spacing w:after="0"/>
              <w:cnfStyle w:val="000000000000" w:firstRow="0" w:lastRow="0" w:firstColumn="0" w:lastColumn="0" w:oddVBand="0" w:evenVBand="0" w:oddHBand="0" w:evenHBand="0" w:firstRowFirstColumn="0" w:firstRowLastColumn="0" w:lastRowFirstColumn="0" w:lastRowLastColumn="0"/>
            </w:pPr>
            <w:r w:rsidRPr="00682752">
              <w:t>Zpracovatel doporučuje ŘO zajistit jednoznačné stanovisko ze strany MMR-NOK, ÚOHS, případně EK.</w:t>
            </w:r>
          </w:p>
        </w:tc>
      </w:tr>
    </w:tbl>
    <w:p w:rsidR="009217C2" w:rsidRPr="00682752" w:rsidRDefault="009217C2" w:rsidP="009217C2">
      <w:pPr>
        <w:pStyle w:val="Titulek"/>
      </w:pPr>
      <w:bookmarkStart w:id="115" w:name="_Toc417655509"/>
      <w:r w:rsidRPr="00682752">
        <w:t xml:space="preserve">Tabulka </w:t>
      </w:r>
      <w:r w:rsidRPr="00682752">
        <w:fldChar w:fldCharType="begin"/>
      </w:r>
      <w:r w:rsidRPr="00682752">
        <w:instrText xml:space="preserve"> SEQ Tabulka \* ARABIC </w:instrText>
      </w:r>
      <w:r w:rsidRPr="00682752">
        <w:fldChar w:fldCharType="separate"/>
      </w:r>
      <w:r w:rsidRPr="00682752">
        <w:rPr>
          <w:noProof/>
        </w:rPr>
        <w:t>11</w:t>
      </w:r>
      <w:r w:rsidRPr="00682752">
        <w:fldChar w:fldCharType="end"/>
      </w:r>
      <w:r w:rsidRPr="00682752">
        <w:t>: Přehled omezení a otevřených otázek svazující detailnost ex-ante analýzy</w:t>
      </w:r>
      <w:bookmarkEnd w:id="115"/>
    </w:p>
    <w:p w:rsidR="009217C2" w:rsidRPr="00682752" w:rsidRDefault="009217C2" w:rsidP="009217C2">
      <w:pPr>
        <w:spacing w:after="0"/>
        <w:jc w:val="left"/>
        <w:rPr>
          <w:rFonts w:eastAsia="Arial"/>
        </w:rPr>
      </w:pPr>
      <w:r w:rsidRPr="00682752">
        <w:rPr>
          <w:rFonts w:eastAsia="Arial"/>
        </w:rPr>
        <w:t>Mimo výše uvedená rizika a bariéry dodavatel samostatně specifikuje identifikované možné bariéry legislativního charakteru:</w:t>
      </w:r>
    </w:p>
    <w:p w:rsidR="001B31DC" w:rsidRPr="00682752" w:rsidRDefault="001B31DC" w:rsidP="001B31DC"/>
    <w:p w:rsidR="0034783B" w:rsidRPr="00682752" w:rsidRDefault="00F36672">
      <w:pPr>
        <w:spacing w:after="0"/>
        <w:jc w:val="left"/>
        <w:rPr>
          <w:rFonts w:eastAsia="Arial"/>
        </w:rPr>
        <w:sectPr w:rsidR="0034783B" w:rsidRPr="00682752" w:rsidSect="00F6327E">
          <w:footerReference w:type="default" r:id="rId37"/>
          <w:headerReference w:type="first" r:id="rId38"/>
          <w:pgSz w:w="16838" w:h="11906" w:orient="landscape" w:code="9"/>
          <w:pgMar w:top="1418" w:right="1418" w:bottom="1418" w:left="1418" w:header="709" w:footer="709" w:gutter="0"/>
          <w:paperSrc w:first="15" w:other="15"/>
          <w:cols w:space="708"/>
          <w:docGrid w:linePitch="360"/>
        </w:sectPr>
      </w:pPr>
      <w:r w:rsidRPr="00682752">
        <w:rPr>
          <w:rFonts w:eastAsia="Arial"/>
        </w:rPr>
        <w:br w:type="page"/>
      </w:r>
    </w:p>
    <w:p w:rsidR="0036274B" w:rsidRPr="00682752" w:rsidRDefault="0036274B" w:rsidP="005C7438">
      <w:pPr>
        <w:pStyle w:val="CaptionIntroductionparagraph"/>
        <w:rPr>
          <w:rFonts w:eastAsia="Arial"/>
        </w:rPr>
      </w:pPr>
      <w:bookmarkStart w:id="116" w:name="_Toc400580841"/>
      <w:bookmarkStart w:id="117" w:name="_Toc409637247"/>
      <w:r w:rsidRPr="00682752">
        <w:rPr>
          <w:rFonts w:eastAsia="Arial"/>
        </w:rPr>
        <w:t>Omezení spojená s podobou zákona č. 218/2000 Sb. o rozpočtových pravidlech</w:t>
      </w:r>
    </w:p>
    <w:p w:rsidR="0036274B" w:rsidRPr="00682752" w:rsidRDefault="0036274B" w:rsidP="0036274B">
      <w:pPr>
        <w:spacing w:after="0"/>
        <w:ind w:left="14"/>
      </w:pPr>
      <w:r w:rsidRPr="00682752">
        <w:t>Současná podoba zákona o rozpočtových pravidlech neumožňuje převod prostředků operačního programu na správce finančního nástroje návratnou formou, v současnosti je možné pouze využití poskytnutí prostředků formou dotace (rozhodnutí o poskytnutí dotace), tedy nabyvatel plně rozhoduje o jejich využití (omezen delegační či jinou dohodou) a jsou v jeho vlastnictví. Právě probíhá novelizace tohoto zákona s tím, že je vedena diskuze, která by umožnila změnu směrem, jaký je obvyklý v jiných státech, které již mají rozsáhlejší zkušenosti s poskytováním podpory formou finančních nástrojů. Vyhovující formou by bylo vložení zvláštního výdaje státního rozpočtu do ustanovení §7 zákona č. 218/200 Sb., jednalo by se o „výdaj na vklad do finančního nástroje“ s odkazem na Obecné nařízení (jakožto přímo aplikovatelný právní předpisu EU pod čarou).</w:t>
      </w:r>
    </w:p>
    <w:p w:rsidR="0036274B" w:rsidRPr="00682752" w:rsidRDefault="0036274B" w:rsidP="0036274B">
      <w:pPr>
        <w:spacing w:after="0"/>
        <w:ind w:left="14"/>
      </w:pPr>
    </w:p>
    <w:p w:rsidR="0036274B" w:rsidRPr="00682752" w:rsidRDefault="0036274B" w:rsidP="0036274B">
      <w:pPr>
        <w:spacing w:after="0"/>
        <w:ind w:left="14"/>
        <w:rPr>
          <w:b/>
        </w:rPr>
      </w:pPr>
      <w:r w:rsidRPr="00682752">
        <w:t xml:space="preserve">V případě zavedení novelizovaného ustanovení by sice opět prostředky byly převedeny mimo dosah řídícího orgánu, nicméně tentokrát by se jednalo o formu „svěřeneckou“, kdy by nad navrácenými prostředky z revolvingu mel řídící orgán konečnou rozhodovací pravomoc. Dodavatel doporučuje, aby řídící orgán v rámci meziresortního projednávání sledovaného zákona podporoval tuto změnu, která by umožnila snadnější, transparentnější a efektivnější způsob správy prostředků, které budou tvořeny skrze fungování návratné formy podpory, v případě IROP úvěrového charakteru. </w:t>
      </w:r>
      <w:r w:rsidRPr="00682752">
        <w:rPr>
          <w:b/>
        </w:rPr>
        <w:t>Je nutné především věnovat pozornost konkrétní podobě nového ustanovení, aby např. nedošlo pouze k polovičatému řešení, kdy by sice prostředky byly „svěřeny“ správci finančního nástroje, nicméně i přesto by nebylo možné je zpětně nabýt a věcně o nich rozhodovat.</w:t>
      </w:r>
      <w:r w:rsidRPr="00682752">
        <w:t xml:space="preserve"> </w:t>
      </w:r>
      <w:r w:rsidRPr="00682752">
        <w:rPr>
          <w:b/>
        </w:rPr>
        <w:t>Pro omezení rizik vyplývajících z toho, že se jedná o nakládání s prostředky rozpočtu EK, by bylo vhodné usilovat o konečnou podobu novelizace tak, aby nehrozilo nebezpečí budoucích korekcí z nesprávné implementace IFN v ČR.</w:t>
      </w:r>
    </w:p>
    <w:p w:rsidR="0036274B" w:rsidRPr="00682752" w:rsidRDefault="0036274B" w:rsidP="0036274B">
      <w:pPr>
        <w:spacing w:after="0"/>
        <w:ind w:left="14"/>
      </w:pPr>
    </w:p>
    <w:p w:rsidR="0036274B" w:rsidRPr="00682752" w:rsidRDefault="0036274B" w:rsidP="0036274B">
      <w:pPr>
        <w:spacing w:after="0"/>
      </w:pPr>
      <w:r w:rsidRPr="00682752">
        <w:t>Omezením zákona je současně skutečnost, že organizační složky státu nemohou dle ustanovení § 49 zákona č. 218/2000 Sb. samy poskytovat úvěry. Toto ustanovení fakticky eliminuje možnost využití implementačního uspořádání dle čl. 38 (4) (c) Obecného nařízení, resp. v daném případě by muselo ministerstvo pro možnost provádění správy finančního nástroje vytvořit samostatnou entitu, což eliminuje výhodu „ŘO spravuje sám“, resp. výhodu využití existujících veřejných institucí.</w:t>
      </w:r>
    </w:p>
    <w:p w:rsidR="0036274B" w:rsidRPr="00682752" w:rsidRDefault="0036274B" w:rsidP="005C7438">
      <w:pPr>
        <w:pStyle w:val="CaptionIntroductionparagraph"/>
      </w:pPr>
    </w:p>
    <w:p w:rsidR="0036274B" w:rsidRPr="00682752" w:rsidRDefault="0036274B" w:rsidP="005C7438">
      <w:pPr>
        <w:pStyle w:val="CaptionIntroductionparagraph"/>
        <w:rPr>
          <w:rFonts w:eastAsia="Arial"/>
        </w:rPr>
      </w:pPr>
      <w:r w:rsidRPr="00682752">
        <w:rPr>
          <w:rFonts w:eastAsia="Arial"/>
        </w:rPr>
        <w:t>Omezení spojená s podobou zákona č. 137/2006 Sb. o veřejných zakázkách</w:t>
      </w:r>
    </w:p>
    <w:p w:rsidR="0036274B" w:rsidRPr="00682752" w:rsidRDefault="0036274B" w:rsidP="0036274B">
      <w:pPr>
        <w:spacing w:after="0"/>
        <w:ind w:left="14"/>
      </w:pPr>
      <w:r w:rsidRPr="00682752">
        <w:t>V rámci přípravy implementační struktury je nutné rozhodnout, zda bude realizaci prováděcích úkonů spojených s fungováním finančního nástroje vykonávat sám řídící orgán, dojde ke svěření úkonů vhodné nadnárodní instituci (EIB/EIF) či zda dojde k výběru národního veřejnoprávního či soukromoprávního subjektu. V případě výběru národního veřejnoprávního subjektu byly analyzovány celkem tři nabízející se varianty – svěření úkonů ČMZRB, SFŽP nebo SFRB.</w:t>
      </w:r>
    </w:p>
    <w:p w:rsidR="0036274B" w:rsidRPr="00682752" w:rsidRDefault="0036274B" w:rsidP="0036274B">
      <w:pPr>
        <w:spacing w:after="0"/>
        <w:ind w:left="14"/>
      </w:pPr>
    </w:p>
    <w:p w:rsidR="0036274B" w:rsidRPr="00682752" w:rsidRDefault="0036274B" w:rsidP="0036274B">
      <w:pPr>
        <w:spacing w:after="0"/>
        <w:ind w:left="14"/>
      </w:pPr>
      <w:r w:rsidRPr="00682752">
        <w:t>Jako nejvhodnější varianta, kdo by mohl plnit prováděcí úkony spojené se zabezpečením fungování finančního nástroje, byla dodavatelem identifikována ta, kdy je zapojen Státní fond rozvoje bydlení. Tato instituce, kromě již analyzovaných výhod a nevýhod v kapitole 5.1.4, může díky tomu, že je právnickou osobou plně ovládanou státem a v působnosti Ministerstva pro místní rozvoj ČR, být vybrána bez nutnosti konat výběrové řízení.</w:t>
      </w:r>
    </w:p>
    <w:p w:rsidR="0036274B" w:rsidRPr="00682752" w:rsidRDefault="0036274B" w:rsidP="0036274B">
      <w:pPr>
        <w:spacing w:after="0"/>
        <w:ind w:left="14"/>
      </w:pPr>
    </w:p>
    <w:p w:rsidR="0036274B" w:rsidRPr="00682752" w:rsidRDefault="0036274B" w:rsidP="0036274B">
      <w:pPr>
        <w:spacing w:after="0"/>
        <w:ind w:left="14"/>
      </w:pPr>
      <w:r w:rsidRPr="00682752">
        <w:t>Co se týče působnosti zákona, je důležité věnovat zvýšenou pozornost právům a povinnostem, kterým musí dostát řídící orgán, resp. správce finančního nástroje, v případě, kdy bude usilovat o implementaci doporučené varianty nástroje č. 1, která kalkuluje s otevřenou rámcovou spoluprací s více vyhovujícími subjekty v roli spolufinancujícího subjektu. Navrhovaný koncept rámcové spolupráce s více bankovními domy zároveň je v minulosti ozkoušeným modelem využití úvěrových finančních nástrojů ve Velké Británii. Pokud jsou nastaveny základní podmínky, které v případě splnění otevřeně umožní spolupráci všech bank na poskytování zvýhodněných úvěrů za identických podmínek, pak není povinné řídit se zákonem o veřejných zakázkách. Analogicky funguje i fungování podpory formou stavebního spoření, kdy stát přidává příspěvky přímo fyzickým osobám, ale přes účty stavebních spořitelen (byt jsou na tuto formu podpory speciální předpisy).</w:t>
      </w:r>
    </w:p>
    <w:p w:rsidR="0036274B" w:rsidRPr="00682752" w:rsidRDefault="0036274B" w:rsidP="0036274B">
      <w:pPr>
        <w:spacing w:after="0"/>
        <w:ind w:left="14"/>
      </w:pPr>
    </w:p>
    <w:p w:rsidR="0036274B" w:rsidRPr="00682752" w:rsidRDefault="0036274B" w:rsidP="0036274B">
      <w:pPr>
        <w:spacing w:after="0"/>
        <w:ind w:left="14"/>
      </w:pPr>
      <w:r w:rsidRPr="00682752">
        <w:t xml:space="preserve">Uvedený koncept je přes uvedenou zkušenost s obdobným fungováním stavebního spoření do značné míry stále inovativním přístupem, především co se zapojených finančních prostředků týče (objemy v miliardách Kč). </w:t>
      </w:r>
      <w:r w:rsidRPr="00682752">
        <w:rPr>
          <w:b/>
        </w:rPr>
        <w:t>S ohledem na skutečnost, že zákon o veřejných zakázkách tento typ postupu přímo ani nevylučuje ba ani přímo nepovoluje, je nutné usilovat o předběžné konzultace s Úřadem na ochranu hospodářské soutěže</w:t>
      </w:r>
      <w:r w:rsidRPr="00682752">
        <w:t>. Dodavatel ověřil platnost uvedeného konceptu skrze judikát v obdobné situaci, kdy byly vyneseny předpoklady možného fungování daného modelu bez nutnosti realizovat koncesní řízení, nicméně pro zabezpečení plné právní jistoty doporučuje dodavatel vstoupit s úřadem do předběžné konzultace na dané téma.</w:t>
      </w:r>
    </w:p>
    <w:p w:rsidR="0036274B" w:rsidRPr="00682752" w:rsidRDefault="0036274B" w:rsidP="0036274B">
      <w:pPr>
        <w:spacing w:after="0"/>
        <w:ind w:left="14"/>
      </w:pPr>
    </w:p>
    <w:p w:rsidR="0036274B" w:rsidRDefault="0036274B" w:rsidP="0036274B">
      <w:pPr>
        <w:spacing w:after="0"/>
        <w:ind w:left="14"/>
      </w:pPr>
      <w:r w:rsidRPr="00682752">
        <w:t>V neposlední řadě je nutné zmínit další oblast působnosti zákona, která má přímý vliv na návrh finančního nástroje – dle současného znění zákona je u veřejných subjektů ukotvena povinnost výběru dodavatele finanční služby skrze výběrové řízení v případě, že jsou překročeny stanovené limity. Tato oblast zákona je nicméně předmětem diskuze v rámci přípravy novelizace a dle současných diskuzí bude tato povinnost u úvěrových produktů s platností nového zákona odstraněna (předpoklad nabytí účinnosti nového zákona k 1. dubnu 2016), tzn. toto omezení by nemělo být poplatné pro finanční nástroj budovaný v rámci IROP. V důsledku se jedná o významné zjednodušení, neboť příjemce podpory bude osvobozen od nutnosti konat výběrové řízení na dodavatele (u finančních nástrojů tato povinnost z evropských nařízení nevyplývá) a bude tedy mít možnost významně rychleji realizovat celý proces přiznání podpory, tedy proces od podání žádosti do ukončení projektu, oproti postupům platným pro dotační financování.</w:t>
      </w:r>
    </w:p>
    <w:p w:rsidR="0036274B" w:rsidRDefault="0036274B" w:rsidP="0036274B">
      <w:pPr>
        <w:spacing w:after="0"/>
        <w:jc w:val="left"/>
      </w:pPr>
      <w:r>
        <w:rPr>
          <w:rFonts w:eastAsia="Arial"/>
        </w:rPr>
        <w:br w:type="page"/>
      </w:r>
    </w:p>
    <w:p w:rsidR="00A40D00" w:rsidRDefault="00A40D00" w:rsidP="00A40D00">
      <w:pPr>
        <w:pStyle w:val="Nadpis2"/>
      </w:pPr>
      <w:bookmarkStart w:id="118" w:name="_Toc418767157"/>
      <w:r>
        <w:t>N</w:t>
      </w:r>
      <w:r w:rsidRPr="004E7CFD">
        <w:t>ávrh investiční strategie</w:t>
      </w:r>
      <w:bookmarkEnd w:id="116"/>
      <w:bookmarkEnd w:id="117"/>
      <w:bookmarkEnd w:id="118"/>
    </w:p>
    <w:p w:rsidR="00A40D00" w:rsidRDefault="00A40D00" w:rsidP="00A40D00">
      <w:pPr>
        <w:pStyle w:val="Nadpis3"/>
        <w:rPr>
          <w:rFonts w:eastAsia="Arial"/>
        </w:rPr>
      </w:pPr>
      <w:bookmarkStart w:id="119" w:name="_Toc400580842"/>
      <w:bookmarkStart w:id="120" w:name="_Toc409637248"/>
      <w:bookmarkStart w:id="121" w:name="_Toc418767158"/>
      <w:r>
        <w:rPr>
          <w:rFonts w:eastAsia="Arial"/>
        </w:rPr>
        <w:t>Popis výchozí situace</w:t>
      </w:r>
      <w:bookmarkEnd w:id="119"/>
      <w:bookmarkEnd w:id="120"/>
      <w:bookmarkEnd w:id="121"/>
    </w:p>
    <w:p w:rsidR="0034783B" w:rsidRDefault="0034783B" w:rsidP="0034783B">
      <w:pPr>
        <w:rPr>
          <w:rFonts w:eastAsia="Arial"/>
          <w:b/>
        </w:rPr>
      </w:pPr>
      <w:r>
        <w:rPr>
          <w:rFonts w:eastAsia="Arial"/>
        </w:rPr>
        <w:t xml:space="preserve">Cílem této kapitoly je shrnout základní atributy spojené s nastavením finančního nástroje navrhovaného do oblasti podpory projektů energetické účinnosti bytových domů, tedy jediné oblasti, kde v rámci IROP bylo potvrzeno selhání trhu a vhodnost přesunu dotačního schématu do alternativní formy financování. Dodavatel rozpracoval návrh finančního nástroje, který se snaží o vyjasnění klíčových otázek pro možnost jeho implementace. </w:t>
      </w:r>
      <w:r w:rsidRPr="005B7E40">
        <w:rPr>
          <w:rFonts w:eastAsia="Arial"/>
          <w:b/>
        </w:rPr>
        <w:t>Navrhovaný nástroj je svojí povahou tzv. tailor-made</w:t>
      </w:r>
      <w:r>
        <w:rPr>
          <w:rFonts w:eastAsia="Arial"/>
          <w:b/>
        </w:rPr>
        <w:t>, není navrhováno využití vzorových off-the-shelf nástrojů EK.</w:t>
      </w:r>
    </w:p>
    <w:p w:rsidR="001B31DC" w:rsidRDefault="001B31DC" w:rsidP="001B31DC">
      <w:pPr>
        <w:rPr>
          <w:b/>
        </w:rPr>
      </w:pPr>
      <w:r w:rsidRPr="00474627">
        <w:t xml:space="preserve">Dodavatel ex-ante analýzy dále specifikuje kroky, které považuje za žádoucí pro naplnění cíle dosažení principů optimálně fungujícího </w:t>
      </w:r>
      <w:r>
        <w:t>tržního prostředí ve sledovaném specifickém cíli 2.5 IROP</w:t>
      </w:r>
      <w:r w:rsidRPr="00474627">
        <w:t xml:space="preserve">. </w:t>
      </w:r>
      <w:r w:rsidRPr="00B64763">
        <w:rPr>
          <w:b/>
        </w:rPr>
        <w:t xml:space="preserve">Dále </w:t>
      </w:r>
      <w:r>
        <w:rPr>
          <w:b/>
        </w:rPr>
        <w:t xml:space="preserve">dodavatel uvádí stručný popis nástroje, který považuje za vyhovující pro nápravu tržních selhání ve sledované oblasti – vyšší míra detailu je uvedena v kapitole investiční strategie. </w:t>
      </w:r>
    </w:p>
    <w:p w:rsidR="001B31DC" w:rsidRDefault="001B31DC" w:rsidP="001B31DC">
      <w:r>
        <w:t xml:space="preserve">Dle údajů od zadavatele je pro oblast podpory SC 2.5 vyčleněna alokace ve výši 16,8 mld. Kč – za předpokladu, že </w:t>
      </w:r>
      <w:r w:rsidRPr="003F3AAA">
        <w:rPr>
          <w:b/>
        </w:rPr>
        <w:t>bude poskytovaná dotace dle čl. 39 GBER v maximální výši podpory 70%, je možné realizovat investice ve výši</w:t>
      </w:r>
      <w:r>
        <w:rPr>
          <w:b/>
        </w:rPr>
        <w:t xml:space="preserve"> 24</w:t>
      </w:r>
      <w:r w:rsidRPr="003F3AAA">
        <w:rPr>
          <w:b/>
        </w:rPr>
        <w:t xml:space="preserve"> mld. Kč.</w:t>
      </w:r>
      <w:r>
        <w:rPr>
          <w:rStyle w:val="Znakapoznpodarou"/>
          <w:b/>
        </w:rPr>
        <w:footnoteReference w:id="11"/>
      </w:r>
      <w:r>
        <w:t xml:space="preserve"> V případě, že bude ponechána oblast v dotačním schématu podpory, bude objem generovaných investic výrazně nižší než předpokládaná celková absorpční kapacita, resp. vyčíslené tržní selhání (desítky až stovky miliard Kč).</w:t>
      </w:r>
      <w:r>
        <w:rPr>
          <w:rStyle w:val="Znakapoznpodarou"/>
        </w:rPr>
        <w:footnoteReference w:id="12"/>
      </w:r>
      <w:r>
        <w:t xml:space="preserve"> S ohledem na uvedené a s ohledem na kladné posouzení ekonomické návratnosti (profitability) sledovaných projektů dodavatel </w:t>
      </w:r>
      <w:r w:rsidRPr="004A423A">
        <w:rPr>
          <w:b/>
        </w:rPr>
        <w:t>doporučuje, aby tato oblast byla vyjmuta z dotačního financování a její alokace byla převedena do finanční</w:t>
      </w:r>
      <w:r>
        <w:rPr>
          <w:b/>
        </w:rPr>
        <w:t>ho</w:t>
      </w:r>
      <w:r w:rsidRPr="004A423A">
        <w:rPr>
          <w:b/>
        </w:rPr>
        <w:t xml:space="preserve"> nástroje</w:t>
      </w:r>
      <w:r>
        <w:rPr>
          <w:b/>
        </w:rPr>
        <w:t>.</w:t>
      </w:r>
      <w:r>
        <w:t xml:space="preserve"> </w:t>
      </w:r>
    </w:p>
    <w:p w:rsidR="001B31DC" w:rsidRDefault="001B31DC" w:rsidP="001B31DC">
      <w:r>
        <w:t>Zapojení vhodného finančního nástroje umožní uspokojit vyšší počet projektů sledované oblasti díky multiplikačnímu efektu a skrze revolvingový efekt návratnosti poskytnutých prostředků. Výsledkem těchto opatření by mělo dojít k překonání významných bariér existujících ve věci dostupnosti finančních zdrojů pro možnost realizace kvalitních projektů v této oblasti. Současně je třeba podotknout, že přesun oblasti z dotačního financování do podpory skrze finanční nástroj vždy znamená ztrátu části absorpčních kapacit, nicméně závěry dotazníkového šetření a současná zkušenost s využitím programu JESSICA v rámci IOP dokazuje, že zapojení vhodně nastaveného finančního nástroje dokáže najít zájemce o tento druh financování, tedy že pokles absorpce nebude znamenat ohrožení vyčerpání dostupné alokace.</w:t>
      </w:r>
    </w:p>
    <w:p w:rsidR="001B31DC" w:rsidRDefault="001B31DC" w:rsidP="001B31DC">
      <w:r w:rsidRPr="00AA119C">
        <w:rPr>
          <w:b/>
        </w:rPr>
        <w:t>Pro sledovanou oblast</w:t>
      </w:r>
      <w:r>
        <w:rPr>
          <w:b/>
        </w:rPr>
        <w:t xml:space="preserve"> je obecně možné využít buď garančního </w:t>
      </w:r>
      <w:r w:rsidRPr="00AA119C">
        <w:rPr>
          <w:b/>
        </w:rPr>
        <w:t xml:space="preserve">nebo úvěrového </w:t>
      </w:r>
      <w:r>
        <w:rPr>
          <w:b/>
        </w:rPr>
        <w:t>IFN</w:t>
      </w:r>
      <w:r>
        <w:t xml:space="preserve">, který by mohl napomoci překonání sledovaných tržních selhání.  Nástroj kapitálového vstupu pro tuto oblast intervence není vhodný a to ani na základě analýzy zahraničních zkušeností. Garanční nástroj by bylo možné využít, nicméně na základě výsledků analýzy jeho využití necílí na nápravu tržního selhání. Pouze jedna desetina dotazovaných v rámci dotazníkového šetření uvedla jako garanční nástroj jako vhodnou formu podpory. Také z analýzy předchozích zkušeností (JESSICA, PANEL) vyplývá, že defaut rate portfolia realizovaných projektů je blízký nule. Kreditní riziko tedy není problémem při poskytování úvěrů. Zároveň navrhovaný nástroj, uvedený dále v textu a v návrhové kapitole, obsahuje i garanční složku. ŘO se tak může rozhodnout, zda ji využije a do nástroje zahrne.  </w:t>
      </w:r>
    </w:p>
    <w:p w:rsidR="001B31DC" w:rsidRDefault="001B31DC" w:rsidP="001B31DC">
      <w:r>
        <w:t xml:space="preserve">Po diskuzi se zástupci odborné veřejnosti, zástupci finančního sektoru a po provedení analýzy obdobné zahraniční praxe </w:t>
      </w:r>
      <w:r w:rsidRPr="00B64AD1">
        <w:rPr>
          <w:b/>
        </w:rPr>
        <w:t xml:space="preserve">bylo </w:t>
      </w:r>
      <w:r>
        <w:rPr>
          <w:b/>
        </w:rPr>
        <w:t>navrženo využití nástroje na půdorysu řešení off-the-shelf Renovation Loan</w:t>
      </w:r>
      <w:r>
        <w:t xml:space="preserve">. </w:t>
      </w:r>
      <w:r w:rsidRPr="004843FD">
        <w:t>Jedná se o úvěrový nástroj cílený na zabezpečení sdílení rizika z možného defaultu jeho poskytnutí mezi finančními p</w:t>
      </w:r>
      <w:r>
        <w:t xml:space="preserve">rostředky finančního nástroje, </w:t>
      </w:r>
      <w:r w:rsidRPr="004843FD">
        <w:t>zdroji vybraného finančního zprostředkovatele (subjektem implementujícím konkrétní finanční nástroj)</w:t>
      </w:r>
      <w:r>
        <w:t xml:space="preserve"> a zapojenými spolufinancujícími subjekty</w:t>
      </w:r>
      <w:r w:rsidRPr="004843FD">
        <w:t xml:space="preserve">. </w:t>
      </w:r>
      <w:r>
        <w:t xml:space="preserve">Typickými přínosy zřízení nástroje je poskytování subvencovaných půjček, ideálně spolu s poskytováním adekvátního projektového poradenství – cílící na zabezpečení podpory komplexních projektů. </w:t>
      </w:r>
    </w:p>
    <w:p w:rsidR="001B31DC" w:rsidRPr="00EB588E" w:rsidRDefault="001B31DC" w:rsidP="001B31DC">
      <w:pPr>
        <w:rPr>
          <w:b/>
        </w:rPr>
      </w:pPr>
      <w:r w:rsidRPr="00EB588E">
        <w:rPr>
          <w:b/>
        </w:rPr>
        <w:t>V závislosti na specifikách tržních podmínek a záměru ŘO lze uplatňovat využití nástroje i dotace, v závislosti na charakteru příjemce a projektu, resp. na základě jiných rozřazovacích klíčů používaných v rámci IROP.  (vyloučené lokality, znečistění,</w:t>
      </w:r>
      <w:r>
        <w:rPr>
          <w:b/>
        </w:rPr>
        <w:t xml:space="preserve"> </w:t>
      </w:r>
      <w:r w:rsidRPr="00EB588E">
        <w:rPr>
          <w:b/>
        </w:rPr>
        <w:t xml:space="preserve">CLLD apod.)  </w:t>
      </w:r>
    </w:p>
    <w:p w:rsidR="001B31DC" w:rsidRPr="00EB588E" w:rsidRDefault="001B31DC" w:rsidP="001B31DC">
      <w:r w:rsidRPr="00EB588E">
        <w:t>Dodavatel dále ověřil potenciál zájmu o využití navrhované formy podpory zvýhodněným úvěrem skrze vybrané otázky realizovaného dotazníkového šetření.</w:t>
      </w:r>
    </w:p>
    <w:p w:rsidR="001B31DC" w:rsidRDefault="001B31DC" w:rsidP="001B31DC">
      <w:pPr>
        <w:pStyle w:val="Titulek"/>
        <w:spacing w:after="0" w:afterAutospacing="0"/>
        <w:jc w:val="center"/>
      </w:pPr>
      <w:r w:rsidRPr="007F5D0B">
        <w:rPr>
          <w:noProof/>
          <w:lang w:eastAsia="cs-CZ"/>
        </w:rPr>
        <w:drawing>
          <wp:inline distT="0" distB="0" distL="0" distR="0" wp14:anchorId="273C058E" wp14:editId="44ADD6DA">
            <wp:extent cx="5514030" cy="2419350"/>
            <wp:effectExtent l="0" t="0" r="0" b="0"/>
            <wp:docPr id="7177" name="Obrázek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29216" cy="2426013"/>
                    </a:xfrm>
                    <a:prstGeom prst="rect">
                      <a:avLst/>
                    </a:prstGeom>
                  </pic:spPr>
                </pic:pic>
              </a:graphicData>
            </a:graphic>
          </wp:inline>
        </w:drawing>
      </w:r>
    </w:p>
    <w:p w:rsidR="001B31DC" w:rsidRPr="00724251" w:rsidRDefault="001B31DC" w:rsidP="001B31DC">
      <w:pPr>
        <w:pStyle w:val="Titulek"/>
      </w:pPr>
      <w:bookmarkStart w:id="122" w:name="_Toc417655527"/>
      <w:r>
        <w:t xml:space="preserve">Obrázek </w:t>
      </w:r>
      <w:r>
        <w:fldChar w:fldCharType="begin"/>
      </w:r>
      <w:r>
        <w:instrText xml:space="preserve"> SEQ Obrázek \* ARABIC </w:instrText>
      </w:r>
      <w:r>
        <w:fldChar w:fldCharType="separate"/>
      </w:r>
      <w:r w:rsidR="00337437">
        <w:rPr>
          <w:noProof/>
        </w:rPr>
        <w:t>13</w:t>
      </w:r>
      <w:r>
        <w:fldChar w:fldCharType="end"/>
      </w:r>
      <w:r>
        <w:t>: Závěry dotazníkového šetření – zájem o podporu IROP formou zvýhodněného úvěru</w:t>
      </w:r>
      <w:bookmarkEnd w:id="122"/>
    </w:p>
    <w:p w:rsidR="001B31DC" w:rsidRDefault="001B31DC" w:rsidP="001B31DC">
      <w:pPr>
        <w:jc w:val="center"/>
      </w:pPr>
      <w:r w:rsidRPr="007F5D0B">
        <w:rPr>
          <w:noProof/>
          <w:lang w:eastAsia="cs-CZ"/>
        </w:rPr>
        <w:drawing>
          <wp:inline distT="0" distB="0" distL="0" distR="0" wp14:anchorId="5C1840DC" wp14:editId="297D25B2">
            <wp:extent cx="5457825" cy="2376701"/>
            <wp:effectExtent l="0" t="0" r="0" b="5080"/>
            <wp:docPr id="7179" name="Obrázek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76911" cy="2385012"/>
                    </a:xfrm>
                    <a:prstGeom prst="rect">
                      <a:avLst/>
                    </a:prstGeom>
                  </pic:spPr>
                </pic:pic>
              </a:graphicData>
            </a:graphic>
          </wp:inline>
        </w:drawing>
      </w:r>
    </w:p>
    <w:p w:rsidR="001B31DC" w:rsidRPr="00724251" w:rsidRDefault="001B31DC" w:rsidP="001B31DC">
      <w:pPr>
        <w:pStyle w:val="Titulek"/>
      </w:pPr>
      <w:bookmarkStart w:id="123" w:name="_Toc417655528"/>
      <w:r>
        <w:t xml:space="preserve">Obrázek </w:t>
      </w:r>
      <w:r>
        <w:fldChar w:fldCharType="begin"/>
      </w:r>
      <w:r>
        <w:instrText xml:space="preserve"> SEQ Obrázek \* ARABIC </w:instrText>
      </w:r>
      <w:r>
        <w:fldChar w:fldCharType="separate"/>
      </w:r>
      <w:r w:rsidR="00337437">
        <w:rPr>
          <w:noProof/>
        </w:rPr>
        <w:t>14</w:t>
      </w:r>
      <w:r>
        <w:fldChar w:fldCharType="end"/>
      </w:r>
      <w:r>
        <w:t>: Závěry dotazníkového šetření – zájem o podporu IROP formou zvýhodněného úvěru s případnou dotační složkou</w:t>
      </w:r>
      <w:bookmarkEnd w:id="123"/>
    </w:p>
    <w:p w:rsidR="001B31DC" w:rsidRDefault="001B31DC" w:rsidP="001B31DC">
      <w:r>
        <w:t xml:space="preserve">Z odpovědí na sledované otázky je zřejmé, že ne každý potenciální konečný příjemce je příznivcem formy podpory zvýhodněným úvěrem.  Na druhou stranu pouze 7% respondentů s určitostí vyloučilo, že by o finanční nástroj úvěrového typu rozhodně nemělo zájem, zatímco </w:t>
      </w:r>
      <w:r w:rsidR="003151F2">
        <w:t>5</w:t>
      </w:r>
      <w:r>
        <w:t xml:space="preserve">5% dotázaných by i tento druh podpory pravděpodobně přesvědčil k realizaci projektu. </w:t>
      </w:r>
    </w:p>
    <w:p w:rsidR="001B31DC" w:rsidRPr="00086040" w:rsidRDefault="001B31DC" w:rsidP="001B31DC">
      <w:pPr>
        <w:rPr>
          <w:b/>
        </w:rPr>
      </w:pPr>
      <w:r w:rsidRPr="00450273">
        <w:rPr>
          <w:b/>
        </w:rPr>
        <w:t>Klíčové pro zabezpečení plnění cílů IROP a souvisejíc</w:t>
      </w:r>
      <w:r>
        <w:rPr>
          <w:b/>
        </w:rPr>
        <w:t>í</w:t>
      </w:r>
      <w:r w:rsidRPr="00450273">
        <w:rPr>
          <w:b/>
        </w:rPr>
        <w:t xml:space="preserve"> čerpání je nutné, aby přínosy zřízení finančního nástroje byly intenzivně a přitom jednoduše komunikovány – aby bylo dosaženo zájmu nerozhodnutých 38% dotazovaných, kteří uvedli odpověď „spíše ne“. V</w:t>
      </w:r>
      <w:r>
        <w:t> </w:t>
      </w:r>
      <w:r w:rsidRPr="00B844FC">
        <w:rPr>
          <w:b/>
        </w:rPr>
        <w:t xml:space="preserve">případě vhodného nastavení podmínek zvýhodněného úvěrování </w:t>
      </w:r>
      <w:r w:rsidRPr="00086040">
        <w:rPr>
          <w:b/>
        </w:rPr>
        <w:t xml:space="preserve">s dotační složkou </w:t>
      </w:r>
      <w:r>
        <w:rPr>
          <w:b/>
        </w:rPr>
        <w:t>je možné dovozovat</w:t>
      </w:r>
      <w:r w:rsidRPr="008C16F3">
        <w:rPr>
          <w:b/>
        </w:rPr>
        <w:t xml:space="preserve">, že až </w:t>
      </w:r>
      <w:r>
        <w:rPr>
          <w:b/>
        </w:rPr>
        <w:t>89</w:t>
      </w:r>
      <w:r w:rsidRPr="008C16F3">
        <w:rPr>
          <w:b/>
        </w:rPr>
        <w:t xml:space="preserve"> % respondentů by mělo o takový nástroj zájem.</w:t>
      </w:r>
    </w:p>
    <w:p w:rsidR="007F49F6" w:rsidRDefault="007F49F6" w:rsidP="0077225E">
      <w:pPr>
        <w:sectPr w:rsidR="007F49F6" w:rsidSect="0034783B">
          <w:pgSz w:w="11906" w:h="16838" w:code="9"/>
          <w:pgMar w:top="1418" w:right="1418" w:bottom="1418" w:left="1418" w:header="709" w:footer="709" w:gutter="0"/>
          <w:paperSrc w:first="15" w:other="15"/>
          <w:cols w:space="708"/>
          <w:docGrid w:linePitch="360"/>
        </w:sectPr>
      </w:pPr>
    </w:p>
    <w:p w:rsidR="003606C3" w:rsidRDefault="003606C3" w:rsidP="002819BC">
      <w:pPr>
        <w:pStyle w:val="Nadpis4"/>
      </w:pPr>
      <w:r>
        <w:t>O</w:t>
      </w:r>
      <w:r w:rsidRPr="007F7A46">
        <w:t xml:space="preserve">důvodnění </w:t>
      </w:r>
      <w:r>
        <w:t xml:space="preserve">volby </w:t>
      </w:r>
      <w:r w:rsidRPr="007F7A46">
        <w:t>oblasti</w:t>
      </w:r>
      <w:r w:rsidR="00DA246E">
        <w:t xml:space="preserve"> podpory a návrhu nástroje</w:t>
      </w:r>
    </w:p>
    <w:p w:rsidR="003606C3" w:rsidRPr="00B86382" w:rsidRDefault="003606C3" w:rsidP="003606C3">
      <w:r w:rsidRPr="00B86382">
        <w:t xml:space="preserve">Při realizaci pre-screeningového šetření </w:t>
      </w:r>
      <w:r w:rsidR="00606CD4">
        <w:t>vykazovala sledovaná oblast</w:t>
      </w:r>
      <w:r w:rsidRPr="00B86382">
        <w:t xml:space="preserve"> hodnoty atributů, které signalizovaly vysoký potenciál pro ověření vhodnosti zapojení podpory skrze využití finančních nástrojů – oslovení odborníci i dodavatel se shodovali v závěrech, že poptávka po zdrojích převyšuje nabídku finančních prostředků, projekty vykazují kladné roční cash flow, na oblast je připravena vhodná výše alokace pro zapojení finančních nástrojů, apod.</w:t>
      </w:r>
    </w:p>
    <w:p w:rsidR="00606CD4" w:rsidRPr="00606CD4" w:rsidRDefault="00606CD4" w:rsidP="00606CD4">
      <w:r w:rsidRPr="00606CD4">
        <w:t>Dle závěru analýzy tržních charakteristik vykazuje oblast chronickou podfinancovanost, potenciální poptávka dosahuje několikanásobku objemu vyčleněné alokace programu, navíc bez veřejné intervence se realizuje pouze několik málo projektů ročně. Závěry analýzy poukazují na skutečnost, že finanční sektor je schopen a ochoten financovat renovační projekty v případě, že jsou splněny požadavky na udržení účelu užívání, vykazují přiměřenou dobu návratnosti (do 15 let splatnosti), nebo v případě, kdy je zapojeno dotační financování. Jelikož specifikované podmínky nejsou přijatelné nebo splnitelné pro potenciální příjemce, dochází k situacím, kdy existuje významný objem nevyužitého kapitálu, za souběžné existence připravených nezahájených kvalitních (návratných) projektů.</w:t>
      </w:r>
    </w:p>
    <w:p w:rsidR="00064B3D" w:rsidRDefault="003606C3" w:rsidP="003606C3">
      <w:r w:rsidRPr="00B86382">
        <w:t>Závěry analýz</w:t>
      </w:r>
      <w:r>
        <w:t xml:space="preserve">y tržních selhání potvrdily existenci významných tržních selhání a potřebu stimulace investiční aktivity skrze vhodný nástroj veřejné podpory, kdy dle </w:t>
      </w:r>
      <w:r w:rsidRPr="0026227A">
        <w:t>analýzy typického příkladu je zřejmé</w:t>
      </w:r>
      <w:r w:rsidR="00606CD4" w:rsidRPr="0026227A">
        <w:t xml:space="preserve"> (viz kapitola 5.1.5)</w:t>
      </w:r>
      <w:r w:rsidRPr="0026227A">
        <w:t>,</w:t>
      </w:r>
      <w:r>
        <w:t xml:space="preserve"> že systém dotační podpory </w:t>
      </w:r>
      <w:r w:rsidR="00606CD4">
        <w:t>poskytuje</w:t>
      </w:r>
      <w:r>
        <w:t xml:space="preserve"> příjemci neúměrně vysokou konkurenční výhodu</w:t>
      </w:r>
      <w:r w:rsidR="00606CD4">
        <w:t xml:space="preserve">, naopak podpora zvýhodněným úvěrem může být také zajímavá a současně je funkční, jak potvrzují závěry ohledně fungování </w:t>
      </w:r>
      <w:r w:rsidR="00064B3D">
        <w:t xml:space="preserve">programu </w:t>
      </w:r>
      <w:r w:rsidR="00606CD4">
        <w:t>JESSICA</w:t>
      </w:r>
      <w:r>
        <w:t>.</w:t>
      </w:r>
      <w:r w:rsidR="0026227A">
        <w:t xml:space="preserve"> S ohledem na skutečnost, že ve sledovaném sektoru není tržním selháním problém jištění, není navrhován zárukový nástroj. Protože kapitálový vstup v tomto případě není vhodný z technických důvodů, není dále rozpracováván.</w:t>
      </w:r>
      <w:r>
        <w:t xml:space="preserve"> </w:t>
      </w:r>
      <w:r w:rsidRPr="00B35586">
        <w:rPr>
          <w:b/>
        </w:rPr>
        <w:t>Jako vhodnou formu veřejné podpory dodavatel navr</w:t>
      </w:r>
      <w:r w:rsidR="00606CD4">
        <w:rPr>
          <w:b/>
        </w:rPr>
        <w:t>huje využití úvěrových nástrojů, v odůvodněných případech s dotační složkou</w:t>
      </w:r>
      <w:r w:rsidR="00606CD4">
        <w:t>. Návrh</w:t>
      </w:r>
      <w:r>
        <w:t xml:space="preserve"> ko</w:t>
      </w:r>
      <w:r w:rsidR="00606CD4">
        <w:t>nkrétní podoby nástroje</w:t>
      </w:r>
      <w:r>
        <w:t xml:space="preserve"> i </w:t>
      </w:r>
      <w:r w:rsidR="00606CD4">
        <w:t>implementačního postupu byl při jejich návrhu opakovaně</w:t>
      </w:r>
      <w:r>
        <w:t xml:space="preserve"> diskutován </w:t>
      </w:r>
      <w:r w:rsidR="00606CD4">
        <w:t>s odborníky na danou oblast</w:t>
      </w:r>
      <w:r w:rsidR="00064B3D">
        <w:t>, stejně tak byl konzultován s potenciálními spolufinancujícími subjekty</w:t>
      </w:r>
      <w:r w:rsidR="00606CD4">
        <w:t>.</w:t>
      </w:r>
      <w:r w:rsidR="001B74DB">
        <w:t xml:space="preserve"> </w:t>
      </w:r>
      <w:r w:rsidR="00064B3D">
        <w:t>Dodavatel dále rozpracoval dvě základní varianty možného nástroje:</w:t>
      </w:r>
    </w:p>
    <w:p w:rsidR="003606C3" w:rsidRDefault="00545A4C" w:rsidP="000252FB">
      <w:pPr>
        <w:pStyle w:val="Odstavecseseznamem"/>
        <w:numPr>
          <w:ilvl w:val="0"/>
          <w:numId w:val="65"/>
        </w:numPr>
      </w:pPr>
      <w:r>
        <w:rPr>
          <w:b/>
        </w:rPr>
        <w:t xml:space="preserve">VARIANTA 1: </w:t>
      </w:r>
      <w:r w:rsidR="00543866">
        <w:rPr>
          <w:b/>
        </w:rPr>
        <w:t>Návrh podoby nástroje ve formě společně poskytovaného</w:t>
      </w:r>
      <w:r w:rsidR="001B74DB" w:rsidRPr="000252FB">
        <w:rPr>
          <w:b/>
        </w:rPr>
        <w:t xml:space="preserve"> úvěru</w:t>
      </w:r>
      <w:r w:rsidR="00064B3D">
        <w:t>. Tato varianta</w:t>
      </w:r>
      <w:r w:rsidR="001B74DB">
        <w:t xml:space="preserve"> byla opakovaně konzultována </w:t>
      </w:r>
      <w:r w:rsidR="00064B3D">
        <w:t xml:space="preserve">s odbornou veřejností, s gestory i </w:t>
      </w:r>
      <w:r w:rsidR="001B74DB">
        <w:t>se zástupci České bankovní asociace, kdy tito potvrdili, že daný model je pro zapojení komerčních bank zajímavý a vhodný</w:t>
      </w:r>
      <w:r w:rsidR="00064B3D">
        <w:t>, nicméně je důležité vyjasnit řadu technických detailů uvažovaného implementačního uspořádání, především otázku čerpání možné dotační složky</w:t>
      </w:r>
      <w:r w:rsidR="001B74DB">
        <w:t>.</w:t>
      </w:r>
      <w:r w:rsidR="00064B3D">
        <w:t xml:space="preserve"> Tato varianta je komplikovan</w:t>
      </w:r>
      <w:r w:rsidR="006F14F1">
        <w:t>ější na přípravu i správu co</w:t>
      </w:r>
      <w:r w:rsidR="00064B3D">
        <w:t xml:space="preserve"> se týče řídícího orgánu a jeho zapojených partnerů, nicméně má vyšší potenciál vybuzení zájmu konečných příjemců, neboť nabízí možnost pokrýt až 100% investice a současně nabízí možnost čerpat dotační složku.</w:t>
      </w:r>
    </w:p>
    <w:p w:rsidR="00064B3D" w:rsidRPr="00B86382" w:rsidRDefault="00545A4C" w:rsidP="000252FB">
      <w:pPr>
        <w:pStyle w:val="Odstavecseseznamem"/>
        <w:numPr>
          <w:ilvl w:val="0"/>
          <w:numId w:val="65"/>
        </w:numPr>
      </w:pPr>
      <w:r>
        <w:rPr>
          <w:b/>
        </w:rPr>
        <w:t xml:space="preserve">VARIANTA 2: </w:t>
      </w:r>
      <w:r w:rsidR="00064B3D">
        <w:rPr>
          <w:b/>
        </w:rPr>
        <w:t>Návrh podoby nástroje ve formě samostatně poskytovaného zvýhodněného úvěru</w:t>
      </w:r>
      <w:r w:rsidR="00064B3D">
        <w:t xml:space="preserve">. Tato varianta je vhodná především s ohledem na možnost rychlejšího zavedení, nevyžaduje koordinaci s více partnery během řešení otázky dělení obdržených plateb od konečného příjemce a navazuje na dosavadní zkušenosti s fungováním programu JESSICA. Uvedený návrh </w:t>
      </w:r>
      <w:r w:rsidR="006F14F1">
        <w:t>bude pravděpodobně méně přitažlivý</w:t>
      </w:r>
      <w:r w:rsidR="00064B3D">
        <w:t xml:space="preserve"> pro konečného příjemce, neboť nelze pokrýt 100% investice, tzn. řada příjemců bude nucena hledat dofinancování nepokryté částí záměru z jiných zdrojů (typicky běžným komerčním úvěrem, pokud příjemce nemá vlastní dostatečné úspory).</w:t>
      </w:r>
      <w:r w:rsidR="009B32F0">
        <w:t xml:space="preserve"> Tato varianta nástroje přímo negeneruje pákový efekt.</w:t>
      </w:r>
    </w:p>
    <w:p w:rsidR="003606C3" w:rsidRDefault="00280ACA" w:rsidP="003606C3">
      <w:r>
        <w:t>Navrhovan</w:t>
      </w:r>
      <w:r w:rsidR="006F14F1">
        <w:t>é varianty</w:t>
      </w:r>
      <w:r>
        <w:t xml:space="preserve"> nástroj</w:t>
      </w:r>
      <w:r w:rsidR="006F14F1">
        <w:t>ů</w:t>
      </w:r>
      <w:r>
        <w:t xml:space="preserve"> byl</w:t>
      </w:r>
      <w:r w:rsidR="006F14F1">
        <w:t>y</w:t>
      </w:r>
      <w:r>
        <w:t xml:space="preserve"> navržen</w:t>
      </w:r>
      <w:r w:rsidR="00D76AC5">
        <w:t>y</w:t>
      </w:r>
      <w:r>
        <w:t xml:space="preserve"> s ohledem na potřebu </w:t>
      </w:r>
      <w:r w:rsidR="003606C3" w:rsidRPr="00B86382">
        <w:t xml:space="preserve">souběžně stimulovat zájem o podporované typové projekty ze strany zástupců </w:t>
      </w:r>
      <w:r w:rsidR="003606C3">
        <w:t>potenciálních spolufinancujících subjektů</w:t>
      </w:r>
      <w:r w:rsidR="003606C3" w:rsidRPr="00B86382">
        <w:t xml:space="preserve">, </w:t>
      </w:r>
      <w:r w:rsidR="003606C3">
        <w:t>tak ze strany potenciálních příjemců podpory</w:t>
      </w:r>
      <w:r w:rsidR="003606C3" w:rsidRPr="00B86382">
        <w:t xml:space="preserve">. Stimulačním prvkem pro odblokování financování připravených projektů spočívá jak v zapojení evropských investičních prostředků, tak v možném zavedení preferenčního odměňování spolufinancujících subjektů skrze </w:t>
      </w:r>
      <w:r w:rsidR="003606C3" w:rsidRPr="00B86382">
        <w:rPr>
          <w:i/>
        </w:rPr>
        <w:t>asymetrické sdílení zisků</w:t>
      </w:r>
      <w:r w:rsidR="003606C3">
        <w:t xml:space="preserve"> a </w:t>
      </w:r>
      <w:r w:rsidR="003606C3" w:rsidRPr="006548D4">
        <w:rPr>
          <w:i/>
        </w:rPr>
        <w:t>asymetrické krytí ztrát</w:t>
      </w:r>
      <w:r w:rsidR="003606C3">
        <w:t>.</w:t>
      </w:r>
    </w:p>
    <w:p w:rsidR="00D44E76" w:rsidRDefault="00D44E76" w:rsidP="00DA246E">
      <w:pPr>
        <w:pStyle w:val="Nadpis3"/>
        <w:rPr>
          <w:rFonts w:eastAsia="Arial"/>
        </w:rPr>
      </w:pPr>
      <w:bookmarkStart w:id="124" w:name="_Toc418767159"/>
      <w:r>
        <w:rPr>
          <w:rFonts w:eastAsia="Arial"/>
        </w:rPr>
        <w:t>Popis cílů finančního nástroje</w:t>
      </w:r>
      <w:bookmarkEnd w:id="124"/>
    </w:p>
    <w:p w:rsidR="005B770E" w:rsidRDefault="005B770E" w:rsidP="005B770E">
      <w:r>
        <w:t>Umožnit realizaci projektů specifického cíle 2.5 IROP, které by bez veřejné podpory pravděpodobně nebyly realizovány - o</w:t>
      </w:r>
      <w:r w:rsidRPr="003C7B38">
        <w:t>dstranit definovanou tržní mezeru</w:t>
      </w:r>
      <w:r>
        <w:t xml:space="preserve"> v </w:t>
      </w:r>
      <w:r w:rsidRPr="003C7B38">
        <w:t>dostupnosti</w:t>
      </w:r>
      <w:r>
        <w:t>/akceptovatelnosti</w:t>
      </w:r>
      <w:r w:rsidRPr="003C7B38">
        <w:t xml:space="preserve"> finančních prostředků pro konečného příjemce</w:t>
      </w:r>
      <w:r>
        <w:t>. Zabezpečit návratnost prostředků, které umožní opakované řešení daných projektů i po skončení programového období. Maximalizace environmentálního přínosu s omezenými prostředky, s cílem podstatného příspěvku k plnění cílů směrnice o energetické účinnosti.</w:t>
      </w:r>
    </w:p>
    <w:p w:rsidR="002819BC" w:rsidRDefault="002819BC" w:rsidP="00DA246E">
      <w:pPr>
        <w:pStyle w:val="Nadpis3"/>
        <w:rPr>
          <w:rFonts w:eastAsia="Arial"/>
        </w:rPr>
      </w:pPr>
      <w:bookmarkStart w:id="125" w:name="_Toc418767160"/>
      <w:r>
        <w:rPr>
          <w:rFonts w:eastAsia="Arial"/>
        </w:rPr>
        <w:t>Charakteristika implementační struktury</w:t>
      </w:r>
      <w:bookmarkEnd w:id="125"/>
    </w:p>
    <w:p w:rsidR="002819BC" w:rsidRPr="002819BC" w:rsidRDefault="002819BC" w:rsidP="002819BC">
      <w:pPr>
        <w:rPr>
          <w:rFonts w:eastAsia="Arial"/>
        </w:rPr>
      </w:pPr>
      <w:r>
        <w:rPr>
          <w:rFonts w:eastAsia="Arial"/>
        </w:rPr>
        <w:t xml:space="preserve">(je obsahem kapitoly 5.1) </w:t>
      </w:r>
    </w:p>
    <w:p w:rsidR="003606C3" w:rsidRDefault="003606C3" w:rsidP="00DA246E">
      <w:pPr>
        <w:pStyle w:val="Nadpis3"/>
        <w:rPr>
          <w:rFonts w:eastAsia="Arial"/>
        </w:rPr>
      </w:pPr>
      <w:bookmarkStart w:id="126" w:name="_Toc418767161"/>
      <w:r>
        <w:rPr>
          <w:rFonts w:eastAsia="Arial"/>
        </w:rPr>
        <w:t>Základní p</w:t>
      </w:r>
      <w:r w:rsidR="00DA246E">
        <w:rPr>
          <w:rFonts w:eastAsia="Arial"/>
        </w:rPr>
        <w:t xml:space="preserve">arametry finančního nástroje </w:t>
      </w:r>
      <w:r w:rsidR="000252FB">
        <w:rPr>
          <w:rFonts w:eastAsia="Arial"/>
        </w:rPr>
        <w:t>a schéma fungování</w:t>
      </w:r>
      <w:r w:rsidR="0034783B">
        <w:rPr>
          <w:rFonts w:eastAsia="Arial"/>
        </w:rPr>
        <w:t xml:space="preserve"> - n</w:t>
      </w:r>
      <w:r w:rsidR="00AB358A">
        <w:rPr>
          <w:rFonts w:eastAsia="Arial"/>
        </w:rPr>
        <w:t>ávrh konkrétního finančního nástroje</w:t>
      </w:r>
      <w:bookmarkEnd w:id="126"/>
    </w:p>
    <w:tbl>
      <w:tblPr>
        <w:tblStyle w:val="Deloittetable81"/>
        <w:tblW w:w="0" w:type="auto"/>
        <w:tblLook w:val="04A0" w:firstRow="1" w:lastRow="0" w:firstColumn="1" w:lastColumn="0" w:noHBand="0" w:noVBand="1"/>
      </w:tblPr>
      <w:tblGrid>
        <w:gridCol w:w="1729"/>
        <w:gridCol w:w="7371"/>
      </w:tblGrid>
      <w:tr w:rsidR="00514B4D" w:rsidTr="0090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ECFFC3" w:themeFill="accent2" w:themeFillTint="33"/>
          </w:tcPr>
          <w:p w:rsidR="00514B4D" w:rsidRPr="000252FB" w:rsidRDefault="00514B4D" w:rsidP="00543866">
            <w:pPr>
              <w:spacing w:after="0"/>
              <w:ind w:left="38"/>
              <w:rPr>
                <w:color w:val="auto"/>
              </w:rPr>
            </w:pPr>
            <w:r w:rsidRPr="000252FB">
              <w:rPr>
                <w:color w:val="auto"/>
              </w:rPr>
              <w:t xml:space="preserve">VARIANTA 1: Návrh podoby nástroje ve formě </w:t>
            </w:r>
            <w:r w:rsidR="00543866">
              <w:rPr>
                <w:color w:val="auto"/>
              </w:rPr>
              <w:t>společně poskytovaného</w:t>
            </w:r>
            <w:r w:rsidRPr="000252FB">
              <w:rPr>
                <w:color w:val="auto"/>
              </w:rPr>
              <w:t xml:space="preserve"> úvěru</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Default="003606C3" w:rsidP="003606C3">
            <w:pPr>
              <w:spacing w:after="0"/>
              <w:jc w:val="left"/>
            </w:pPr>
            <w:r w:rsidRPr="0087054E">
              <w:t>Zaměření</w:t>
            </w:r>
            <w:r>
              <w:t xml:space="preserve"> oblasti podpory</w:t>
            </w:r>
          </w:p>
        </w:tc>
        <w:tc>
          <w:tcPr>
            <w:tcW w:w="7371" w:type="dxa"/>
          </w:tcPr>
          <w:p w:rsidR="003606C3" w:rsidRDefault="005C47B1" w:rsidP="005C47B1">
            <w:pPr>
              <w:spacing w:after="0"/>
              <w:cnfStyle w:val="000000000000" w:firstRow="0" w:lastRow="0" w:firstColumn="0" w:lastColumn="0" w:oddVBand="0" w:evenVBand="0" w:oddHBand="0" w:evenHBand="0" w:firstRowFirstColumn="0" w:firstRowLastColumn="0" w:lastRowFirstColumn="0" w:lastRowLastColumn="0"/>
            </w:pPr>
            <w:r w:rsidRPr="005C47B1">
              <w:t>Snížení energetické náročnosti v sektoru bydlení</w:t>
            </w:r>
            <w:r>
              <w:t>, způsobilými příjemci mohou být</w:t>
            </w:r>
            <w:r w:rsidR="00214FB0">
              <w:t xml:space="preserve"> dle programového dokumentu</w:t>
            </w:r>
            <w:r>
              <w:t xml:space="preserve"> v</w:t>
            </w:r>
            <w:r w:rsidRPr="005C47B1">
              <w:t>lastníci bytových domů a společenství vlastníků bytových jednotek - budovy se čtyřmi a více byty</w:t>
            </w:r>
            <w:r>
              <w:t>.</w:t>
            </w:r>
          </w:p>
          <w:p w:rsidR="005A6C00" w:rsidRDefault="005A6C00" w:rsidP="005C47B1">
            <w:pPr>
              <w:spacing w:after="0"/>
              <w:cnfStyle w:val="000000000000" w:firstRow="0" w:lastRow="0" w:firstColumn="0" w:lastColumn="0" w:oddVBand="0" w:evenVBand="0" w:oddHBand="0" w:evenHBand="0" w:firstRowFirstColumn="0" w:firstRowLastColumn="0" w:lastRowFirstColumn="0" w:lastRowLastColumn="0"/>
            </w:pPr>
          </w:p>
          <w:p w:rsidR="005A6C00" w:rsidRPr="00E635B4" w:rsidRDefault="005A6C00" w:rsidP="00E635B4">
            <w:pPr>
              <w:spacing w:after="0"/>
              <w:cnfStyle w:val="000000000000" w:firstRow="0" w:lastRow="0" w:firstColumn="0" w:lastColumn="0" w:oddVBand="0" w:evenVBand="0" w:oddHBand="0" w:evenHBand="0" w:firstRowFirstColumn="0" w:firstRowLastColumn="0" w:lastRowFirstColumn="0" w:lastRowLastColumn="0"/>
              <w:rPr>
                <w:b/>
              </w:rPr>
            </w:pPr>
            <w:r w:rsidRPr="00E635B4">
              <w:rPr>
                <w:b/>
              </w:rPr>
              <w:t xml:space="preserve">Nástroj je navržen k využití na všechny oblasti podpory specifického cíle 2.5 IROP – </w:t>
            </w:r>
            <w:r w:rsidR="001E6FDA" w:rsidRPr="00E635B4">
              <w:rPr>
                <w:b/>
              </w:rPr>
              <w:t xml:space="preserve">ŘO zvažuje zavedení zvláštního režimu pro vybranou skupinu projektů dle geografického klíče, které mají vyšší prioritu a naléhavost </w:t>
            </w:r>
            <w:r w:rsidR="00E635B4" w:rsidRPr="00E635B4">
              <w:rPr>
                <w:b/>
              </w:rPr>
              <w:t>řešení</w:t>
            </w:r>
            <w:r w:rsidR="001E6FDA" w:rsidRPr="00E635B4">
              <w:rPr>
                <w:b/>
              </w:rPr>
              <w:t xml:space="preserve">. </w:t>
            </w:r>
            <w:r w:rsidR="00E635B4" w:rsidRPr="00E635B4">
              <w:rPr>
                <w:b/>
              </w:rPr>
              <w:t>Dodavatel souhlasí s tím, aby takové skupině projektů byla stanovena odlišná pravidla - buď</w:t>
            </w:r>
            <w:r w:rsidRPr="00E635B4">
              <w:rPr>
                <w:b/>
              </w:rPr>
              <w:t xml:space="preserve"> poskytová</w:t>
            </w:r>
            <w:r w:rsidR="00E635B4" w:rsidRPr="00E635B4">
              <w:rPr>
                <w:b/>
              </w:rPr>
              <w:t>ní</w:t>
            </w:r>
            <w:r w:rsidRPr="00E635B4">
              <w:rPr>
                <w:b/>
              </w:rPr>
              <w:t xml:space="preserve"> přím</w:t>
            </w:r>
            <w:r w:rsidR="00E635B4" w:rsidRPr="00E635B4">
              <w:rPr>
                <w:b/>
              </w:rPr>
              <w:t>é</w:t>
            </w:r>
            <w:r w:rsidRPr="00E635B4">
              <w:rPr>
                <w:b/>
              </w:rPr>
              <w:t xml:space="preserve"> dotace</w:t>
            </w:r>
            <w:r w:rsidR="00E635B4" w:rsidRPr="00E635B4">
              <w:rPr>
                <w:b/>
              </w:rPr>
              <w:t xml:space="preserve">, nebo nabízení shodného finančního nástroje, avšak s vyšší bonifikací (dotační složkou). </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Default="003606C3" w:rsidP="003606C3">
            <w:pPr>
              <w:spacing w:after="0"/>
              <w:jc w:val="left"/>
            </w:pPr>
            <w:r w:rsidRPr="0087054E">
              <w:t>Forma podpory</w:t>
            </w:r>
          </w:p>
        </w:tc>
        <w:tc>
          <w:tcPr>
            <w:tcW w:w="7371" w:type="dxa"/>
          </w:tcPr>
          <w:p w:rsidR="003606C3" w:rsidRDefault="003606C3" w:rsidP="003606C3">
            <w:pPr>
              <w:spacing w:after="0"/>
              <w:cnfStyle w:val="000000000000" w:firstRow="0" w:lastRow="0" w:firstColumn="0" w:lastColumn="0" w:oddVBand="0" w:evenVBand="0" w:oddHBand="0" w:evenHBand="0" w:firstRowFirstColumn="0" w:firstRowLastColumn="0" w:lastRowFirstColumn="0" w:lastRowLastColumn="0"/>
            </w:pPr>
            <w:r>
              <w:t>Jeden z</w:t>
            </w:r>
            <w:r w:rsidRPr="0087054E">
              <w:t>výhodněný úvě</w:t>
            </w:r>
            <w:r>
              <w:t xml:space="preserve">r se sníženou úrokovou sazbou, kombinující zdroje </w:t>
            </w:r>
            <w:r w:rsidR="00F5709A">
              <w:t>IROP</w:t>
            </w:r>
            <w:r>
              <w:t xml:space="preserve"> a spolufinancujících subjektů, pokrývající až 100% výše způsobilých výdajů investičního projektu.</w:t>
            </w:r>
          </w:p>
          <w:p w:rsidR="003606C3" w:rsidRDefault="001E4D4A"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M</w:t>
            </w:r>
            <w:r w:rsidR="003606C3">
              <w:t>ožné doplnění nástroje o dotační složku, s vhodným motivačním nastavením k plnění cílů a indikátorů projektu;</w:t>
            </w:r>
          </w:p>
          <w:p w:rsidR="003606C3" w:rsidRDefault="003606C3"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Možná dotační podpora do stanoveného limitu souvisejících technických výdajů na přípravu pr</w:t>
            </w:r>
            <w:r w:rsidR="00214FB0">
              <w:t>ojektu (</w:t>
            </w:r>
            <w:r w:rsidR="001E4D4A">
              <w:t>projektová dokumentace</w:t>
            </w:r>
            <w:r w:rsidR="00214FB0">
              <w:t xml:space="preserve">, </w:t>
            </w:r>
            <w:r>
              <w:t>apod.).</w:t>
            </w:r>
          </w:p>
          <w:p w:rsidR="00156AE9" w:rsidRDefault="00156AE9" w:rsidP="00156AE9">
            <w:pPr>
              <w:spacing w:after="0"/>
              <w:cnfStyle w:val="000000000000" w:firstRow="0" w:lastRow="0" w:firstColumn="0" w:lastColumn="0" w:oddVBand="0" w:evenVBand="0" w:oddHBand="0" w:evenHBand="0" w:firstRowFirstColumn="0" w:firstRowLastColumn="0" w:lastRowFirstColumn="0" w:lastRowLastColumn="0"/>
            </w:pPr>
          </w:p>
          <w:p w:rsidR="00156AE9" w:rsidRPr="00EB56AC" w:rsidRDefault="00156AE9" w:rsidP="00903796">
            <w:pPr>
              <w:spacing w:after="0"/>
              <w:cnfStyle w:val="000000000000" w:firstRow="0" w:lastRow="0" w:firstColumn="0" w:lastColumn="0" w:oddVBand="0" w:evenVBand="0" w:oddHBand="0" w:evenHBand="0" w:firstRowFirstColumn="0" w:firstRowLastColumn="0" w:lastRowFirstColumn="0" w:lastRowLastColumn="0"/>
            </w:pPr>
            <w:r w:rsidRPr="00903796">
              <w:rPr>
                <w:b/>
              </w:rPr>
              <w:t xml:space="preserve">Dodavatel navrhuje, aby „syndikovaný“ </w:t>
            </w:r>
            <w:r w:rsidR="00DC7EE7" w:rsidRPr="00903796">
              <w:rPr>
                <w:b/>
              </w:rPr>
              <w:t xml:space="preserve">zvýhodněný </w:t>
            </w:r>
            <w:r w:rsidRPr="00903796">
              <w:rPr>
                <w:b/>
              </w:rPr>
              <w:t>úvěr byl poskytován skrze spolufinancující subjekty (typicky komerční banky), které spolupracují se správcem finančního nástroje</w:t>
            </w:r>
            <w:r w:rsidR="003F605D">
              <w:rPr>
                <w:b/>
              </w:rPr>
              <w:t xml:space="preserve"> </w:t>
            </w:r>
            <w:r w:rsidR="003F605D" w:rsidRPr="003F605D">
              <w:t>(dále též Fond)</w:t>
            </w:r>
            <w:r>
              <w:t xml:space="preserve"> na základě rámcového ujednání o zapojení do poskytování podpory IROP, po prokázání splnění základních kritérií stanovených správcem nástroje.</w:t>
            </w:r>
            <w:r w:rsidR="00903796">
              <w:t xml:space="preserve"> </w:t>
            </w:r>
          </w:p>
        </w:tc>
      </w:tr>
      <w:tr w:rsidR="00214FB0" w:rsidTr="00156AE9">
        <w:tc>
          <w:tcPr>
            <w:cnfStyle w:val="001000000000" w:firstRow="0" w:lastRow="0" w:firstColumn="1" w:lastColumn="0" w:oddVBand="0" w:evenVBand="0" w:oddHBand="0" w:evenHBand="0" w:firstRowFirstColumn="0" w:firstRowLastColumn="0" w:lastRowFirstColumn="0" w:lastRowLastColumn="0"/>
            <w:tcW w:w="1729" w:type="dxa"/>
          </w:tcPr>
          <w:p w:rsidR="00214FB0" w:rsidRPr="0087054E" w:rsidRDefault="00214FB0" w:rsidP="003606C3">
            <w:pPr>
              <w:spacing w:after="0"/>
              <w:jc w:val="left"/>
            </w:pPr>
            <w:r>
              <w:t>Veřejná podpora</w:t>
            </w:r>
          </w:p>
        </w:tc>
        <w:tc>
          <w:tcPr>
            <w:tcW w:w="7371" w:type="dxa"/>
          </w:tcPr>
          <w:p w:rsidR="00214FB0" w:rsidRDefault="00214FB0" w:rsidP="00214FB0">
            <w:pPr>
              <w:spacing w:after="0"/>
              <w:cnfStyle w:val="000000000000" w:firstRow="0" w:lastRow="0" w:firstColumn="0" w:lastColumn="0" w:oddVBand="0" w:evenVBand="0" w:oddHBand="0" w:evenHBand="0" w:firstRowFirstColumn="0" w:firstRowLastColumn="0" w:lastRowFirstColumn="0" w:lastRowLastColumn="0"/>
            </w:pPr>
            <w:r>
              <w:t>Dle předaných podkladů od Zadavatele a dle navazující diskuze v rámci osobního jednání byl potvrzen záměr využití čl. 38 a 39 GBER, kdy:</w:t>
            </w:r>
          </w:p>
          <w:p w:rsidR="00F61B77" w:rsidRPr="00F61B77" w:rsidRDefault="00214FB0" w:rsidP="00F61B77">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rsidRPr="00214FB0">
              <w:t>Dle čl. 38 GBER intenzita podpory nesmí přesáhnout 30 % způsobilých nákladů</w:t>
            </w:r>
            <w:r>
              <w:t xml:space="preserve">, je možné dosáhnout bonusu +10%, resp. +20% pro MSP, dále pak bonusu 15% v případě směřování do </w:t>
            </w:r>
            <w:r>
              <w:rPr>
                <w:szCs w:val="19"/>
              </w:rPr>
              <w:t>zvlášť podporovaných oblastí</w:t>
            </w:r>
            <w:r w:rsidR="008E587B">
              <w:rPr>
                <w:szCs w:val="19"/>
              </w:rPr>
              <w:t>;</w:t>
            </w:r>
            <w:r w:rsidR="005F76EA">
              <w:rPr>
                <w:rStyle w:val="Znakapoznpodarou"/>
                <w:szCs w:val="19"/>
              </w:rPr>
              <w:footnoteReference w:id="13"/>
            </w:r>
          </w:p>
          <w:p w:rsidR="00214FB0" w:rsidRPr="008E587B" w:rsidRDefault="009339C2" w:rsidP="00F61B77">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 xml:space="preserve">Dle čl. 39 GBER </w:t>
            </w:r>
            <w:r w:rsidR="00172F31">
              <w:t>p</w:t>
            </w:r>
            <w:r w:rsidR="00172F31" w:rsidRPr="00172F31">
              <w:t>odpora musí aktivovat dodatečné investice od soukromých investorů, jejichž výše musí dosahovat alespoň 30 % z celkových finančních prostředků poskytnutých na daný projekt</w:t>
            </w:r>
            <w:r>
              <w:t xml:space="preserve">, </w:t>
            </w:r>
            <w:r w:rsidRPr="00F61B77">
              <w:rPr>
                <w:szCs w:val="19"/>
              </w:rPr>
              <w:t>nominální hodnota půjčky nesmí na úrovni konečných příjemců přesáhnout 10 milionů EUR na projekt, v případě asymetrického sdílení ztrát musí být první ztráta omezena na nejvýše 25 % celkové investice</w:t>
            </w:r>
            <w:r w:rsidR="008E587B" w:rsidRPr="00F61B77">
              <w:rPr>
                <w:szCs w:val="19"/>
              </w:rPr>
              <w:t>.</w:t>
            </w:r>
          </w:p>
          <w:p w:rsidR="008E587B" w:rsidRDefault="008E587B" w:rsidP="008E587B">
            <w:pPr>
              <w:spacing w:after="0"/>
              <w:cnfStyle w:val="000000000000" w:firstRow="0" w:lastRow="0" w:firstColumn="0" w:lastColumn="0" w:oddVBand="0" w:evenVBand="0" w:oddHBand="0" w:evenHBand="0" w:firstRowFirstColumn="0" w:firstRowLastColumn="0" w:lastRowFirstColumn="0" w:lastRowLastColumn="0"/>
            </w:pPr>
          </w:p>
          <w:p w:rsidR="006D427D" w:rsidRPr="00FD10BA" w:rsidRDefault="00BD27B9" w:rsidP="00F61B77">
            <w:pPr>
              <w:spacing w:after="0"/>
              <w:cnfStyle w:val="000000000000" w:firstRow="0" w:lastRow="0" w:firstColumn="0" w:lastColumn="0" w:oddVBand="0" w:evenVBand="0" w:oddHBand="0" w:evenHBand="0" w:firstRowFirstColumn="0" w:firstRowLastColumn="0" w:lastRowFirstColumn="0" w:lastRowLastColumn="0"/>
            </w:pPr>
            <w:r>
              <w:t xml:space="preserve">Článek 38 GBER není nastaven pro využití finančních nástrojů, proto navrhujeme </w:t>
            </w:r>
            <w:r w:rsidR="003152C7">
              <w:t>přiklonit se k využití čl. 39 G</w:t>
            </w:r>
            <w:r>
              <w:t>B</w:t>
            </w:r>
            <w:r w:rsidR="003152C7">
              <w:t>E</w:t>
            </w:r>
            <w:r>
              <w:t>R.</w:t>
            </w:r>
            <w:r w:rsidR="00F61B77">
              <w:t xml:space="preserve"> V případě využití čl. 39 je nutné dodržet především podmínku minimálně 30% účasti soukromých investorů, v případě využití čl. 38 </w:t>
            </w:r>
            <w:r w:rsidR="00F61B77">
              <w:rPr>
                <w:b/>
              </w:rPr>
              <w:t>j</w:t>
            </w:r>
            <w:r w:rsidR="00C05492" w:rsidRPr="00FD10BA">
              <w:rPr>
                <w:b/>
              </w:rPr>
              <w:t xml:space="preserve">e zásadní zmínit, že omezení </w:t>
            </w:r>
            <w:r w:rsidR="00C97CAA">
              <w:rPr>
                <w:b/>
              </w:rPr>
              <w:t xml:space="preserve">intenzity </w:t>
            </w:r>
            <w:r w:rsidR="00C05492" w:rsidRPr="00FD10BA">
              <w:rPr>
                <w:b/>
              </w:rPr>
              <w:t>podpory je poplatné pro reálně poskytnutou výhodu veřejnou intervencí, která je vyjádřena jako hrubý grantový ekvivalent</w:t>
            </w:r>
            <w:r w:rsidR="00C05492">
              <w:t xml:space="preserve"> (dále také HGE). Výpočet HGE je </w:t>
            </w:r>
            <w:r w:rsidR="00FD10BA">
              <w:t>determinován</w:t>
            </w:r>
            <w:r w:rsidR="00C05492">
              <w:t xml:space="preserve"> rozdílem mezi tržní úrokovou sazbou a </w:t>
            </w:r>
            <w:r w:rsidR="00FD10BA">
              <w:t>sazbou zvýhodněného úvěru, ve v</w:t>
            </w:r>
            <w:r w:rsidR="00C05492">
              <w:t>a</w:t>
            </w:r>
            <w:r w:rsidR="00FD10BA">
              <w:t>z</w:t>
            </w:r>
            <w:r w:rsidR="00C05492">
              <w:t xml:space="preserve">bě na objem investice. Dodavatel provedl modelové propočty pro typický projekt sledované oblasti IROP – výsledky jsou prezentovány </w:t>
            </w:r>
            <w:r w:rsidR="00531F9A">
              <w:t>v kapitole 5.4.5</w:t>
            </w:r>
            <w:r w:rsidR="00C05492">
              <w:t>.</w:t>
            </w:r>
            <w:r w:rsidR="00FD10BA">
              <w:t xml:space="preserve"> Lze konstatovat, že s ohledem na výsledky </w:t>
            </w:r>
            <w:r w:rsidR="00654536">
              <w:t xml:space="preserve">modelování </w:t>
            </w:r>
            <w:r w:rsidR="00FD10BA">
              <w:t xml:space="preserve">je možné zařadit podporu za využití režimu </w:t>
            </w:r>
            <w:r w:rsidR="00FD10BA">
              <w:rPr>
                <w:i/>
              </w:rPr>
              <w:t>de minimis</w:t>
            </w:r>
            <w:r w:rsidR="00FD10BA">
              <w:t>.</w:t>
            </w:r>
            <w:r w:rsidR="00FD10BA">
              <w:rPr>
                <w:rStyle w:val="Znakapoznpodarou"/>
              </w:rPr>
              <w:footnoteReference w:id="14"/>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Default="003606C3" w:rsidP="003606C3">
            <w:pPr>
              <w:spacing w:after="0"/>
              <w:jc w:val="left"/>
            </w:pPr>
            <w:r w:rsidRPr="0087054E">
              <w:t>Výše podpory</w:t>
            </w:r>
          </w:p>
        </w:tc>
        <w:tc>
          <w:tcPr>
            <w:tcW w:w="7371" w:type="dxa"/>
          </w:tcPr>
          <w:p w:rsidR="00E514FE" w:rsidRDefault="00E514FE" w:rsidP="003606C3">
            <w:pPr>
              <w:spacing w:after="0"/>
              <w:cnfStyle w:val="000000000000" w:firstRow="0" w:lastRow="0" w:firstColumn="0" w:lastColumn="0" w:oddVBand="0" w:evenVBand="0" w:oddHBand="0" w:evenHBand="0" w:firstRowFirstColumn="0" w:firstRowLastColumn="0" w:lastRowFirstColumn="0" w:lastRowLastColumn="0"/>
            </w:pPr>
            <w:r>
              <w:t xml:space="preserve">Prakticky může </w:t>
            </w:r>
            <w:r w:rsidR="003F605D">
              <w:t>Fond</w:t>
            </w:r>
            <w:r>
              <w:t xml:space="preserve"> financovat ze zdrojů IROP až 100% investice zvýhodněným úvěrem (příp. i s dotační složkou) a stále jsou dodrženy pravidla veřejné podpory. </w:t>
            </w:r>
            <w:r w:rsidRPr="00E90B45">
              <w:rPr>
                <w:b/>
              </w:rPr>
              <w:t>S ohledem na prioritu zapojení co nejvyššího pákového efektu a s povinností předejít možnému efektu vytěsnění doporučuje dodavatel cílení podílu IROP zdrojů v menším než 50% poměru způsobilých výdajů</w:t>
            </w:r>
            <w:r>
              <w:t xml:space="preserve"> s tím, že zbylá část investice je pokryta buď zdroji spolufinancujících subjektů, nebo vlastními zdroji žadatele.</w:t>
            </w:r>
          </w:p>
          <w:p w:rsidR="00E514FE" w:rsidRDefault="00E514FE" w:rsidP="003606C3">
            <w:pPr>
              <w:spacing w:after="0"/>
              <w:cnfStyle w:val="000000000000" w:firstRow="0" w:lastRow="0" w:firstColumn="0" w:lastColumn="0" w:oddVBand="0" w:evenVBand="0" w:oddHBand="0" w:evenHBand="0" w:firstRowFirstColumn="0" w:firstRowLastColumn="0" w:lastRowFirstColumn="0" w:lastRowLastColumn="0"/>
            </w:pPr>
          </w:p>
          <w:p w:rsidR="002D4142" w:rsidRPr="000252FB" w:rsidRDefault="003F605D" w:rsidP="003606C3">
            <w:pPr>
              <w:spacing w:after="0"/>
              <w:cnfStyle w:val="000000000000" w:firstRow="0" w:lastRow="0" w:firstColumn="0" w:lastColumn="0" w:oddVBand="0" w:evenVBand="0" w:oddHBand="0" w:evenHBand="0" w:firstRowFirstColumn="0" w:firstRowLastColumn="0" w:lastRowFirstColumn="0" w:lastRowLastColumn="0"/>
              <w:rPr>
                <w:b/>
              </w:rPr>
            </w:pPr>
            <w:r>
              <w:t xml:space="preserve">Podíl účasti zdrojů Fondu na investici by měla být zvolena tak, aby došlo k </w:t>
            </w:r>
            <w:r w:rsidR="002D4142">
              <w:t xml:space="preserve">dosažení takové cílové úrokové míry pro konečného příjemce, která bude motivační pro realizaci sledovaných záměrů. </w:t>
            </w:r>
            <w:r w:rsidR="002D4142" w:rsidRPr="009B3AA4">
              <w:rPr>
                <w:b/>
              </w:rPr>
              <w:t xml:space="preserve">S ohledem na aktuální tržní situaci a s ohledem na dosavadní zkušenosti s fungováním finančních nástrojů JESSICA a národního programu PANEL navrhujeme, aby byl stanoven maximální limit 1,5 % této </w:t>
            </w:r>
            <w:r w:rsidRPr="009B3AA4">
              <w:rPr>
                <w:b/>
              </w:rPr>
              <w:t xml:space="preserve">cílové </w:t>
            </w:r>
            <w:r w:rsidR="002D4142" w:rsidRPr="009B3AA4">
              <w:rPr>
                <w:b/>
              </w:rPr>
              <w:t>sazby</w:t>
            </w:r>
            <w:r w:rsidR="002D4142">
              <w:t xml:space="preserve">, která může být dosažena </w:t>
            </w:r>
            <w:r w:rsidR="009D63F9">
              <w:t>variabilním</w:t>
            </w:r>
            <w:r w:rsidR="002D4142">
              <w:t xml:space="preserve"> uspořádáním podílu zapojených zdrojů</w:t>
            </w:r>
            <w:r>
              <w:t xml:space="preserve"> Fondu</w:t>
            </w:r>
            <w:r w:rsidR="002D4142">
              <w:t xml:space="preserve"> IROP, zdrojů spolufinancujících subjektů a žadatele.</w:t>
            </w:r>
            <w:r w:rsidR="00975832">
              <w:t xml:space="preserve"> </w:t>
            </w:r>
            <w:r w:rsidR="00975832">
              <w:rPr>
                <w:b/>
              </w:rPr>
              <w:t xml:space="preserve">Navržený limit 1,5% p.a. je možné revidovat v reflexi tržního vývoje tak, aby bylo vždy dodrženo pravidlo, že zvýhodněná sazba umožňuje efektivní snížení průměrné tržní sazby o </w:t>
            </w:r>
            <w:r w:rsidR="00975832">
              <w:rPr>
                <w:b/>
              </w:rPr>
              <w:br/>
              <w:t>1,0 – 1,5 procentního bodu.</w:t>
            </w:r>
            <w:r w:rsidR="00FF5205">
              <w:rPr>
                <w:rStyle w:val="Znakapoznpodarou"/>
                <w:b/>
              </w:rPr>
              <w:footnoteReference w:id="15"/>
            </w:r>
          </w:p>
          <w:p w:rsidR="002D4142" w:rsidRDefault="002D4142" w:rsidP="003606C3">
            <w:pPr>
              <w:spacing w:after="0"/>
              <w:cnfStyle w:val="000000000000" w:firstRow="0" w:lastRow="0" w:firstColumn="0" w:lastColumn="0" w:oddVBand="0" w:evenVBand="0" w:oddHBand="0" w:evenHBand="0" w:firstRowFirstColumn="0" w:firstRowLastColumn="0" w:lastRowFirstColumn="0" w:lastRowLastColumn="0"/>
            </w:pPr>
          </w:p>
          <w:p w:rsidR="002D4142" w:rsidRDefault="009D63F9" w:rsidP="003606C3">
            <w:pPr>
              <w:spacing w:after="0"/>
              <w:cnfStyle w:val="000000000000" w:firstRow="0" w:lastRow="0" w:firstColumn="0" w:lastColumn="0" w:oddVBand="0" w:evenVBand="0" w:oddHBand="0" w:evenHBand="0" w:firstRowFirstColumn="0" w:firstRowLastColumn="0" w:lastRowFirstColumn="0" w:lastRowLastColumn="0"/>
            </w:pPr>
            <w:r>
              <w:t>Pro vyjasnění návrhu dodavatele byla provedena detailní specifikace modelového příkladu, která je uvedena pod schématem fungování nástroje – viz kapitola 5.</w:t>
            </w:r>
            <w:r w:rsidR="0001667F">
              <w:t>2.6</w:t>
            </w:r>
            <w:r>
              <w:t xml:space="preserve"> této zprávy</w:t>
            </w:r>
            <w:r w:rsidR="009B3AA4">
              <w:t xml:space="preserve"> a byla provedena modelace v rámci přílohy č.2 této zprávy</w:t>
            </w:r>
            <w:r>
              <w:t xml:space="preserve">. Správce </w:t>
            </w:r>
            <w:r w:rsidR="003F605D">
              <w:t>Fondu</w:t>
            </w:r>
            <w:r>
              <w:t xml:space="preserve"> IROP vynakládá 50% financování investice s úrokovou sazbou 0,5%, spolufinancující subjekt financuje zbylých 50% způsobilých výdajů za tržní ohodnocení ve výši 2,</w:t>
            </w:r>
            <w:r w:rsidR="004B3003">
              <w:t>5</w:t>
            </w:r>
            <w:r>
              <w:t xml:space="preserve"> %, žadatel </w:t>
            </w:r>
            <w:r w:rsidR="004B3003">
              <w:t>je příjemce</w:t>
            </w:r>
            <w:r w:rsidR="003F605D">
              <w:t>m</w:t>
            </w:r>
            <w:r w:rsidR="004B3003">
              <w:t xml:space="preserve"> úvěru na 100% způsobilé části investice s úrokovou mírou 1,5% a využívá</w:t>
            </w:r>
            <w:r>
              <w:t xml:space="preserve"> vlastních zdrojů </w:t>
            </w:r>
            <w:r w:rsidR="004B3003">
              <w:t xml:space="preserve">na </w:t>
            </w:r>
            <w:r>
              <w:t>financ</w:t>
            </w:r>
            <w:r w:rsidR="004B3003">
              <w:t>ování nezpůsobilých</w:t>
            </w:r>
            <w:r>
              <w:t xml:space="preserve"> investiční</w:t>
            </w:r>
            <w:r w:rsidR="004B3003">
              <w:t>ch</w:t>
            </w:r>
            <w:r>
              <w:t xml:space="preserve"> výdaj</w:t>
            </w:r>
            <w:r w:rsidR="004B3003">
              <w:t>ů</w:t>
            </w:r>
            <w:r>
              <w:t>.</w:t>
            </w:r>
            <w:r w:rsidR="003546C6">
              <w:rPr>
                <w:rStyle w:val="Znakapoznpodarou"/>
              </w:rPr>
              <w:footnoteReference w:id="16"/>
            </w:r>
          </w:p>
          <w:p w:rsidR="002D4142" w:rsidRDefault="002D4142" w:rsidP="003606C3">
            <w:pPr>
              <w:spacing w:after="0"/>
              <w:cnfStyle w:val="000000000000" w:firstRow="0" w:lastRow="0" w:firstColumn="0" w:lastColumn="0" w:oddVBand="0" w:evenVBand="0" w:oddHBand="0" w:evenHBand="0" w:firstRowFirstColumn="0" w:firstRowLastColumn="0" w:lastRowFirstColumn="0" w:lastRowLastColumn="0"/>
            </w:pPr>
          </w:p>
          <w:p w:rsidR="003606C3" w:rsidRPr="001B3F1E" w:rsidRDefault="00E3005F" w:rsidP="006169C4">
            <w:pPr>
              <w:spacing w:after="0"/>
              <w:cnfStyle w:val="000000000000" w:firstRow="0" w:lastRow="0" w:firstColumn="0" w:lastColumn="0" w:oddVBand="0" w:evenVBand="0" w:oddHBand="0" w:evenHBand="0" w:firstRowFirstColumn="0" w:firstRowLastColumn="0" w:lastRowFirstColumn="0" w:lastRowLastColumn="0"/>
            </w:pPr>
            <w:r>
              <w:t xml:space="preserve">Procesní propojení </w:t>
            </w:r>
            <w:r w:rsidR="00DA33C0">
              <w:t xml:space="preserve">případného </w:t>
            </w:r>
            <w:r>
              <w:t xml:space="preserve">poskytování </w:t>
            </w:r>
            <w:r w:rsidR="001B3F1E">
              <w:t xml:space="preserve">dotace jako podřízené součásti finančního nástroje </w:t>
            </w:r>
            <w:r>
              <w:t xml:space="preserve">je nutné vyjasnit na základě materiálu zveřejněného EK tzv. </w:t>
            </w:r>
            <w:r>
              <w:rPr>
                <w:i/>
              </w:rPr>
              <w:t>guidance note</w:t>
            </w:r>
            <w:r>
              <w:t xml:space="preserve">, který </w:t>
            </w:r>
            <w:r w:rsidR="000B002F">
              <w:t xml:space="preserve">bude specifikovat omezení. Z neformální odpovědi je zřejmé, že poskytování IFN a dotace musí být sledováno jako dvě oddělené operace a musí se odděleně administrovat. </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Pr="0087054E" w:rsidRDefault="003606C3" w:rsidP="003606C3">
            <w:pPr>
              <w:spacing w:after="0"/>
              <w:jc w:val="left"/>
            </w:pPr>
            <w:r>
              <w:t>Parametry podpory</w:t>
            </w:r>
          </w:p>
        </w:tc>
        <w:tc>
          <w:tcPr>
            <w:tcW w:w="7371" w:type="dxa"/>
          </w:tcPr>
          <w:p w:rsidR="003606C3" w:rsidRDefault="003606C3" w:rsidP="003606C3">
            <w:pPr>
              <w:spacing w:after="0"/>
              <w:cnfStyle w:val="000000000000" w:firstRow="0" w:lastRow="0" w:firstColumn="0" w:lastColumn="0" w:oddVBand="0" w:evenVBand="0" w:oddHBand="0" w:evenHBand="0" w:firstRowFirstColumn="0" w:firstRowLastColumn="0" w:lastRowFirstColumn="0" w:lastRowLastColumn="0"/>
            </w:pPr>
            <w:r>
              <w:t xml:space="preserve">Splácení úvěru je zabezpečeno generovanými </w:t>
            </w:r>
            <w:r w:rsidR="00156AE9">
              <w:t>energetickými</w:t>
            </w:r>
            <w:r>
              <w:t xml:space="preserve"> úsporami projektu. Poskytovaný zvýhodněný úvěr má následující parametry:</w:t>
            </w:r>
          </w:p>
          <w:p w:rsidR="003606C3" w:rsidRDefault="003606C3"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 xml:space="preserve">Krytí způsobilých výdajů až 100% </w:t>
            </w:r>
            <w:r w:rsidR="00156AE9">
              <w:t xml:space="preserve">způsobilé části </w:t>
            </w:r>
            <w:r>
              <w:t xml:space="preserve">investice, </w:t>
            </w:r>
            <w:r w:rsidR="00156AE9">
              <w:t>v kombinaci zdrojů</w:t>
            </w:r>
            <w:r w:rsidR="003F605D">
              <w:t xml:space="preserve"> Fondu </w:t>
            </w:r>
            <w:r w:rsidR="00156AE9">
              <w:t>IROP a spolufinancujících subjektů;</w:t>
            </w:r>
          </w:p>
          <w:p w:rsidR="009C2333" w:rsidRDefault="009C2333"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 xml:space="preserve">Dotační podpora na technickou přípravu projektů do výše </w:t>
            </w:r>
            <w:r w:rsidR="00712261">
              <w:t>5</w:t>
            </w:r>
            <w:r>
              <w:t>% investičních nákladů projektu;</w:t>
            </w:r>
          </w:p>
          <w:p w:rsidR="003A4319" w:rsidRDefault="003A4319"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Správa úvěru na jednom „clearingovém“ místě (žadatelem vybraný spolufinancující subjekt</w:t>
            </w:r>
            <w:r w:rsidR="00541695">
              <w:t>, resp. subjekty</w:t>
            </w:r>
            <w:r>
              <w:t>), které dělí splátky dle dohody o financování mezi zdroje Fondu a spolufinancujícího subjektu;</w:t>
            </w:r>
          </w:p>
          <w:p w:rsidR="003606C3" w:rsidRDefault="003606C3"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Dé</w:t>
            </w:r>
            <w:r w:rsidR="00156AE9">
              <w:t xml:space="preserve">lka splatnosti úvěru do </w:t>
            </w:r>
            <w:r w:rsidR="003F605D">
              <w:t xml:space="preserve">maximální výše </w:t>
            </w:r>
            <w:r w:rsidR="004930A8">
              <w:t>20</w:t>
            </w:r>
            <w:r w:rsidR="00156AE9">
              <w:t xml:space="preserve"> let;</w:t>
            </w:r>
            <w:r w:rsidR="003F605D">
              <w:rPr>
                <w:rStyle w:val="Znakapoznpodarou"/>
              </w:rPr>
              <w:footnoteReference w:id="17"/>
            </w:r>
          </w:p>
          <w:p w:rsidR="003606C3" w:rsidRDefault="003606C3"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Úrok dle „smíš</w:t>
            </w:r>
            <w:r w:rsidR="003A4319">
              <w:t>ení“ požadované sazby F</w:t>
            </w:r>
            <w:r>
              <w:t>ondu a spolufinancujícího subjektu,</w:t>
            </w:r>
            <w:r w:rsidR="00156AE9">
              <w:t xml:space="preserve"> limit na maximální výši konečné sazby pro příjemce ve výši 1,5 % p.a.;</w:t>
            </w:r>
          </w:p>
          <w:p w:rsidR="003606C3" w:rsidRDefault="003606C3"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Jistina splatná spolu s úrokem měsíčně,</w:t>
            </w:r>
            <w:r w:rsidR="003A4319">
              <w:t xml:space="preserve"> dělení </w:t>
            </w:r>
            <w:r w:rsidR="00445473">
              <w:t>přijatých</w:t>
            </w:r>
            <w:r w:rsidR="003A4319">
              <w:t xml:space="preserve"> prostředků mezi Fond a spolufinancující subjekt provádí banka;</w:t>
            </w:r>
          </w:p>
          <w:p w:rsidR="003606C3" w:rsidRDefault="003606C3"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 xml:space="preserve">Účelový úvěr lze použít </w:t>
            </w:r>
            <w:r w:rsidR="003A4319">
              <w:t>jen na krytí způsobilých výdajů;</w:t>
            </w:r>
          </w:p>
          <w:p w:rsidR="003606C3" w:rsidRDefault="003606C3"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Volba zajištění dohodou podle místních podmínek</w:t>
            </w:r>
            <w:r w:rsidR="003A4319">
              <w:t>.</w:t>
            </w:r>
          </w:p>
        </w:tc>
      </w:tr>
      <w:tr w:rsidR="00353CF9" w:rsidTr="00156AE9">
        <w:tc>
          <w:tcPr>
            <w:cnfStyle w:val="001000000000" w:firstRow="0" w:lastRow="0" w:firstColumn="1" w:lastColumn="0" w:oddVBand="0" w:evenVBand="0" w:oddHBand="0" w:evenHBand="0" w:firstRowFirstColumn="0" w:firstRowLastColumn="0" w:lastRowFirstColumn="0" w:lastRowLastColumn="0"/>
            <w:tcW w:w="1729" w:type="dxa"/>
          </w:tcPr>
          <w:p w:rsidR="00353CF9" w:rsidRDefault="00353CF9" w:rsidP="003606C3">
            <w:pPr>
              <w:spacing w:after="0"/>
              <w:jc w:val="left"/>
            </w:pPr>
            <w:r w:rsidRPr="0087054E">
              <w:t>Implementační struktura</w:t>
            </w:r>
            <w:r w:rsidR="00445473">
              <w:t xml:space="preserve"> a procesní postup</w:t>
            </w:r>
          </w:p>
        </w:tc>
        <w:tc>
          <w:tcPr>
            <w:tcW w:w="7371" w:type="dxa"/>
          </w:tcPr>
          <w:p w:rsidR="00903796" w:rsidRDefault="00903796" w:rsidP="00B94660">
            <w:pPr>
              <w:spacing w:after="0"/>
              <w:cnfStyle w:val="000000000000" w:firstRow="0" w:lastRow="0" w:firstColumn="0" w:lastColumn="0" w:oddVBand="0" w:evenVBand="0" w:oddHBand="0" w:evenHBand="0" w:firstRowFirstColumn="0" w:firstRowLastColumn="0" w:lastRowFirstColumn="0" w:lastRowLastColumn="0"/>
            </w:pPr>
            <w:r w:rsidRPr="009D0FA7">
              <w:t>Spolufinancují</w:t>
            </w:r>
            <w:r w:rsidR="009D0FA7">
              <w:t xml:space="preserve">cí subjekty poskytují po celé ČR </w:t>
            </w:r>
            <w:r w:rsidRPr="009D0FA7">
              <w:t>vyjma hl. města Prahy možnost sjednání</w:t>
            </w:r>
            <w:r w:rsidR="009D0FA7">
              <w:t xml:space="preserve"> zvýhodněného </w:t>
            </w:r>
            <w:r w:rsidRPr="009D0FA7">
              <w:t xml:space="preserve">úvěru na vlastní pobočce, zabezpečí vstupní rating žadatele a jeho projektu, navrhuje </w:t>
            </w:r>
            <w:r w:rsidR="009D0FA7">
              <w:t>rozdělení podílu na financování a vlastní úrokovou míru Fondu. Správce fondu zhodnotí nabízený podíl kofinancování, provede kontrolu způsobilosti výdajů projektu, posoudí plnění pravidel pro veřejnou podporu a vypočte HGE, zhodnotí nárok projektu na případný dotační bonus. V případě, že všechny aspekty vyhovují, svolí spolufinancujícímu subjektu uzavřít smluvní vztah s příjemcem a následně po doručení sjednané úvěrové smlouvy uvolní na účet spolufinancujícího subjektu příslušnou tranši prostředků dle dohodnutého podílu spolufinancování projektu. Příjemce je povinen splácet úrok i jistinu zvolené finanční instituci, která provádí „clearingové operace“ – dělení příjmů od žadatele mezi sebe a Fond.</w:t>
            </w:r>
          </w:p>
          <w:p w:rsidR="00903796" w:rsidRDefault="00903796" w:rsidP="00B94660">
            <w:pPr>
              <w:spacing w:after="0"/>
              <w:cnfStyle w:val="000000000000" w:firstRow="0" w:lastRow="0" w:firstColumn="0" w:lastColumn="0" w:oddVBand="0" w:evenVBand="0" w:oddHBand="0" w:evenHBand="0" w:firstRowFirstColumn="0" w:firstRowLastColumn="0" w:lastRowFirstColumn="0" w:lastRowLastColumn="0"/>
            </w:pPr>
          </w:p>
          <w:p w:rsidR="00353CF9" w:rsidRPr="00EB56AC" w:rsidRDefault="009D0FA7" w:rsidP="00353CF9">
            <w:pPr>
              <w:spacing w:after="0"/>
              <w:cnfStyle w:val="000000000000" w:firstRow="0" w:lastRow="0" w:firstColumn="0" w:lastColumn="0" w:oddVBand="0" w:evenVBand="0" w:oddHBand="0" w:evenHBand="0" w:firstRowFirstColumn="0" w:firstRowLastColumn="0" w:lastRowFirstColumn="0" w:lastRowLastColumn="0"/>
            </w:pPr>
            <w:r>
              <w:t>Spolufinancujících subjektů může být neomezené množství do té míry, kdy si zažádají o spoluúčast na celém schématu a prokáží plnění stanovených minimálních podmínek pro spolupráci. Za roli spolufinancujícího subjektu nenáleží paušální odměna (management fee)</w:t>
            </w:r>
            <w:r w:rsidR="00541695">
              <w:t xml:space="preserve"> – předmětem přezkumu dle dostupnosti volných zdrojů do výše limitu 8% za programovou alokaci</w:t>
            </w:r>
            <w:r>
              <w:t xml:space="preserve">. Na portfolio projektů je bance sjednán režim krytí prvních ztrát </w:t>
            </w:r>
            <w:r>
              <w:rPr>
                <w:i/>
              </w:rPr>
              <w:t>first piece loss</w:t>
            </w:r>
            <w:r w:rsidR="00172F31">
              <w:rPr>
                <w:i/>
              </w:rPr>
              <w:t xml:space="preserve"> </w:t>
            </w:r>
            <w:r w:rsidR="00172F31" w:rsidRPr="00172F31">
              <w:t>(max však do výše 25% dle Čl. 39 GBER)</w:t>
            </w:r>
            <w:r w:rsidRPr="00172F31">
              <w:t>.</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Default="003606C3" w:rsidP="003606C3">
            <w:pPr>
              <w:spacing w:after="0"/>
              <w:jc w:val="left"/>
            </w:pPr>
            <w:r w:rsidRPr="0087054E">
              <w:t>Koneční příjemci</w:t>
            </w:r>
          </w:p>
        </w:tc>
        <w:tc>
          <w:tcPr>
            <w:tcW w:w="7371" w:type="dxa"/>
          </w:tcPr>
          <w:p w:rsidR="003606C3" w:rsidRDefault="003606C3" w:rsidP="003606C3">
            <w:pPr>
              <w:spacing w:after="0"/>
              <w:cnfStyle w:val="000000000000" w:firstRow="0" w:lastRow="0" w:firstColumn="0" w:lastColumn="0" w:oddVBand="0" w:evenVBand="0" w:oddHBand="0" w:evenHBand="0" w:firstRowFirstColumn="0" w:firstRowLastColumn="0" w:lastRowFirstColumn="0" w:lastRowLastColumn="0"/>
            </w:pPr>
            <w:r>
              <w:t xml:space="preserve">Dle vymezení v programovém dokumentu </w:t>
            </w:r>
            <w:r w:rsidR="00F5709A">
              <w:t>IROP</w:t>
            </w:r>
            <w:r>
              <w:t>:</w:t>
            </w:r>
          </w:p>
          <w:p w:rsidR="00345046" w:rsidRDefault="00F12027"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rsidRPr="00F12027">
              <w:t>vlastníci bytových domů a společenství vlastníků bytových jednotek - budovy se čtyřmi a více byty</w:t>
            </w:r>
            <w:r w:rsidR="00345046">
              <w:t>;</w:t>
            </w:r>
          </w:p>
          <w:p w:rsidR="00345046" w:rsidRDefault="00345046"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p</w:t>
            </w:r>
            <w:r w:rsidRPr="00345046">
              <w:t>odpora nebude poskytována na území hl. m. Prahy</w:t>
            </w:r>
            <w:r>
              <w:t>.</w:t>
            </w:r>
          </w:p>
          <w:p w:rsidR="00F12027" w:rsidRDefault="00F12027" w:rsidP="00F12027">
            <w:pPr>
              <w:pStyle w:val="Odstavecseseznamem"/>
              <w:spacing w:after="0"/>
              <w:cnfStyle w:val="000000000000" w:firstRow="0" w:lastRow="0" w:firstColumn="0" w:lastColumn="0" w:oddVBand="0" w:evenVBand="0" w:oddHBand="0" w:evenHBand="0" w:firstRowFirstColumn="0" w:firstRowLastColumn="0" w:lastRowFirstColumn="0" w:lastRowLastColumn="0"/>
            </w:pPr>
          </w:p>
          <w:p w:rsidR="003606C3" w:rsidRPr="00EB56AC" w:rsidRDefault="003606C3" w:rsidP="006169C4">
            <w:pPr>
              <w:spacing w:after="0"/>
              <w:cnfStyle w:val="000000000000" w:firstRow="0" w:lastRow="0" w:firstColumn="0" w:lastColumn="0" w:oddVBand="0" w:evenVBand="0" w:oddHBand="0" w:evenHBand="0" w:firstRowFirstColumn="0" w:firstRowLastColumn="0" w:lastRowFirstColumn="0" w:lastRowLastColumn="0"/>
            </w:pPr>
            <w:r>
              <w:t xml:space="preserve">V případě malých a středních podniků může být vyšší míra podpory, v závislosti na zvoleném režimu veřejné podpory. </w:t>
            </w:r>
            <w:r w:rsidR="00445473" w:rsidRPr="00445473">
              <w:rPr>
                <w:b/>
              </w:rPr>
              <w:t>Projekty realizované v</w:t>
            </w:r>
            <w:r w:rsidR="006169C4">
              <w:rPr>
                <w:b/>
              </w:rPr>
              <w:t> zvláště sledovaných</w:t>
            </w:r>
            <w:r w:rsidR="00445473" w:rsidRPr="00445473">
              <w:rPr>
                <w:b/>
              </w:rPr>
              <w:t xml:space="preserve"> územích </w:t>
            </w:r>
            <w:r w:rsidR="006169C4">
              <w:rPr>
                <w:b/>
              </w:rPr>
              <w:t>b</w:t>
            </w:r>
            <w:r w:rsidR="00445473" w:rsidRPr="00445473">
              <w:rPr>
                <w:b/>
              </w:rPr>
              <w:t xml:space="preserve">udou </w:t>
            </w:r>
            <w:r w:rsidR="00445473">
              <w:rPr>
                <w:b/>
              </w:rPr>
              <w:t>podporovány</w:t>
            </w:r>
            <w:r w:rsidR="00445473" w:rsidRPr="00445473">
              <w:rPr>
                <w:b/>
              </w:rPr>
              <w:t xml:space="preserve"> formou přímou dotace</w:t>
            </w:r>
            <w:r w:rsidR="006169C4">
              <w:rPr>
                <w:b/>
              </w:rPr>
              <w:t xml:space="preserve"> nebo budou bonifikovány vyšším podílem dotační složky </w:t>
            </w:r>
            <w:r w:rsidR="006169C4">
              <w:t>– klíč k definování těchto zvláštních prioritizovaných  lokalit ŘO upřesňuje.</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Pr="0087054E" w:rsidRDefault="003606C3" w:rsidP="003606C3">
            <w:pPr>
              <w:spacing w:after="0"/>
              <w:jc w:val="left"/>
            </w:pPr>
            <w:r>
              <w:t>Motivační nástroje pro spolufinancující subjekt</w:t>
            </w:r>
          </w:p>
        </w:tc>
        <w:tc>
          <w:tcPr>
            <w:tcW w:w="7371" w:type="dxa"/>
          </w:tcPr>
          <w:p w:rsidR="00A97C73" w:rsidRDefault="00445473" w:rsidP="00B960C3">
            <w:pPr>
              <w:spacing w:after="0"/>
              <w:cnfStyle w:val="000000000000" w:firstRow="0" w:lastRow="0" w:firstColumn="0" w:lastColumn="0" w:oddVBand="0" w:evenVBand="0" w:oddHBand="0" w:evenHBand="0" w:firstRowFirstColumn="0" w:firstRowLastColumn="0" w:lastRowFirstColumn="0" w:lastRowLastColumn="0"/>
            </w:pPr>
            <w:r>
              <w:t>Návrh vyčlenění alokace přesahující 16 mld. Kč na využití finančních nástrojů a spojité zabezpečení informační kampaně ze strany ŘO IROP umožní vytvoření portfolia projektů, které budou usilovat o úvěry v situaci, kdy zástupci finančního sektoru opakovaně popisují, že mají k dispozici velký objem volných finančních prostředků</w:t>
            </w:r>
            <w:r w:rsidR="00A97C73">
              <w:t>,</w:t>
            </w:r>
            <w:r>
              <w:t xml:space="preserve"> které by rádi zhodnotili, chybí spíše zájem ze strany investorů. Za této situace je samotné vytvoření fondu a navržených struktur silnou pobídkou pro finanční domy, aby se na fungov</w:t>
            </w:r>
            <w:r w:rsidR="00A97C73">
              <w:t>ání budovaných struktur podílely</w:t>
            </w:r>
            <w:r>
              <w:t xml:space="preserve">. </w:t>
            </w:r>
            <w:r w:rsidR="00B960C3" w:rsidRPr="00AC76A0">
              <w:t xml:space="preserve">Dle dosavadních jednání se zainteresovanými skupinami na přípravě </w:t>
            </w:r>
            <w:r w:rsidR="00F5709A">
              <w:t>IROP</w:t>
            </w:r>
            <w:r w:rsidR="00B960C3" w:rsidRPr="00AC76A0">
              <w:t xml:space="preserve"> 2014-2020 byla</w:t>
            </w:r>
            <w:r w:rsidR="00A97C73">
              <w:t xml:space="preserve"> nicméně také</w:t>
            </w:r>
            <w:r w:rsidR="00B960C3" w:rsidRPr="00AC76A0">
              <w:t xml:space="preserve"> identifikována potřeba povzbuzení potenciálních spolufinancujících subjektů k zapojení se do budovaných struktur</w:t>
            </w:r>
            <w:r w:rsidR="00B960C3">
              <w:t xml:space="preserve">, </w:t>
            </w:r>
            <w:r w:rsidR="00A97C73">
              <w:t>neboť se jedná o nové formy podpory, poskytované státem</w:t>
            </w:r>
            <w:r w:rsidR="00C605BF">
              <w:t xml:space="preserve"> a větší porce úkolů spojených s investičním rozhodováním je delegována právě na tyto kofinancující subjekty</w:t>
            </w:r>
            <w:r w:rsidR="006E41F0">
              <w:t>.</w:t>
            </w:r>
            <w:r w:rsidR="006E41F0">
              <w:rPr>
                <w:rStyle w:val="Znakapoznpodarou"/>
              </w:rPr>
              <w:footnoteReference w:id="18"/>
            </w:r>
            <w:r w:rsidR="006E41F0">
              <w:t xml:space="preserve"> S ohledem na limity maximální výše podílu manažerských odměn na celkové alokaci budovaných nástrojů lze očekávat, že tyto prostředky budou vyčerpány v rámci řídících struktur (správce fondu fondů, správce fondu) – dodavatel předpokládá, že pro zapojené spolufinancující subjekty nebude tento druh fixní odměny využíván, nebude dostupný. Pokud by v rámci uvedených limitů byl prostor pro vyplácení podílu na fee i pro tyto subjekty (bude zřejmé po zasmluvnění odměn pro správce FF a Fondu IROP), je možné tento přístup uplatnit, jako další z motivačních nástrojů pro zapojení spolufinancujících subjektů</w:t>
            </w:r>
            <w:r w:rsidR="00B960C3" w:rsidRPr="00AC76A0">
              <w:t>.</w:t>
            </w:r>
            <w:r w:rsidR="006E41F0">
              <w:rPr>
                <w:rStyle w:val="Znakapoznpodarou"/>
              </w:rPr>
              <w:footnoteReference w:id="19"/>
            </w:r>
          </w:p>
          <w:p w:rsidR="00A97C73" w:rsidRDefault="00A97C73" w:rsidP="00B960C3">
            <w:pPr>
              <w:spacing w:after="0"/>
              <w:cnfStyle w:val="000000000000" w:firstRow="0" w:lastRow="0" w:firstColumn="0" w:lastColumn="0" w:oddVBand="0" w:evenVBand="0" w:oddHBand="0" w:evenHBand="0" w:firstRowFirstColumn="0" w:firstRowLastColumn="0" w:lastRowFirstColumn="0" w:lastRowLastColumn="0"/>
            </w:pPr>
          </w:p>
          <w:p w:rsidR="00C605BF" w:rsidRDefault="00C605BF" w:rsidP="00B960C3">
            <w:pPr>
              <w:spacing w:after="0"/>
              <w:cnfStyle w:val="000000000000" w:firstRow="0" w:lastRow="0" w:firstColumn="0" w:lastColumn="0" w:oddVBand="0" w:evenVBand="0" w:oddHBand="0" w:evenHBand="0" w:firstRowFirstColumn="0" w:firstRowLastColumn="0" w:lastRowFirstColumn="0" w:lastRowLastColumn="0"/>
            </w:pPr>
            <w:r>
              <w:t xml:space="preserve">Dodavatel navrhuje využití následujících nástrojů motivace zapojení </w:t>
            </w:r>
            <w:r w:rsidR="0020726F">
              <w:t>spolufinancujících</w:t>
            </w:r>
            <w:r>
              <w:t xml:space="preserve"> subjektů:</w:t>
            </w:r>
          </w:p>
          <w:p w:rsidR="00C605BF" w:rsidRDefault="0020726F"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Otevřená</w:t>
            </w:r>
            <w:r w:rsidR="00C605BF">
              <w:t xml:space="preserve"> možnost</w:t>
            </w:r>
            <w:r>
              <w:t xml:space="preserve"> výběru</w:t>
            </w:r>
            <w:r w:rsidR="00C605BF">
              <w:t xml:space="preserve"> nastavení míry kofinancování úvěrových případů, s ohledem na přístup banky k danému projektu (návrh podléhá schválení Fondem);</w:t>
            </w:r>
          </w:p>
          <w:p w:rsidR="00C605BF" w:rsidRDefault="00C605BF"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Nerovnoměrné dělení zisků v podobě úrokové míry –</w:t>
            </w:r>
            <w:r w:rsidR="0020726F">
              <w:t xml:space="preserve"> Fond</w:t>
            </w:r>
            <w:r>
              <w:t xml:space="preserve"> vždy požaduje pouze úrok 0,5% p.a., kofinancující subjekt volí vlastní sazbu s tím, že je limitován cílovou </w:t>
            </w:r>
            <w:r w:rsidR="0020726F">
              <w:t>smíšenou</w:t>
            </w:r>
            <w:r>
              <w:t xml:space="preserve"> sazbou ve výši max. 1,5%</w:t>
            </w:r>
            <w:r w:rsidR="0020726F">
              <w:t xml:space="preserve"> p.a.</w:t>
            </w:r>
            <w:r>
              <w:t>;</w:t>
            </w:r>
          </w:p>
          <w:p w:rsidR="003606C3" w:rsidRPr="0087054E" w:rsidRDefault="00C605BF"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Fond ručí</w:t>
            </w:r>
            <w:r w:rsidR="003606C3">
              <w:t xml:space="preserve"> za případné ztráty </w:t>
            </w:r>
            <w:r>
              <w:t>na portfoliu projektů spolufinancujícího subjektu až</w:t>
            </w:r>
            <w:r w:rsidR="003606C3">
              <w:t xml:space="preserve"> do výše sjednaného limitu </w:t>
            </w:r>
            <w:r w:rsidR="003606C3" w:rsidRPr="00B112BB">
              <w:rPr>
                <w:i/>
              </w:rPr>
              <w:t>first piece loss</w:t>
            </w:r>
            <w:r>
              <w:t xml:space="preserve"> – dodavatel navrhuje výši 10%.</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Default="003606C3" w:rsidP="003606C3">
            <w:pPr>
              <w:spacing w:after="0"/>
              <w:jc w:val="left"/>
            </w:pPr>
            <w:r w:rsidRPr="0087054E">
              <w:t>Očekávaná alokace</w:t>
            </w:r>
          </w:p>
        </w:tc>
        <w:tc>
          <w:tcPr>
            <w:tcW w:w="7371" w:type="dxa"/>
          </w:tcPr>
          <w:p w:rsidR="003606C3" w:rsidRPr="00EB56AC" w:rsidRDefault="00E9599D" w:rsidP="00D125CD">
            <w:pPr>
              <w:spacing w:after="0"/>
              <w:cnfStyle w:val="000000000000" w:firstRow="0" w:lastRow="0" w:firstColumn="0" w:lastColumn="0" w:oddVBand="0" w:evenVBand="0" w:oddHBand="0" w:evenHBand="0" w:firstRowFirstColumn="0" w:firstRowLastColumn="0" w:lastRowFirstColumn="0" w:lastRowLastColumn="0"/>
            </w:pPr>
            <w:r>
              <w:t>16,8 mld</w:t>
            </w:r>
            <w:r w:rsidRPr="00AC76A0">
              <w:t xml:space="preserve">. Kč </w:t>
            </w:r>
            <w:r>
              <w:t xml:space="preserve">(z evropských zdrojů, bez prostředků národního spolufinancování) minus zdroje, které budou vyčleněny na podporu projektů v prioritních lokalitách (pokud budou vyčleněny na podporu dotační formou). </w:t>
            </w:r>
            <w:r w:rsidR="00745FE4">
              <w:t>Dodavatel navrhuje vyčerpat celý objem alokace na poskytování zvýhodněných úvěrů s tím, že tyto zdroje budou revolvingově využívány na stejný účel i po skončení programového období. Marginální část alokace bude možné vyčerpat skrze poskytování dotačního bonusu (do 10% alokace), pokud bude zaveden</w:t>
            </w:r>
            <w:r w:rsidR="00A65E6F">
              <w:t>.</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Pr="0087054E" w:rsidRDefault="003606C3" w:rsidP="003606C3">
            <w:pPr>
              <w:spacing w:after="0"/>
              <w:jc w:val="left"/>
            </w:pPr>
            <w:r>
              <w:t>Tempo čerpání</w:t>
            </w:r>
          </w:p>
        </w:tc>
        <w:tc>
          <w:tcPr>
            <w:tcW w:w="7371" w:type="dxa"/>
          </w:tcPr>
          <w:p w:rsidR="003606C3" w:rsidRPr="00A44EF1" w:rsidRDefault="003606C3" w:rsidP="00541695">
            <w:pPr>
              <w:spacing w:after="0"/>
              <w:cnfStyle w:val="000000000000" w:firstRow="0" w:lastRow="0" w:firstColumn="0" w:lastColumn="0" w:oddVBand="0" w:evenVBand="0" w:oddHBand="0" w:evenHBand="0" w:firstRowFirstColumn="0" w:firstRowLastColumn="0" w:lastRowFirstColumn="0" w:lastRowLastColumn="0"/>
            </w:pPr>
            <w:r>
              <w:t xml:space="preserve">Kontinuální výzva k předkládání projektů, předpoklad vyčerpání zdrojů prvního investičního cyklu během </w:t>
            </w:r>
            <w:r w:rsidR="00C921FF">
              <w:t>5</w:t>
            </w:r>
            <w:r>
              <w:t xml:space="preserve"> let od zahájení. </w:t>
            </w:r>
            <w:r>
              <w:rPr>
                <w:szCs w:val="19"/>
              </w:rPr>
              <w:t>Zdroje vložené zpět do finančního nástroje se mohou bez zbytečného odkladu průběžně znovu použít v rámci téhož finančního nástroje (revolving ve stejném finančním nástroji), nebo se poté, co byly vyplaceny zpět řídicímu orgánu nebo fondu fondů, použijí v souladu s článkem 44 nařízení (EU) č. 1303/2013.</w:t>
            </w:r>
            <w:r w:rsidR="00541695">
              <w:rPr>
                <w:szCs w:val="19"/>
              </w:rPr>
              <w:t xml:space="preserve">  </w:t>
            </w:r>
            <w:r>
              <w:rPr>
                <w:szCs w:val="19"/>
              </w:rPr>
              <w:t>Období pro poskytování úvěrů finančního nástroje se stanoví s ohledem na nutnost zajistit, aby prostředky operačního programu (čl. 42 obecného nařízení) byly použity pro úvěry vyplacené konečným příjemcům nejpozději do 31. 12. 2023.</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Default="003606C3" w:rsidP="003606C3">
            <w:pPr>
              <w:spacing w:after="0"/>
              <w:jc w:val="left"/>
            </w:pPr>
            <w:r>
              <w:t>Rizika a úzká místa k dořešení</w:t>
            </w:r>
          </w:p>
        </w:tc>
        <w:tc>
          <w:tcPr>
            <w:tcW w:w="7371" w:type="dxa"/>
          </w:tcPr>
          <w:p w:rsidR="003606C3" w:rsidRDefault="003606C3"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 xml:space="preserve">Vyjasnit potenciální využití dluhopisového financování a zvýšení multiplikačního efektu zdrojů </w:t>
            </w:r>
            <w:r w:rsidR="00F5709A">
              <w:t>IROP</w:t>
            </w:r>
            <w:r>
              <w:t>.</w:t>
            </w:r>
          </w:p>
          <w:p w:rsidR="00866086" w:rsidRPr="00EB56AC" w:rsidRDefault="00866086" w:rsidP="002D263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rPr>
                <w:szCs w:val="16"/>
              </w:rPr>
              <w:t>Nutné vyjasnit s ÚOHS, zda je možné využít volné rámcové spolupráce s bankovními domy bez nutnosti veřejné zakázky (koncesní řízení)</w:t>
            </w:r>
          </w:p>
        </w:tc>
      </w:tr>
    </w:tbl>
    <w:p w:rsidR="00BB14F4" w:rsidRDefault="00BB14F4" w:rsidP="00E53A48">
      <w:pPr>
        <w:rPr>
          <w:rFonts w:eastAsia="Arial"/>
          <w:b/>
        </w:rPr>
      </w:pPr>
    </w:p>
    <w:p w:rsidR="000252FB" w:rsidRDefault="000252FB" w:rsidP="000252FB">
      <w:pPr>
        <w:jc w:val="center"/>
      </w:pPr>
      <w:r>
        <w:rPr>
          <w:noProof/>
          <w:lang w:eastAsia="cs-CZ"/>
        </w:rPr>
        <w:drawing>
          <wp:inline distT="0" distB="0" distL="0" distR="0" wp14:anchorId="5C799C94" wp14:editId="4078AF7C">
            <wp:extent cx="4692770" cy="2904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3924" cy="2905229"/>
                    </a:xfrm>
                    <a:prstGeom prst="rect">
                      <a:avLst/>
                    </a:prstGeom>
                    <a:noFill/>
                  </pic:spPr>
                </pic:pic>
              </a:graphicData>
            </a:graphic>
          </wp:inline>
        </w:drawing>
      </w:r>
    </w:p>
    <w:p w:rsidR="000252FB" w:rsidRDefault="000252FB" w:rsidP="000252FB">
      <w:pPr>
        <w:jc w:val="center"/>
      </w:pPr>
      <w:r>
        <w:rPr>
          <w:noProof/>
          <w:lang w:eastAsia="cs-CZ"/>
        </w:rPr>
        <w:drawing>
          <wp:inline distT="0" distB="0" distL="0" distR="0" wp14:anchorId="70F0FA17" wp14:editId="67B74096">
            <wp:extent cx="4848045" cy="23513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4000" cy="2354231"/>
                    </a:xfrm>
                    <a:prstGeom prst="rect">
                      <a:avLst/>
                    </a:prstGeom>
                    <a:noFill/>
                  </pic:spPr>
                </pic:pic>
              </a:graphicData>
            </a:graphic>
          </wp:inline>
        </w:drawing>
      </w:r>
    </w:p>
    <w:p w:rsidR="000252FB" w:rsidRDefault="000252FB" w:rsidP="000252FB">
      <w:pPr>
        <w:pStyle w:val="Titulek"/>
        <w:jc w:val="center"/>
      </w:pPr>
      <w:bookmarkStart w:id="127" w:name="_Toc417655529"/>
      <w:r>
        <w:t xml:space="preserve">Obrázek </w:t>
      </w:r>
      <w:r>
        <w:fldChar w:fldCharType="begin"/>
      </w:r>
      <w:r>
        <w:instrText xml:space="preserve"> SEQ Obrázek \* ARABIC </w:instrText>
      </w:r>
      <w:r>
        <w:fldChar w:fldCharType="separate"/>
      </w:r>
      <w:r w:rsidR="00337437">
        <w:rPr>
          <w:noProof/>
        </w:rPr>
        <w:t>15</w:t>
      </w:r>
      <w:r>
        <w:fldChar w:fldCharType="end"/>
      </w:r>
      <w:r>
        <w:t>: Modelové schéma fungování finančního nástroje – VARIANTA 1 Syndikovaný úvěr</w:t>
      </w:r>
      <w:bookmarkEnd w:id="127"/>
    </w:p>
    <w:p w:rsidR="008310C2" w:rsidRDefault="008310C2" w:rsidP="00E53A48">
      <w:pPr>
        <w:rPr>
          <w:rFonts w:eastAsia="Arial"/>
          <w:b/>
        </w:rPr>
      </w:pPr>
      <w:r>
        <w:rPr>
          <w:rFonts w:eastAsia="Arial"/>
          <w:b/>
        </w:rPr>
        <w:t>Dodavatel doporučuje řídícímu orgánu dále pracovat především s výše uvedenou variantou finančního nástroje č. 1, nicméně s ohledem na požadavky přípravy více možných scénářů pro případ problémů s dalším postupem směrem k implementaci dále uvádí alternativní jednodušší schéma, které je také vhodnou formou, jak lze projekty sledovaného specifického cíle skrze zdroje IROP podporovat.</w:t>
      </w:r>
    </w:p>
    <w:p w:rsidR="00BB14F4" w:rsidRDefault="00BB14F4" w:rsidP="00E53A48">
      <w:pPr>
        <w:rPr>
          <w:rFonts w:eastAsia="Arial"/>
          <w:b/>
        </w:rPr>
      </w:pPr>
    </w:p>
    <w:tbl>
      <w:tblPr>
        <w:tblStyle w:val="Deloittetable81"/>
        <w:tblW w:w="0" w:type="auto"/>
        <w:tblLook w:val="04A0" w:firstRow="1" w:lastRow="0" w:firstColumn="1" w:lastColumn="0" w:noHBand="0" w:noVBand="1"/>
      </w:tblPr>
      <w:tblGrid>
        <w:gridCol w:w="1729"/>
        <w:gridCol w:w="7371"/>
      </w:tblGrid>
      <w:tr w:rsidR="00190C36" w:rsidTr="0090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ECFFC3" w:themeFill="accent2" w:themeFillTint="33"/>
          </w:tcPr>
          <w:p w:rsidR="00190C36" w:rsidRPr="00BB0ED0" w:rsidRDefault="00190C36" w:rsidP="00905638">
            <w:pPr>
              <w:spacing w:after="0"/>
              <w:ind w:left="38"/>
            </w:pPr>
            <w:r>
              <w:rPr>
                <w:color w:val="auto"/>
              </w:rPr>
              <w:t>VARIANTA 2</w:t>
            </w:r>
            <w:r w:rsidRPr="001E1169">
              <w:rPr>
                <w:color w:val="auto"/>
              </w:rPr>
              <w:t>: Návrh podoby nástroje ve formě samostatně poskytovaného zvýhodněného úvěru</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Default="00190C36" w:rsidP="00905638">
            <w:pPr>
              <w:spacing w:after="0"/>
              <w:jc w:val="left"/>
            </w:pPr>
            <w:r w:rsidRPr="0087054E">
              <w:t>Zaměření</w:t>
            </w:r>
            <w:r>
              <w:t xml:space="preserve"> oblasti podpory</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rsidRPr="005C47B1">
              <w:t>Snížení energetické náročnosti v sektoru bydlení</w:t>
            </w:r>
            <w:r>
              <w:t>, způsobilými příjemci mohou být dle programového dokumentu v</w:t>
            </w:r>
            <w:r w:rsidRPr="005C47B1">
              <w:t>lastníci bytových domů a společenství vlastníků bytových jednotek - budovy se čtyřmi a více byty</w:t>
            </w:r>
            <w:r>
              <w:t>.</w:t>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Pr="00E635B4" w:rsidRDefault="00190C36" w:rsidP="00905638">
            <w:pPr>
              <w:spacing w:after="0"/>
              <w:cnfStyle w:val="000000000000" w:firstRow="0" w:lastRow="0" w:firstColumn="0" w:lastColumn="0" w:oddVBand="0" w:evenVBand="0" w:oddHBand="0" w:evenHBand="0" w:firstRowFirstColumn="0" w:firstRowLastColumn="0" w:lastRowFirstColumn="0" w:lastRowLastColumn="0"/>
              <w:rPr>
                <w:b/>
              </w:rPr>
            </w:pPr>
            <w:r w:rsidRPr="00E635B4">
              <w:rPr>
                <w:b/>
              </w:rPr>
              <w:t>Nástroj je navržen k využití na všechny oblasti podpory specifického cíle 2.5 IROP – ŘO zvažuje zavedení zvláštního režimu pro vybranou skupinu projektů dle geografického klíče, které mají vyšší prioritu a naléhavost řešení. Dodavatel souhlasí s tím, aby takové skupině projektů byla stanovena odlišná pravidla - buď poskytování přímé dotace, nebo nabízení shodného finančního nástroje, avšak s bonifikací (dotační složkou</w:t>
            </w:r>
            <w:r>
              <w:rPr>
                <w:b/>
              </w:rPr>
              <w:t>, nižším úrokem, lepšími podmínkami</w:t>
            </w:r>
            <w:r w:rsidRPr="00E635B4">
              <w:rPr>
                <w:b/>
              </w:rPr>
              <w:t xml:space="preserve">). </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Default="00190C36" w:rsidP="00905638">
            <w:pPr>
              <w:spacing w:after="0"/>
              <w:jc w:val="left"/>
            </w:pPr>
            <w:r w:rsidRPr="0087054E">
              <w:t>Forma podpory</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Z</w:t>
            </w:r>
            <w:r w:rsidRPr="0087054E">
              <w:t>výhodněný úvě</w:t>
            </w:r>
            <w:r>
              <w:t>r se sníženou úrokovou sazbou, poskytující zdroje IROP až do výše limitu povolené intenzity podpory způsobilých výdajů investičního projektu, v přepočtu dle HGE. Možná dotační podpora do stanoveného limitu souvisejících technických výdajů na přípravu projektu (projektová dokumentace, apod.).</w:t>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Pr="002A6638" w:rsidRDefault="00190C36" w:rsidP="00C13EDA">
            <w:pPr>
              <w:spacing w:after="0"/>
              <w:cnfStyle w:val="000000000000" w:firstRow="0" w:lastRow="0" w:firstColumn="0" w:lastColumn="0" w:oddVBand="0" w:evenVBand="0" w:oddHBand="0" w:evenHBand="0" w:firstRowFirstColumn="0" w:firstRowLastColumn="0" w:lastRowFirstColumn="0" w:lastRowLastColumn="0"/>
            </w:pPr>
            <w:r>
              <w:rPr>
                <w:b/>
              </w:rPr>
              <w:t>Sledovaná varianta nástroje kalkuluje s poskytováním p</w:t>
            </w:r>
            <w:r w:rsidRPr="002A6638">
              <w:rPr>
                <w:b/>
              </w:rPr>
              <w:t>rostředk</w:t>
            </w:r>
            <w:r>
              <w:rPr>
                <w:b/>
              </w:rPr>
              <w:t>ů</w:t>
            </w:r>
            <w:r w:rsidRPr="002A6638">
              <w:rPr>
                <w:b/>
              </w:rPr>
              <w:t xml:space="preserve"> IROP skrze</w:t>
            </w:r>
            <w:r w:rsidR="00C13EDA">
              <w:rPr>
                <w:b/>
              </w:rPr>
              <w:t xml:space="preserve"> delegování pravomocí na správce fondu (nová entita v rámci ŘO nebo vybraný veřejnoprávní subjekt) a za spolupráce s </w:t>
            </w:r>
            <w:r w:rsidRPr="002A6638">
              <w:rPr>
                <w:b/>
              </w:rPr>
              <w:t>jed</w:t>
            </w:r>
            <w:r w:rsidR="00C13EDA">
              <w:rPr>
                <w:b/>
              </w:rPr>
              <w:t>ním spolufinancujícím subjektem</w:t>
            </w:r>
            <w:r w:rsidRPr="002A6638">
              <w:rPr>
                <w:b/>
              </w:rPr>
              <w:t xml:space="preserve"> (</w:t>
            </w:r>
            <w:r>
              <w:rPr>
                <w:b/>
              </w:rPr>
              <w:t xml:space="preserve">veřejnou zakázkou </w:t>
            </w:r>
            <w:r w:rsidRPr="002A6638">
              <w:rPr>
                <w:b/>
              </w:rPr>
              <w:t>vybraná finanční instituce).</w:t>
            </w:r>
            <w:r w:rsidR="00C13EDA">
              <w:rPr>
                <w:b/>
              </w:rPr>
              <w:t xml:space="preserve"> Možnou variantou je také, že správce fondu poskytuje podporu sám, bez zapojení bankovního sektoru.</w:t>
            </w:r>
            <w:r>
              <w:t xml:space="preserve"> Sledovaná varianta ponechává významně menší prostor pro multiplikační efekt a zvýšení potenciálu podpořených projektů, neboť pákový efekt je realizován na menším objemu způsobilých výdajů projektu (10-30%, dle využitého režimu podpory, viz níže).</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Pr="0087054E" w:rsidRDefault="00190C36" w:rsidP="00905638">
            <w:pPr>
              <w:spacing w:after="0"/>
              <w:jc w:val="left"/>
            </w:pPr>
            <w:r>
              <w:t>Veřejná podpora</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Dle předaných podkladů od Zadavatele a dle navazující diskuze v rámci osobního jednání byl potvrzen záměr využití čl. 38 a 39 GBER, kdy:</w:t>
            </w:r>
          </w:p>
          <w:p w:rsidR="00557C29" w:rsidRPr="00557C29" w:rsidRDefault="00190C36" w:rsidP="00557C2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rsidRPr="00214FB0">
              <w:t>Dle čl. 38 GBER intenzita podpory nesmí přesáhnout 30 % způsobilých nákladů</w:t>
            </w:r>
            <w:r>
              <w:t xml:space="preserve">, je možné dosáhnout bonusu +10%, resp. +20% pro MSP, dále pak bonusu 15% v případě směřování do </w:t>
            </w:r>
            <w:r>
              <w:rPr>
                <w:szCs w:val="19"/>
              </w:rPr>
              <w:t>zvlášť podporovaných oblastí;</w:t>
            </w:r>
            <w:r>
              <w:rPr>
                <w:rStyle w:val="Znakapoznpodarou"/>
                <w:szCs w:val="19"/>
              </w:rPr>
              <w:footnoteReference w:id="20"/>
            </w:r>
          </w:p>
          <w:p w:rsidR="00190C36" w:rsidRPr="008E587B" w:rsidRDefault="00190C36" w:rsidP="00557C29">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 xml:space="preserve">Dle čl. 39 GBER </w:t>
            </w:r>
            <w:r w:rsidR="00172F31" w:rsidRPr="00172F31">
              <w:t>podpora musí aktivovat dodatečné investice od soukromých investorů, jejichž výše musí dosahovat alespoň 30 % z celkových finančních prostředků poskytnutých na daný projekt</w:t>
            </w:r>
            <w:r>
              <w:t xml:space="preserve">, </w:t>
            </w:r>
            <w:r w:rsidRPr="00557C29">
              <w:rPr>
                <w:szCs w:val="19"/>
              </w:rPr>
              <w:t>nominální hodnota půjčky nesmí na úrovni konečných příjemců přesáhnout 10 milionů EUR na projekt, v případě asymetrického sdílení ztrát musí být první ztráta omezena na nejvýše 25 % celkové investice.</w:t>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 xml:space="preserve">Článek 38 GBER není nastaven pro využití finančních nástrojů, proto navrhujeme přiklonit se k využití čl. 39 GBER. </w:t>
            </w:r>
            <w:r w:rsidR="00557C29">
              <w:t xml:space="preserve">V případě využití čl. 39 je nutné dodržet především podmínku minimálně 30% účasti soukromých investorů, v případě využití čl. 38 </w:t>
            </w:r>
            <w:r w:rsidR="00557C29">
              <w:rPr>
                <w:b/>
              </w:rPr>
              <w:t>j</w:t>
            </w:r>
            <w:r w:rsidRPr="00FD10BA">
              <w:rPr>
                <w:b/>
              </w:rPr>
              <w:t xml:space="preserve">e zásadní zmínit, že </w:t>
            </w:r>
            <w:r w:rsidR="00557C29">
              <w:rPr>
                <w:b/>
              </w:rPr>
              <w:t xml:space="preserve">omezení intenzity </w:t>
            </w:r>
            <w:r w:rsidRPr="00FD10BA">
              <w:rPr>
                <w:b/>
              </w:rPr>
              <w:t>podpory je poplatné pro reálně poskytnutou výhodu veřejnou intervencí, která je vyjádřena jako hrubý grantový ekvivalent</w:t>
            </w:r>
            <w:r>
              <w:t xml:space="preserve"> (dále také HGE). Výpočet HGE je determinován rozdílem mezi tržní úrokovou sazbou a sazbou zvýhodněného úvěru, ve vazbě na objem investice. Dodavatel provedl modelové propočty pro typický projekt sledované oblasti IROP – výsledky jsou prezentovány v kapitole 5.4.5. Lze konstatovat, že s ohledem na výsledky modelování je možné zařadit podporu za využití režimu </w:t>
            </w:r>
            <w:r>
              <w:rPr>
                <w:i/>
              </w:rPr>
              <w:t>de minimis</w:t>
            </w:r>
            <w:r>
              <w:t>.</w:t>
            </w:r>
            <w:r>
              <w:rPr>
                <w:rStyle w:val="Znakapoznpodarou"/>
              </w:rPr>
              <w:footnoteReference w:id="21"/>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Pr="002E11D1" w:rsidRDefault="00190C36" w:rsidP="00905638">
            <w:pPr>
              <w:spacing w:after="0"/>
              <w:cnfStyle w:val="000000000000" w:firstRow="0" w:lastRow="0" w:firstColumn="0" w:lastColumn="0" w:oddVBand="0" w:evenVBand="0" w:oddHBand="0" w:evenHBand="0" w:firstRowFirstColumn="0" w:firstRowLastColumn="0" w:lastRowFirstColumn="0" w:lastRowLastColumn="0"/>
              <w:rPr>
                <w:b/>
              </w:rPr>
            </w:pPr>
            <w:r w:rsidRPr="002E11D1">
              <w:rPr>
                <w:b/>
              </w:rPr>
              <w:t xml:space="preserve">Pokud by řídící orgán přes doporučení dodavatele plánoval poskytování podpory </w:t>
            </w:r>
            <w:r w:rsidR="003C01BF">
              <w:rPr>
                <w:b/>
              </w:rPr>
              <w:t xml:space="preserve">pouze za uplatnění </w:t>
            </w:r>
            <w:r w:rsidRPr="002E11D1">
              <w:rPr>
                <w:b/>
              </w:rPr>
              <w:t>režim</w:t>
            </w:r>
            <w:r w:rsidR="003C01BF">
              <w:rPr>
                <w:b/>
              </w:rPr>
              <w:t>u</w:t>
            </w:r>
            <w:r w:rsidRPr="002E11D1">
              <w:rPr>
                <w:b/>
              </w:rPr>
              <w:t xml:space="preserve"> </w:t>
            </w:r>
            <w:r w:rsidRPr="00186CD7">
              <w:rPr>
                <w:b/>
                <w:i/>
              </w:rPr>
              <w:t>de minimis</w:t>
            </w:r>
            <w:r w:rsidRPr="002E11D1">
              <w:rPr>
                <w:b/>
              </w:rPr>
              <w:t>, je navrhovaná konstrukce v souladu s</w:t>
            </w:r>
            <w:r>
              <w:rPr>
                <w:b/>
              </w:rPr>
              <w:t xml:space="preserve"> pravidly pro </w:t>
            </w:r>
            <w:r w:rsidRPr="002E11D1">
              <w:rPr>
                <w:b/>
              </w:rPr>
              <w:t>off-</w:t>
            </w:r>
            <w:r>
              <w:rPr>
                <w:b/>
              </w:rPr>
              <w:t>the-shelf nástroj</w:t>
            </w:r>
            <w:r w:rsidRPr="002E11D1">
              <w:rPr>
                <w:b/>
              </w:rPr>
              <w:t xml:space="preserve"> Renovation Loan.</w:t>
            </w:r>
            <w:r w:rsidR="003C01BF">
              <w:rPr>
                <w:b/>
              </w:rPr>
              <w:t xml:space="preserve"> Do finančního nástroje se ale nebudou moci zapojit příjemci s již vyčerpaným limitem de minimis a příjemci s požadovanou investicí větší než je tento limit. </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Default="00190C36" w:rsidP="00905638">
            <w:pPr>
              <w:spacing w:after="0"/>
              <w:jc w:val="left"/>
            </w:pPr>
            <w:r w:rsidRPr="0087054E">
              <w:t>Výše podpory</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Prakticky může Fond i v rámci této varianty financovat ze zdrojů IROP až 100% investice zvýhodněným úvěrem a stále jsou dodrženy pravidla veřejné podpory. V tomto bodě je nutné upozornit na problém rozhodnutí o výši poskytnuté podpory, s ohledem na absenci reálných limitů dle veřejné podpory:</w:t>
            </w:r>
          </w:p>
          <w:p w:rsidR="00190C36" w:rsidRDefault="00190C36" w:rsidP="00905638">
            <w:pPr>
              <w:pStyle w:val="Odstavecseseznamem"/>
              <w:numPr>
                <w:ilvl w:val="0"/>
                <w:numId w:val="66"/>
              </w:numPr>
              <w:spacing w:after="0"/>
              <w:cnfStyle w:val="000000000000" w:firstRow="0" w:lastRow="0" w:firstColumn="0" w:lastColumn="0" w:oddVBand="0" w:evenVBand="0" w:oddHBand="0" w:evenHBand="0" w:firstRowFirstColumn="0" w:firstRowLastColumn="0" w:lastRowFirstColumn="0" w:lastRowLastColumn="0"/>
            </w:pPr>
            <w:r>
              <w:t xml:space="preserve">Je možné nastavit výši </w:t>
            </w:r>
            <w:r w:rsidR="00DF1462">
              <w:t xml:space="preserve">poskytovaného úvěru </w:t>
            </w:r>
            <w:r>
              <w:t xml:space="preserve">na úrovni 75 – 90 % způsobilých výdajů (jako je aplikováno v současném programu JESSICA). Toto nastavení bude jistě zajímavé pro konečné příjemce, nicméně limituje potenciál pákového efektu (zapojení zdrojů komerčních bank pouze v rovině 10 – 25%) a hrozí efekt vytěsnění. </w:t>
            </w:r>
          </w:p>
          <w:p w:rsidR="00190C36" w:rsidRDefault="00190C36" w:rsidP="00905638">
            <w:pPr>
              <w:pStyle w:val="Odstavecseseznamem"/>
              <w:numPr>
                <w:ilvl w:val="0"/>
                <w:numId w:val="66"/>
              </w:numPr>
              <w:spacing w:after="0"/>
              <w:cnfStyle w:val="000000000000" w:firstRow="0" w:lastRow="0" w:firstColumn="0" w:lastColumn="0" w:oddVBand="0" w:evenVBand="0" w:oddHBand="0" w:evenHBand="0" w:firstRowFirstColumn="0" w:firstRowLastColumn="0" w:lastRowFirstColumn="0" w:lastRowLastColumn="0"/>
            </w:pPr>
            <w:r>
              <w:t xml:space="preserve">Je možné nastavit výši </w:t>
            </w:r>
            <w:r w:rsidR="00DF1462">
              <w:t xml:space="preserve">poskytovaného úvěru </w:t>
            </w:r>
            <w:r>
              <w:t xml:space="preserve">v úrovni 50% způsobilých výdajů, kdy je vyšší prostor pro realizaci pákového efektu zapojením komerčních bank, nicméně problémem může být nízká aktivizace projektů, kterým se nebude systém zdát dostatečně zajímavým, motivačním. </w:t>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rPr>
                <w:b/>
              </w:rPr>
            </w:pPr>
            <w:r>
              <w:rPr>
                <w:b/>
              </w:rPr>
              <w:t xml:space="preserve">S ohledem na kladnou zkušenost s fungováním programu JESSICA dodavatel považuje za žádoucí nastavení výše </w:t>
            </w:r>
            <w:r w:rsidR="003E5FDC">
              <w:rPr>
                <w:b/>
              </w:rPr>
              <w:t xml:space="preserve">poskytovaného úvěru </w:t>
            </w:r>
            <w:r>
              <w:rPr>
                <w:b/>
              </w:rPr>
              <w:t xml:space="preserve">75% </w:t>
            </w:r>
            <w:r w:rsidR="003E5FDC">
              <w:rPr>
                <w:b/>
              </w:rPr>
              <w:t xml:space="preserve">způsobilých výdajů </w:t>
            </w:r>
            <w:r>
              <w:rPr>
                <w:b/>
              </w:rPr>
              <w:t>s tím, že je eliminován problém možného vytěsnění zdrojů komerčních bank, systém je dostatečně motivační a současně je generován alespoň minimální pákový efekt.</w:t>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Pr="001B3F1E" w:rsidRDefault="00190C36" w:rsidP="00DA33C0">
            <w:pPr>
              <w:spacing w:after="0"/>
              <w:cnfStyle w:val="000000000000" w:firstRow="0" w:lastRow="0" w:firstColumn="0" w:lastColumn="0" w:oddVBand="0" w:evenVBand="0" w:oddHBand="0" w:evenHBand="0" w:firstRowFirstColumn="0" w:firstRowLastColumn="0" w:lastRowFirstColumn="0" w:lastRowLastColumn="0"/>
            </w:pPr>
            <w:r w:rsidRPr="002E11D1">
              <w:rPr>
                <w:b/>
              </w:rPr>
              <w:t xml:space="preserve">Co se týče výše požadované úrokové míry na zdrojích IROP, s ohledem na stávající tržní situaci a dosavadní zkušenosti s fungováním programu JESSICA navrhuje dodavatel poskytovat zdroje s úrokem </w:t>
            </w:r>
            <w:r>
              <w:rPr>
                <w:b/>
              </w:rPr>
              <w:t xml:space="preserve">0,7 - </w:t>
            </w:r>
            <w:r w:rsidRPr="002E11D1">
              <w:rPr>
                <w:b/>
              </w:rPr>
              <w:t>1,</w:t>
            </w:r>
            <w:r>
              <w:rPr>
                <w:b/>
              </w:rPr>
              <w:t xml:space="preserve">0% p.a. </w:t>
            </w:r>
            <w:r>
              <w:t xml:space="preserve">  </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Pr="0087054E" w:rsidRDefault="00190C36" w:rsidP="00905638">
            <w:pPr>
              <w:spacing w:after="0"/>
              <w:jc w:val="left"/>
            </w:pPr>
            <w:r>
              <w:t>Parametry podpory</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Splácení úvěru je zabezpečeno generovanými energetickými úsporami projektu. Poskytovaný zvýhodněný úvěr má následující parametry:</w:t>
            </w:r>
          </w:p>
          <w:p w:rsidR="00190C36" w:rsidRDefault="00190C36" w:rsidP="00905638">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Krytí způsobilých výdajů až do stanovené výše podpory způsobilé části investice, zbylou část financování si sjednává příjemce sám, nezávisle na IROP;</w:t>
            </w:r>
          </w:p>
          <w:p w:rsidR="009C2333" w:rsidRDefault="009C2333" w:rsidP="009C2333">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 xml:space="preserve">Dotační podpora na technickou přípravu projektů do výše </w:t>
            </w:r>
            <w:r w:rsidR="00712261">
              <w:t>5</w:t>
            </w:r>
            <w:r>
              <w:t>% investičních nákladů projektu;</w:t>
            </w:r>
          </w:p>
          <w:p w:rsidR="00190C36" w:rsidRDefault="00190C36" w:rsidP="00905638">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Délka splatnosti úvěru do maximální výše 20 let;</w:t>
            </w:r>
          </w:p>
          <w:p w:rsidR="00190C36" w:rsidRDefault="00190C36" w:rsidP="00905638">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Úroková míra zdrojů IROP ve výši 0,7 – 1,0 % p.a., dle stanovené míry intenzity;</w:t>
            </w:r>
          </w:p>
          <w:p w:rsidR="00190C36" w:rsidRDefault="00190C36" w:rsidP="00905638">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Jistina splatná spolu s úrokem měsíčně;</w:t>
            </w:r>
          </w:p>
          <w:p w:rsidR="00190C36" w:rsidRDefault="00190C36" w:rsidP="00905638">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Účelový úvěr lze použít jen na krytí způsobilých výdajů;</w:t>
            </w:r>
          </w:p>
          <w:p w:rsidR="00190C36" w:rsidRDefault="00190C36" w:rsidP="00905638">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Volba zajištění dohodou podle místních podmínek.</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Default="00190C36" w:rsidP="00905638">
            <w:pPr>
              <w:spacing w:after="0"/>
              <w:jc w:val="left"/>
            </w:pPr>
            <w:r w:rsidRPr="0087054E">
              <w:t>Implementační struktura</w:t>
            </w:r>
            <w:r>
              <w:t xml:space="preserve"> a procesní postup</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 xml:space="preserve">O zvýhodněný úvěr je možné žádat na jakékoliv pobočce vybraného subjektu, který bude vybrán ve veřejné zakázce. Vybraný subjekt </w:t>
            </w:r>
            <w:r w:rsidRPr="009D0FA7">
              <w:t>zabezpečí vstupní rating žadatele a jeho projektu,</w:t>
            </w:r>
            <w:r>
              <w:t xml:space="preserve"> provede kontrolu způsobilosti výdajů projektu, posoudí plnění pravidel pro veřejnou podporu a vypočte HGE, zhodnotí nárok projektu na případné zvýhodnění </w:t>
            </w:r>
            <w:r w:rsidRPr="00BB14F4">
              <w:t>(viz zvažované zavedení zvláštního režimu pro vybranou skupinu projektů dle geografického klíče)</w:t>
            </w:r>
            <w:r>
              <w:t>. V případě, že všechny aspekty vyhovují, uzavře smluvní úvěrový vztah s příjemcem a financuje projekt ze zdrojů, které mu byly v tranších svěřeny správcem Fondu IROP. Příjemce je povinen splácet úrok i jistinu zvolené finanční instituci, která provádí reporting dle sjednané periodicity vůči správci fondu a provádí finanční vypořádání.</w:t>
            </w:r>
          </w:p>
          <w:p w:rsidR="00670BE4" w:rsidRDefault="00670BE4" w:rsidP="00905638">
            <w:pPr>
              <w:spacing w:after="0"/>
              <w:cnfStyle w:val="000000000000" w:firstRow="0" w:lastRow="0" w:firstColumn="0" w:lastColumn="0" w:oddVBand="0" w:evenVBand="0" w:oddHBand="0" w:evenHBand="0" w:firstRowFirstColumn="0" w:firstRowLastColumn="0" w:lastRowFirstColumn="0" w:lastRowLastColumn="0"/>
            </w:pPr>
          </w:p>
          <w:p w:rsidR="00670BE4" w:rsidRPr="00670BE4" w:rsidRDefault="00670BE4" w:rsidP="00905638">
            <w:pPr>
              <w:spacing w:after="0"/>
              <w:cnfStyle w:val="000000000000" w:firstRow="0" w:lastRow="0" w:firstColumn="0" w:lastColumn="0" w:oddVBand="0" w:evenVBand="0" w:oddHBand="0" w:evenHBand="0" w:firstRowFirstColumn="0" w:firstRowLastColumn="0" w:lastRowFirstColumn="0" w:lastRowLastColumn="0"/>
              <w:rPr>
                <w:b/>
              </w:rPr>
            </w:pPr>
            <w:r>
              <w:rPr>
                <w:b/>
              </w:rPr>
              <w:t>V reflexi zájmu finančních institucí o zapojení se do vydefinované role poskytovatele zvýhodněného úvěru je možné uvedený výčet rolí, které by tento subjekt měl zastávat, upravit a rozdělit práva a povinnosti mezi tento subjekt a správce fondu IROP.</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Default="00190C36" w:rsidP="00905638">
            <w:pPr>
              <w:spacing w:after="0"/>
              <w:jc w:val="left"/>
            </w:pPr>
            <w:r w:rsidRPr="0087054E">
              <w:t>Koneční příjemci</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Dle vymezení v programovém dokumentu IROP:</w:t>
            </w:r>
          </w:p>
          <w:p w:rsidR="00190C36" w:rsidRDefault="00190C36" w:rsidP="00905638">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rsidRPr="00F12027">
              <w:t>vlastníci bytových domů a společenství vlastníků bytových jednotek - budovy se čtyřmi a více byty</w:t>
            </w:r>
            <w:r>
              <w:t>;</w:t>
            </w:r>
          </w:p>
          <w:p w:rsidR="00190C36" w:rsidRDefault="00190C36" w:rsidP="00905638">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p</w:t>
            </w:r>
            <w:r w:rsidRPr="00345046">
              <w:t>odpora nebude poskytována na území hl. m. Prahy</w:t>
            </w:r>
            <w:r>
              <w:t>.</w:t>
            </w:r>
          </w:p>
          <w:p w:rsidR="00190C36" w:rsidRDefault="00190C36" w:rsidP="00905638">
            <w:pPr>
              <w:pStyle w:val="Odstavecseseznamem"/>
              <w:spacing w:after="0"/>
              <w:cnfStyle w:val="000000000000" w:firstRow="0" w:lastRow="0" w:firstColumn="0" w:lastColumn="0" w:oddVBand="0" w:evenVBand="0" w:oddHBand="0" w:evenHBand="0" w:firstRowFirstColumn="0" w:firstRowLastColumn="0" w:lastRowFirstColumn="0" w:lastRowLastColumn="0"/>
            </w:pPr>
          </w:p>
          <w:p w:rsidR="00190C36" w:rsidRPr="00EB56AC" w:rsidRDefault="00190C36" w:rsidP="00905638">
            <w:pPr>
              <w:spacing w:after="0"/>
              <w:cnfStyle w:val="000000000000" w:firstRow="0" w:lastRow="0" w:firstColumn="0" w:lastColumn="0" w:oddVBand="0" w:evenVBand="0" w:oddHBand="0" w:evenHBand="0" w:firstRowFirstColumn="0" w:firstRowLastColumn="0" w:lastRowFirstColumn="0" w:lastRowLastColumn="0"/>
            </w:pPr>
            <w:r>
              <w:t xml:space="preserve">V případě malých a středních podniků může být vyšší míra podpory, v závislosti na zvoleném režimu veřejné podpory. </w:t>
            </w:r>
            <w:r w:rsidRPr="00445473">
              <w:rPr>
                <w:b/>
              </w:rPr>
              <w:t>Projekty realizované v</w:t>
            </w:r>
            <w:r>
              <w:rPr>
                <w:b/>
              </w:rPr>
              <w:t> zvláště sledovaných</w:t>
            </w:r>
            <w:r w:rsidRPr="00445473">
              <w:rPr>
                <w:b/>
              </w:rPr>
              <w:t xml:space="preserve"> územích </w:t>
            </w:r>
            <w:r>
              <w:rPr>
                <w:b/>
              </w:rPr>
              <w:t>b</w:t>
            </w:r>
            <w:r w:rsidRPr="00445473">
              <w:rPr>
                <w:b/>
              </w:rPr>
              <w:t xml:space="preserve">udou </w:t>
            </w:r>
            <w:r>
              <w:rPr>
                <w:b/>
              </w:rPr>
              <w:t>podporovány</w:t>
            </w:r>
            <w:r w:rsidRPr="00445473">
              <w:rPr>
                <w:b/>
              </w:rPr>
              <w:t xml:space="preserve"> formou přímou dotace</w:t>
            </w:r>
            <w:r>
              <w:rPr>
                <w:b/>
              </w:rPr>
              <w:t xml:space="preserve"> nebo budou bonifikovány </w:t>
            </w:r>
            <w:r>
              <w:t>– klíč k definování těchto zvláštních prioritizovaných  lokalit ŘO upřesňuje.</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Pr="0087054E" w:rsidRDefault="00190C36" w:rsidP="00905638">
            <w:pPr>
              <w:spacing w:after="0"/>
              <w:jc w:val="left"/>
            </w:pPr>
            <w:r>
              <w:t>Motivační nástroje pro spolufinancující subjekt</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Návrh vyčlenění alokace přesahující 16 mld. Kč na využití finančních nástrojů a spojité zabezpečení informační kampaně ze strany ŘO IROP umožní vytvoření portfolia projektů, které budou usilovat o úvěry v situaci, kdy zástupci finančního sektoru opakovaně popisují, že mají k dispozici velký objem volných finančních prostředků, které by rádi zhodnotili, chybí spíše zájem ze strany investorů. Za této situace je samotné vytvoření fondu a navržených struktur silnou pobídkou pro finanční domy, aby se ucházeli o roli subjektu, který by byl poskytovatelem zdrojů IROP.</w:t>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Default="00186CD7" w:rsidP="00905638">
            <w:pPr>
              <w:spacing w:after="0"/>
              <w:cnfStyle w:val="000000000000" w:firstRow="0" w:lastRow="0" w:firstColumn="0" w:lastColumn="0" w:oddVBand="0" w:evenVBand="0" w:oddHBand="0" w:evenHBand="0" w:firstRowFirstColumn="0" w:firstRowLastColumn="0" w:lastRowFirstColumn="0" w:lastRowLastColumn="0"/>
            </w:pPr>
            <w:r>
              <w:t xml:space="preserve">Pro motivaci zapojení finančního sektoru doporučuje dodavatel navrhnout výplatu podílu na management a success fee, které bude v rámci finančního nástroje vypláceno také Fondu Fondů a správci Fondu IROP. </w:t>
            </w:r>
            <w:r w:rsidR="00190C36">
              <w:t xml:space="preserve">S ohledem na limity maximální výše podílu manažerských odměn na celkové alokaci budovaných nástrojů lze očekávat, že </w:t>
            </w:r>
            <w:r>
              <w:t>značný podíl z těchto prostředků</w:t>
            </w:r>
            <w:r w:rsidR="00190C36">
              <w:t xml:space="preserve"> bud</w:t>
            </w:r>
            <w:r>
              <w:t>e</w:t>
            </w:r>
            <w:r w:rsidR="00190C36">
              <w:t xml:space="preserve"> vyčerpán v rámci řídících struktur (správce fondu fondů, správce fondu) – dodavatel předpokládá, že pro zapojen</w:t>
            </w:r>
            <w:r>
              <w:t>ý</w:t>
            </w:r>
            <w:r w:rsidR="00190C36">
              <w:t xml:space="preserve"> subjekt </w:t>
            </w:r>
            <w:r>
              <w:t>bude vymezena dostatečná část těchto odměn tak, aby bylo pro finanční sektor motivační se o tuto roli ucházet. Konečná výše takto vyplácené odměny bude klíčovým hodnotícím kritériem veřejné zakázky na výběr tohoto subjektu.</w:t>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Pr="00E9599D" w:rsidRDefault="00190C36" w:rsidP="00905638">
            <w:pPr>
              <w:spacing w:after="0"/>
              <w:cnfStyle w:val="000000000000" w:firstRow="0" w:lastRow="0" w:firstColumn="0" w:lastColumn="0" w:oddVBand="0" w:evenVBand="0" w:oddHBand="0" w:evenHBand="0" w:firstRowFirstColumn="0" w:firstRowLastColumn="0" w:lastRowFirstColumn="0" w:lastRowLastColumn="0"/>
              <w:rPr>
                <w:b/>
              </w:rPr>
            </w:pPr>
            <w:r w:rsidRPr="00E9599D">
              <w:rPr>
                <w:b/>
              </w:rPr>
              <w:t>Za uvedených předpokladů dodavatel neidentifikuje jako oprávněnou potřebu zapojení dodatečných motivačních prvků, aby byl vybrán subjekt poskytující zdroje IROP. Jednou z možných variant řešení je, aby subjektem poskytujícím prostředky IROP byl sám správce Fondu, kterým by měl být SFRB.</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Default="00190C36" w:rsidP="00905638">
            <w:pPr>
              <w:spacing w:after="0"/>
              <w:jc w:val="left"/>
            </w:pPr>
            <w:r w:rsidRPr="0087054E">
              <w:t>Očekávaná alokace</w:t>
            </w:r>
          </w:p>
        </w:tc>
        <w:tc>
          <w:tcPr>
            <w:tcW w:w="7371" w:type="dxa"/>
          </w:tcPr>
          <w:p w:rsidR="00190C36" w:rsidRPr="00EB56AC" w:rsidRDefault="00190C36" w:rsidP="00905638">
            <w:pPr>
              <w:spacing w:after="0"/>
              <w:cnfStyle w:val="000000000000" w:firstRow="0" w:lastRow="0" w:firstColumn="0" w:lastColumn="0" w:oddVBand="0" w:evenVBand="0" w:oddHBand="0" w:evenHBand="0" w:firstRowFirstColumn="0" w:firstRowLastColumn="0" w:lastRowFirstColumn="0" w:lastRowLastColumn="0"/>
            </w:pPr>
            <w:r>
              <w:t>16,8 mld</w:t>
            </w:r>
            <w:r w:rsidRPr="00AC76A0">
              <w:t xml:space="preserve">. Kč </w:t>
            </w:r>
            <w:r>
              <w:t xml:space="preserve">(z evropských zdrojů, bez prostředků národního spolufinancování) minus zdroje, které budou vyčleněny na podporu projektů v prioritních lokalitách (pokud budou vyčleněny na podporu dotační formou). Dodavatel navrhuje vyčerpat celý objem alokace na poskytování zvýhodněných úvěrů s tím, že tyto zdroje budou revolvingově využívány na stejný účel i po skončení programového období. </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Pr="0087054E" w:rsidRDefault="00190C36" w:rsidP="00905638">
            <w:pPr>
              <w:spacing w:after="0"/>
              <w:jc w:val="left"/>
            </w:pPr>
            <w:r>
              <w:t>Tempo čerpání</w:t>
            </w:r>
          </w:p>
        </w:tc>
        <w:tc>
          <w:tcPr>
            <w:tcW w:w="7371" w:type="dxa"/>
          </w:tcPr>
          <w:p w:rsidR="00190C36" w:rsidRPr="00A44EF1" w:rsidRDefault="00190C36" w:rsidP="00905638">
            <w:pPr>
              <w:spacing w:after="0"/>
              <w:cnfStyle w:val="000000000000" w:firstRow="0" w:lastRow="0" w:firstColumn="0" w:lastColumn="0" w:oddVBand="0" w:evenVBand="0" w:oddHBand="0" w:evenHBand="0" w:firstRowFirstColumn="0" w:firstRowLastColumn="0" w:lastRowFirstColumn="0" w:lastRowLastColumn="0"/>
            </w:pPr>
            <w:r>
              <w:t xml:space="preserve">Kontinuální výzva k předkládání projektů, předpoklad vyčerpání zdrojů prvního investičního cyklu během 5 let od zahájení. </w:t>
            </w:r>
            <w:r>
              <w:rPr>
                <w:szCs w:val="19"/>
              </w:rPr>
              <w:t>Zdroje vložené zpět do finančního nástroje se mohou bez zbytečného odkladu průběžně znovu použít v rámci téhož finančního nástroje (revolving ve stejném finančním nástroji), nebo se poté, co byly vyplaceny zpět řídicímu orgánu nebo fondu fondů, použijí v souladu s článkem 44 nařízení (EU) č. 1303/2013.  Období pro poskytování úvěrů finančního nástroje se stanoví s ohledem na nutnost zajistit, aby prostředky operačního programu (čl. 42 obecného nařízení) byly použity pro úvěry vyplacené konečným příjemcům nejpozději do 31. 12. 2023.</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Default="00190C36" w:rsidP="00905638">
            <w:pPr>
              <w:spacing w:after="0"/>
              <w:jc w:val="left"/>
            </w:pPr>
            <w:r>
              <w:t>Rizika a úzká místa k dořešení</w:t>
            </w:r>
          </w:p>
        </w:tc>
        <w:tc>
          <w:tcPr>
            <w:tcW w:w="7371" w:type="dxa"/>
          </w:tcPr>
          <w:p w:rsidR="00190C36" w:rsidRPr="00EB56AC" w:rsidRDefault="00190C36" w:rsidP="00905638">
            <w:pPr>
              <w:pStyle w:val="Odstavecseseznamem"/>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Vyjasnit potenciální využití dluhopisového financování a zvýšení multiplikačního efektu zdrojů IROP.</w:t>
            </w:r>
          </w:p>
        </w:tc>
      </w:tr>
    </w:tbl>
    <w:p w:rsidR="008310C2" w:rsidRDefault="008310C2" w:rsidP="00E53A48">
      <w:pPr>
        <w:rPr>
          <w:rFonts w:eastAsia="Arial"/>
          <w:b/>
        </w:rPr>
      </w:pPr>
    </w:p>
    <w:p w:rsidR="003A46D7" w:rsidRDefault="00186CD7" w:rsidP="00186CD7">
      <w:pPr>
        <w:jc w:val="center"/>
      </w:pPr>
      <w:r w:rsidRPr="00186CD7">
        <w:rPr>
          <w:noProof/>
          <w:lang w:eastAsia="cs-CZ"/>
        </w:rPr>
        <w:drawing>
          <wp:inline distT="0" distB="0" distL="0" distR="0" wp14:anchorId="4E27CC9F" wp14:editId="67E1D6F0">
            <wp:extent cx="4114800" cy="2314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14816" cy="2314349"/>
                    </a:xfrm>
                    <a:prstGeom prst="rect">
                      <a:avLst/>
                    </a:prstGeom>
                    <a:noFill/>
                    <a:ln>
                      <a:noFill/>
                    </a:ln>
                  </pic:spPr>
                </pic:pic>
              </a:graphicData>
            </a:graphic>
          </wp:inline>
        </w:drawing>
      </w:r>
    </w:p>
    <w:p w:rsidR="00186CD7" w:rsidRDefault="00186CD7" w:rsidP="00186CD7">
      <w:pPr>
        <w:jc w:val="center"/>
      </w:pPr>
      <w:r w:rsidRPr="00186CD7">
        <w:rPr>
          <w:noProof/>
          <w:lang w:eastAsia="cs-CZ"/>
        </w:rPr>
        <w:drawing>
          <wp:inline distT="0" distB="0" distL="0" distR="0" wp14:anchorId="5DFF9398" wp14:editId="30CE2954">
            <wp:extent cx="4067175" cy="224534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66845" cy="2245163"/>
                    </a:xfrm>
                    <a:prstGeom prst="rect">
                      <a:avLst/>
                    </a:prstGeom>
                    <a:noFill/>
                    <a:ln>
                      <a:noFill/>
                    </a:ln>
                  </pic:spPr>
                </pic:pic>
              </a:graphicData>
            </a:graphic>
          </wp:inline>
        </w:drawing>
      </w:r>
    </w:p>
    <w:p w:rsidR="00276EB0" w:rsidRDefault="00276EB0" w:rsidP="000252FB">
      <w:pPr>
        <w:pStyle w:val="Titulek"/>
      </w:pPr>
      <w:bookmarkStart w:id="128" w:name="_Toc417655530"/>
      <w:r>
        <w:t xml:space="preserve">Obrázek </w:t>
      </w:r>
      <w:r>
        <w:fldChar w:fldCharType="begin"/>
      </w:r>
      <w:r>
        <w:instrText xml:space="preserve"> SEQ Obrázek \* ARABIC </w:instrText>
      </w:r>
      <w:r>
        <w:fldChar w:fldCharType="separate"/>
      </w:r>
      <w:r w:rsidR="00337437">
        <w:rPr>
          <w:noProof/>
        </w:rPr>
        <w:t>16</w:t>
      </w:r>
      <w:r>
        <w:fldChar w:fldCharType="end"/>
      </w:r>
      <w:r>
        <w:t>: Modelové schéma fungování nástroje - VARIANTA 2 Samostatný zvýhodněný úvěr</w:t>
      </w:r>
      <w:bookmarkEnd w:id="128"/>
    </w:p>
    <w:p w:rsidR="00A21615" w:rsidRDefault="000252FB" w:rsidP="000252FB">
      <w:pPr>
        <w:rPr>
          <w:rFonts w:eastAsia="Arial"/>
          <w:b/>
        </w:rPr>
      </w:pPr>
      <w:r w:rsidRPr="00E53A48">
        <w:rPr>
          <w:rFonts w:eastAsia="Arial"/>
          <w:b/>
        </w:rPr>
        <w:t>Návrh konkrétních parametrů nastavení finančního nástroje reflektuje současné podmínky České republiky a sledovaného sektoru rezidenčního bydlení bytových domů. V případě významných změn ve vývoji ekonomiky</w:t>
      </w:r>
      <w:r>
        <w:rPr>
          <w:rFonts w:eastAsia="Arial"/>
          <w:b/>
        </w:rPr>
        <w:t xml:space="preserve"> a finančního sektoru ČR</w:t>
      </w:r>
      <w:r w:rsidRPr="00E53A48">
        <w:rPr>
          <w:rFonts w:eastAsia="Arial"/>
          <w:b/>
        </w:rPr>
        <w:t xml:space="preserve"> a EU, případně </w:t>
      </w:r>
      <w:r>
        <w:rPr>
          <w:rFonts w:eastAsia="Arial"/>
          <w:b/>
        </w:rPr>
        <w:t xml:space="preserve">s ohledem na zaostávání očekávání </w:t>
      </w:r>
      <w:r w:rsidRPr="00E53A48">
        <w:rPr>
          <w:rFonts w:eastAsia="Arial"/>
          <w:b/>
        </w:rPr>
        <w:t xml:space="preserve">co se tempa čerpání a zájmu o nástroj (ze strany příjemců, ze strany spolufinancujících subjektů) týká, je nutné revidovat nastavení nástroje a případně </w:t>
      </w:r>
      <w:r>
        <w:rPr>
          <w:rFonts w:eastAsia="Arial"/>
          <w:b/>
        </w:rPr>
        <w:t>parametry</w:t>
      </w:r>
      <w:r w:rsidRPr="00E53A48">
        <w:rPr>
          <w:rFonts w:eastAsia="Arial"/>
          <w:b/>
        </w:rPr>
        <w:t xml:space="preserve"> upravit.</w:t>
      </w:r>
    </w:p>
    <w:p w:rsidR="00A21615" w:rsidRDefault="00A21615">
      <w:pPr>
        <w:spacing w:after="0"/>
        <w:jc w:val="left"/>
        <w:rPr>
          <w:rFonts w:eastAsia="Arial"/>
          <w:b/>
        </w:rPr>
      </w:pPr>
      <w:r>
        <w:rPr>
          <w:rFonts w:eastAsia="Arial"/>
          <w:b/>
        </w:rPr>
        <w:br w:type="page"/>
      </w:r>
    </w:p>
    <w:p w:rsidR="000252FB" w:rsidRPr="00E53A48" w:rsidRDefault="000252FB" w:rsidP="000252FB">
      <w:pPr>
        <w:rPr>
          <w:rFonts w:eastAsia="Arial"/>
          <w:b/>
        </w:rPr>
      </w:pPr>
    </w:p>
    <w:p w:rsidR="00325494" w:rsidRDefault="00325494" w:rsidP="00DA246E">
      <w:pPr>
        <w:pStyle w:val="Nadpis3"/>
        <w:rPr>
          <w:rFonts w:eastAsia="Arial"/>
        </w:rPr>
      </w:pPr>
      <w:bookmarkStart w:id="129" w:name="_Toc418767162"/>
      <w:r>
        <w:rPr>
          <w:rFonts w:eastAsia="Arial"/>
        </w:rPr>
        <w:t>Zhodnocení variant fungování finančního nástroje</w:t>
      </w:r>
      <w:bookmarkEnd w:id="129"/>
    </w:p>
    <w:p w:rsidR="00325494" w:rsidRDefault="00441074" w:rsidP="00325494">
      <w:pPr>
        <w:rPr>
          <w:rFonts w:eastAsia="Arial"/>
        </w:rPr>
      </w:pPr>
      <w:r>
        <w:rPr>
          <w:rFonts w:eastAsia="Arial"/>
        </w:rPr>
        <w:t>Výše popisované varianty finančních úvěrových nástrojů jsou využitelné pro specifický cíl 2.5 IROP, avšak podstatně se liší ve výhodách a nevýhodách jednotlivých řešení. Níže dodavatel sumarizuje klíčové závěry k oběma variantám, které by měl ŘO před vydáním rozhodnutí zvážit.</w:t>
      </w:r>
    </w:p>
    <w:tbl>
      <w:tblPr>
        <w:tblStyle w:val="Deloittetable1"/>
        <w:tblW w:w="0" w:type="auto"/>
        <w:tblLook w:val="04A0" w:firstRow="1" w:lastRow="0" w:firstColumn="1" w:lastColumn="0" w:noHBand="0" w:noVBand="1"/>
      </w:tblPr>
      <w:tblGrid>
        <w:gridCol w:w="454"/>
        <w:gridCol w:w="4336"/>
        <w:gridCol w:w="4336"/>
      </w:tblGrid>
      <w:tr w:rsidR="00441074" w:rsidRPr="004843FD" w:rsidTr="00D564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 w:type="dxa"/>
            <w:tcBorders>
              <w:bottom w:val="single" w:sz="4" w:space="0" w:color="92D400"/>
            </w:tcBorders>
          </w:tcPr>
          <w:p w:rsidR="00441074" w:rsidRPr="004843FD" w:rsidRDefault="00441074" w:rsidP="00D655A7">
            <w:pPr>
              <w:rPr>
                <w:szCs w:val="16"/>
              </w:rPr>
            </w:pPr>
          </w:p>
        </w:tc>
        <w:tc>
          <w:tcPr>
            <w:tcW w:w="4336" w:type="dxa"/>
          </w:tcPr>
          <w:p w:rsidR="00441074" w:rsidRPr="004843FD" w:rsidRDefault="00441074" w:rsidP="00184EA4">
            <w:pPr>
              <w:jc w:val="center"/>
              <w:cnfStyle w:val="100000000000" w:firstRow="1" w:lastRow="0" w:firstColumn="0" w:lastColumn="0" w:oddVBand="0" w:evenVBand="0" w:oddHBand="0" w:evenHBand="0" w:firstRowFirstColumn="0" w:firstRowLastColumn="0" w:lastRowFirstColumn="0" w:lastRowLastColumn="0"/>
              <w:rPr>
                <w:szCs w:val="16"/>
              </w:rPr>
            </w:pPr>
            <w:r>
              <w:rPr>
                <w:szCs w:val="16"/>
              </w:rPr>
              <w:t xml:space="preserve">Varianta 1 – </w:t>
            </w:r>
            <w:r w:rsidR="00184EA4">
              <w:rPr>
                <w:szCs w:val="16"/>
              </w:rPr>
              <w:t>Společně poskytovaný</w:t>
            </w:r>
            <w:r>
              <w:rPr>
                <w:szCs w:val="16"/>
              </w:rPr>
              <w:t xml:space="preserve"> úvěr</w:t>
            </w:r>
          </w:p>
        </w:tc>
        <w:tc>
          <w:tcPr>
            <w:tcW w:w="4336" w:type="dxa"/>
          </w:tcPr>
          <w:p w:rsidR="00441074" w:rsidRPr="004843FD" w:rsidRDefault="00441074" w:rsidP="00543866">
            <w:pPr>
              <w:jc w:val="center"/>
              <w:cnfStyle w:val="100000000000" w:firstRow="1" w:lastRow="0" w:firstColumn="0" w:lastColumn="0" w:oddVBand="0" w:evenVBand="0" w:oddHBand="0" w:evenHBand="0" w:firstRowFirstColumn="0" w:firstRowLastColumn="0" w:lastRowFirstColumn="0" w:lastRowLastColumn="0"/>
              <w:rPr>
                <w:szCs w:val="16"/>
              </w:rPr>
            </w:pPr>
            <w:r>
              <w:rPr>
                <w:szCs w:val="16"/>
              </w:rPr>
              <w:t xml:space="preserve">Varianta 2 – </w:t>
            </w:r>
            <w:r w:rsidR="00543866">
              <w:rPr>
                <w:szCs w:val="16"/>
              </w:rPr>
              <w:t>Zvýhodněný</w:t>
            </w:r>
            <w:r>
              <w:rPr>
                <w:szCs w:val="16"/>
              </w:rPr>
              <w:t xml:space="preserve"> úvěr</w:t>
            </w:r>
          </w:p>
        </w:tc>
      </w:tr>
      <w:tr w:rsidR="003407B7" w:rsidRPr="004843FD" w:rsidTr="00D655A7">
        <w:trPr>
          <w:cantSplit/>
          <w:trHeight w:val="1134"/>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92D400"/>
            </w:tcBorders>
            <w:shd w:val="clear" w:color="auto" w:fill="D9FF87" w:themeFill="accent2" w:themeFillTint="66"/>
            <w:textDirection w:val="btLr"/>
          </w:tcPr>
          <w:p w:rsidR="003407B7" w:rsidRPr="004843FD" w:rsidRDefault="003407B7" w:rsidP="00D655A7">
            <w:pPr>
              <w:ind w:left="113" w:right="113"/>
              <w:jc w:val="center"/>
              <w:rPr>
                <w:b/>
                <w:szCs w:val="16"/>
              </w:rPr>
            </w:pPr>
            <w:r w:rsidRPr="004843FD">
              <w:rPr>
                <w:b/>
                <w:szCs w:val="16"/>
              </w:rPr>
              <w:t>Výhody</w:t>
            </w:r>
          </w:p>
        </w:tc>
        <w:tc>
          <w:tcPr>
            <w:tcW w:w="4336" w:type="dxa"/>
          </w:tcPr>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Využití pákového efektu a možnost podpory vyššího počtu projektu s výchozí alokací – potenciál uspokojení podstatného podílu identifikované investiční potřeby</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Předpoklad vyššího příspěvku pro plnění vytyčených cílů IROP v rámci SC 2.5, resp. ČR v rámci směrnice o energetické účinnosti</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Vyšší motivační (aktivizační) potenciál pro konečného příjemce, možnost poskytnutí podpory až do výše 100% způsobilé investice</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Fungování po boku bankovního sektoru, minimalizace rizika efektu vytěsnění</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Vyšší reálná dostupnost v území, možnost využití více spolupracujících bank současně</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Potenciál rychlého čerpání, zvýhodněný úvěr může být aktivně nabízen více subjekty souběžně, možnost vybudovat vyšší povědomí u konečných příjemců</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Významná diversifikace rizika pro případ nesrovnalostí či schopností zapojeného subjektu plnit svoji roli – zapojeno je více bank paralelně</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Nároky na vybudování administrativních kapacit nižší, řada povinností řešena přímo zapojenými bankami</w:t>
            </w:r>
          </w:p>
          <w:p w:rsidR="00690381" w:rsidRPr="0028118F" w:rsidRDefault="00FB4519" w:rsidP="00DB376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Výhoda využití fungujícího a standardizovaného řešení úvěrového procesu dle know-how soukromého sektoru</w:t>
            </w:r>
          </w:p>
        </w:tc>
        <w:tc>
          <w:tcPr>
            <w:tcW w:w="4336" w:type="dxa"/>
          </w:tcPr>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Přímá zkušenost v současném období s programem JESSICA, možné částečné zužitkování existujících nastavení procesů</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Potenciál rychlejší připravenosti na spuštění čerpání, menší potřeba přípravy (především pokud varianta bez zapojení spol. subjektu)</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Možnost dosažení nižší úrokové míry pro konečného příjemce (např. pouze ve výši aktuálně platné referenční sazby)</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Možnost podpoření i více rizikových projektů skrze nastavení vlastního „liberálnějšího“ ratingu a požadavků na ručení</w:t>
            </w:r>
          </w:p>
          <w:p w:rsidR="00684788" w:rsidRPr="004843FD" w:rsidRDefault="00FB4519" w:rsidP="00DB376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Varianta vhodnější pro případ omezeného pilotního ověření zájmu o finanční nástroj</w:t>
            </w:r>
          </w:p>
        </w:tc>
      </w:tr>
      <w:tr w:rsidR="003407B7" w:rsidRPr="004843FD" w:rsidTr="00D655A7">
        <w:trPr>
          <w:cantSplit/>
          <w:trHeight w:val="1134"/>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92D400"/>
            </w:tcBorders>
            <w:shd w:val="clear" w:color="auto" w:fill="D9FF87" w:themeFill="accent2" w:themeFillTint="66"/>
            <w:textDirection w:val="btLr"/>
          </w:tcPr>
          <w:p w:rsidR="003407B7" w:rsidRPr="004843FD" w:rsidRDefault="003407B7" w:rsidP="00D655A7">
            <w:pPr>
              <w:ind w:left="113" w:right="113"/>
              <w:jc w:val="center"/>
              <w:rPr>
                <w:b/>
                <w:szCs w:val="16"/>
              </w:rPr>
            </w:pPr>
            <w:r w:rsidRPr="004843FD">
              <w:rPr>
                <w:b/>
                <w:szCs w:val="16"/>
              </w:rPr>
              <w:t>Nevýhody</w:t>
            </w:r>
          </w:p>
        </w:tc>
        <w:tc>
          <w:tcPr>
            <w:tcW w:w="4336" w:type="dxa"/>
          </w:tcPr>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Inovativní řešení, potřeba vyjasnění řady technických a procesních bodů (možná inspirace zahraničí, kde model již fungoval)</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Požadavek delší přípravy před zahájením čerpání, vyjasnění řady technických detailů možné rámcové spolupráce s bankami</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Ve srovnání s druhou variantou nabídka mírně vyšší úrokové sazby pro konečného příjemce z důvodu „poolování“ peněz s bankami za jejich komerčních podmínek</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Předpoklad náročnějšího způsobu provádění monitoringu, reportingu a kontroly z důvodu vyššího počtu zapojených subjektů</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Omezená šance podpořit více rizikové projekty, rating, požadavky na ručení a rozhodnutí o podpoře projektu primárně v rukou bank</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Varianta méně vhodná pro případ omezeného pilotního ověření zájmu o finanční nástroj, banky deklarují zájem se zapojit, pouze pokud bude poskytování podpory dlouhodobé a v dostatečném objemu (alespoň 1 mld. Kč na jednu zapojenou banku)</w:t>
            </w:r>
          </w:p>
          <w:p w:rsidR="00986446" w:rsidRPr="004843FD" w:rsidRDefault="00FB4519" w:rsidP="00DB376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Nutné vyjasnit s ÚOHS, zda je možné využít volné rámcové spolupráce s bankovními domy bez nutnosti veřejné zakázky (koncesní řízení)</w:t>
            </w:r>
          </w:p>
        </w:tc>
        <w:tc>
          <w:tcPr>
            <w:tcW w:w="4336" w:type="dxa"/>
          </w:tcPr>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Nevyvolává přímý pákový efekt, v důsledku nižší počet podpořených projektů přímo v programovém období, nižší dopad na snížení objemu investiční potřeby</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sidRPr="009A17F1">
              <w:rPr>
                <w:szCs w:val="16"/>
              </w:rPr>
              <w:t>Předpoklad „pouze základního“ příspěvku pro plnění vytyčených cílů IROP v rámci SC 2.5, resp. ČR v rámci směrnice o energetické účinnosti</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 xml:space="preserve">Nižší motivační (aktivizační) potenciál pro příjemce – krytí způsobilých výdajů 70%/90%, nutnost zabezpečit nepokrytou část </w:t>
            </w:r>
          </w:p>
          <w:p w:rsidR="00FB4519" w:rsidRPr="009A17F1"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sidRPr="009A17F1">
              <w:rPr>
                <w:szCs w:val="16"/>
              </w:rPr>
              <w:t xml:space="preserve">V zájmu aktivizace vyšší podíl ESIF zdrojů na projektu, než by bylo nutné, hrozí efekt vytěsnění klasických bankovních domů </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Omezená dostupnost v území, jak za předpokladu spolupráce s jednou bankou, tak v případě realizace varianty bez zapojení spolufinancujícího subjektu</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Lze předpokládat pomalejší tempo čerpání, do informování konečných příjemců zapojen jeden či dva subjekty, omezený potenciál vybudovat reálné povědomí u kon</w:t>
            </w:r>
            <w:r w:rsidR="00A21615">
              <w:rPr>
                <w:szCs w:val="16"/>
              </w:rPr>
              <w:t>ečných</w:t>
            </w:r>
            <w:r>
              <w:rPr>
                <w:szCs w:val="16"/>
              </w:rPr>
              <w:t>příjemců</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Vyšší míra rizika ohrožení čerpání v případě, že dojde na nesrovnalost</w:t>
            </w:r>
            <w:r w:rsidR="00A21615">
              <w:rPr>
                <w:szCs w:val="16"/>
              </w:rPr>
              <w:t>i</w:t>
            </w:r>
            <w:r>
              <w:rPr>
                <w:szCs w:val="16"/>
              </w:rPr>
              <w:t xml:space="preserve"> či schopností zapojeného subjektu plnit svoji roli – čerpání zabezpečuje pouze správce fondu, příp. spolu s jednou soutěží vybranou bankou</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Vyšší nároky na vybudování administrativních kapacit, vyšší podíl povinností na ŘO/Fondu</w:t>
            </w:r>
          </w:p>
          <w:p w:rsidR="003407B7" w:rsidRPr="004843FD" w:rsidRDefault="00FB4519" w:rsidP="00DB376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Potřeba nastavení standardizovaného řešení úvěrového procesu (varianta bez zapojení banky)</w:t>
            </w:r>
          </w:p>
        </w:tc>
      </w:tr>
    </w:tbl>
    <w:p w:rsidR="00441074" w:rsidRDefault="00103140" w:rsidP="00103140">
      <w:pPr>
        <w:pStyle w:val="Titulek"/>
      </w:pPr>
      <w:bookmarkStart w:id="130" w:name="_Toc417655510"/>
      <w:r>
        <w:t xml:space="preserve">Tabulka </w:t>
      </w:r>
      <w:r>
        <w:fldChar w:fldCharType="begin"/>
      </w:r>
      <w:r>
        <w:instrText xml:space="preserve"> SEQ Tabulka \* ARABIC </w:instrText>
      </w:r>
      <w:r>
        <w:fldChar w:fldCharType="separate"/>
      </w:r>
      <w:r w:rsidR="007813A3">
        <w:rPr>
          <w:noProof/>
        </w:rPr>
        <w:t>12</w:t>
      </w:r>
      <w:r>
        <w:fldChar w:fldCharType="end"/>
      </w:r>
      <w:r>
        <w:t>: Shrnutí výhod a nevýhod jednotlivých variant nastavení úvěrového finančního nástroje</w:t>
      </w:r>
      <w:bookmarkEnd w:id="130"/>
    </w:p>
    <w:p w:rsidR="00DB3767" w:rsidRDefault="00DB3767" w:rsidP="00DB3767">
      <w:pPr>
        <w:rPr>
          <w:rFonts w:eastAsia="Arial"/>
        </w:rPr>
      </w:pPr>
      <w:r>
        <w:rPr>
          <w:rFonts w:eastAsia="Arial"/>
        </w:rPr>
        <w:t xml:space="preserve">Volba mezi uvedenými variantami je indiferentní co se výše vyplaceného management fee týče, ani jedna varianta nepočítá s výplatou této odměny zapojeným spolufinancujícím subjektům.  </w:t>
      </w:r>
    </w:p>
    <w:p w:rsidR="00DA246E" w:rsidRDefault="00DA246E" w:rsidP="00DA246E">
      <w:pPr>
        <w:pStyle w:val="Nadpis3"/>
        <w:rPr>
          <w:rFonts w:eastAsia="Arial"/>
        </w:rPr>
      </w:pPr>
      <w:bookmarkStart w:id="131" w:name="_Toc418767163"/>
      <w:r w:rsidRPr="00DA246E">
        <w:rPr>
          <w:rFonts w:eastAsia="Arial"/>
        </w:rPr>
        <w:t>Typický příklad – srovnání dotační podpory a zvýhodněného úvěru</w:t>
      </w:r>
      <w:bookmarkEnd w:id="131"/>
    </w:p>
    <w:p w:rsidR="00D145EC" w:rsidRDefault="00D145EC" w:rsidP="00324593">
      <w:pPr>
        <w:rPr>
          <w:rFonts w:eastAsia="Arial"/>
        </w:rPr>
      </w:pPr>
      <w:r>
        <w:rPr>
          <w:rFonts w:eastAsia="Arial"/>
        </w:rPr>
        <w:t>Dodavatel využil atributů v minulosti typicky podpořeného projektu sledovaného zaměření a provedl modelové srovnání mezi čtyřmi různými kombinacemi financování.</w:t>
      </w:r>
    </w:p>
    <w:p w:rsidR="00D145EC" w:rsidRDefault="00D145EC" w:rsidP="00D145EC">
      <w:r>
        <w:rPr>
          <w:rFonts w:eastAsia="Arial"/>
        </w:rPr>
        <w:t xml:space="preserve">Výsledky jsou shrnuty v následující tabulce. </w:t>
      </w:r>
      <w:r>
        <w:t>Je plně na řídícím orgánu, aby si vyhodnotil, jakou míru podpory chce žadateli poskytovat, resp. na dosažení jaké cílové doby návratnosti či vnitřního výnosového procenta se chce skrze podporou IROP zaměřovat.</w:t>
      </w:r>
    </w:p>
    <w:p w:rsidR="00324593" w:rsidRDefault="00D145EC" w:rsidP="00324593">
      <w:pPr>
        <w:rPr>
          <w:rFonts w:eastAsia="Arial"/>
        </w:rPr>
      </w:pPr>
      <w:r>
        <w:rPr>
          <w:rFonts w:eastAsia="Arial"/>
          <w:noProof/>
          <w:lang w:eastAsia="cs-CZ"/>
        </w:rPr>
        <w:drawing>
          <wp:inline distT="0" distB="0" distL="0" distR="0" wp14:anchorId="70143FB3" wp14:editId="53DC9B1B">
            <wp:extent cx="5753819" cy="1548401"/>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8627" cy="1549695"/>
                    </a:xfrm>
                    <a:prstGeom prst="rect">
                      <a:avLst/>
                    </a:prstGeom>
                    <a:noFill/>
                  </pic:spPr>
                </pic:pic>
              </a:graphicData>
            </a:graphic>
          </wp:inline>
        </w:drawing>
      </w:r>
    </w:p>
    <w:p w:rsidR="00324593" w:rsidRDefault="002C47A9" w:rsidP="002C47A9">
      <w:pPr>
        <w:pStyle w:val="Titulek"/>
      </w:pPr>
      <w:bookmarkStart w:id="132" w:name="_Toc417655511"/>
      <w:r>
        <w:t xml:space="preserve">Tabulka </w:t>
      </w:r>
      <w:r>
        <w:fldChar w:fldCharType="begin"/>
      </w:r>
      <w:r>
        <w:instrText xml:space="preserve"> SEQ Tabulka \* ARABIC </w:instrText>
      </w:r>
      <w:r>
        <w:fldChar w:fldCharType="separate"/>
      </w:r>
      <w:r w:rsidR="007813A3">
        <w:rPr>
          <w:noProof/>
        </w:rPr>
        <w:t>13</w:t>
      </w:r>
      <w:r>
        <w:fldChar w:fldCharType="end"/>
      </w:r>
      <w:r>
        <w:t>: Rozbor ekonomických dopadů na příjemce podpory typického projektu</w:t>
      </w:r>
      <w:bookmarkEnd w:id="132"/>
    </w:p>
    <w:p w:rsidR="00186A76" w:rsidRDefault="00186A76" w:rsidP="00DB3767">
      <w:pPr>
        <w:rPr>
          <w:rFonts w:eastAsia="Arial"/>
        </w:rPr>
      </w:pPr>
      <w:r>
        <w:rPr>
          <w:rFonts w:eastAsia="Arial"/>
        </w:rPr>
        <w:t xml:space="preserve">Podkladem pro rozhodování </w:t>
      </w:r>
      <w:r w:rsidR="00300907">
        <w:rPr>
          <w:rFonts w:eastAsia="Arial"/>
        </w:rPr>
        <w:t xml:space="preserve">řídícího orgánu </w:t>
      </w:r>
      <w:r>
        <w:rPr>
          <w:rFonts w:eastAsia="Arial"/>
        </w:rPr>
        <w:t>může být výsledek dotazníkového šetření, který naznačuje, jakých potenciálních energetických úspor mohou projekty dosahovat. Nejtypičtějšími cílovými úsporami lze předpokládat hodnoty v rozmezí 30-50% současné spotřeby energie – viz grafické znázornění.</w:t>
      </w:r>
    </w:p>
    <w:p w:rsidR="00186A76" w:rsidRDefault="00A874B9" w:rsidP="00DB3767">
      <w:pPr>
        <w:rPr>
          <w:rFonts w:eastAsia="Arial"/>
        </w:rPr>
      </w:pPr>
      <w:r w:rsidRPr="00A874B9">
        <w:rPr>
          <w:noProof/>
          <w:lang w:eastAsia="cs-CZ"/>
        </w:rPr>
        <w:drawing>
          <wp:inline distT="0" distB="0" distL="0" distR="0" wp14:anchorId="513735FF" wp14:editId="4E1F53A6">
            <wp:extent cx="5759450" cy="2959938"/>
            <wp:effectExtent l="0" t="0" r="0" b="0"/>
            <wp:docPr id="7181" name="Obrázek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59450" cy="2959938"/>
                    </a:xfrm>
                    <a:prstGeom prst="rect">
                      <a:avLst/>
                    </a:prstGeom>
                  </pic:spPr>
                </pic:pic>
              </a:graphicData>
            </a:graphic>
          </wp:inline>
        </w:drawing>
      </w:r>
    </w:p>
    <w:p w:rsidR="00324593" w:rsidRPr="00324593" w:rsidRDefault="00186A76" w:rsidP="007E0F4E">
      <w:pPr>
        <w:pStyle w:val="Titulek"/>
        <w:rPr>
          <w:rFonts w:eastAsia="Arial"/>
        </w:rPr>
      </w:pPr>
      <w:bookmarkStart w:id="133" w:name="_Toc417655531"/>
      <w:r>
        <w:t xml:space="preserve">Obrázek </w:t>
      </w:r>
      <w:r>
        <w:rPr>
          <w:b w:val="0"/>
          <w:bCs w:val="0"/>
        </w:rPr>
        <w:fldChar w:fldCharType="begin"/>
      </w:r>
      <w:r>
        <w:instrText xml:space="preserve"> SEQ Obrázek \* ARABIC </w:instrText>
      </w:r>
      <w:r>
        <w:rPr>
          <w:b w:val="0"/>
          <w:bCs w:val="0"/>
        </w:rPr>
        <w:fldChar w:fldCharType="separate"/>
      </w:r>
      <w:r w:rsidR="00337437">
        <w:rPr>
          <w:noProof/>
        </w:rPr>
        <w:t>17</w:t>
      </w:r>
      <w:r>
        <w:rPr>
          <w:b w:val="0"/>
          <w:bCs w:val="0"/>
        </w:rPr>
        <w:fldChar w:fldCharType="end"/>
      </w:r>
      <w:r>
        <w:t>:</w:t>
      </w:r>
      <w:r w:rsidRPr="00186A76">
        <w:t xml:space="preserve"> </w:t>
      </w:r>
      <w:r>
        <w:t>Závěry dotazníkového šetření Deloitte – odhad výše generovaných úspor projektem</w:t>
      </w:r>
      <w:bookmarkEnd w:id="133"/>
    </w:p>
    <w:p w:rsidR="00DA246E" w:rsidRDefault="00DA246E" w:rsidP="00DA246E">
      <w:bookmarkStart w:id="134" w:name="_Toc406031198"/>
      <w:bookmarkStart w:id="135" w:name="_Toc409637252"/>
    </w:p>
    <w:bookmarkEnd w:id="134"/>
    <w:bookmarkEnd w:id="135"/>
    <w:p w:rsidR="0077225E" w:rsidRPr="00DA246E" w:rsidRDefault="0077225E" w:rsidP="00DA246E">
      <w:pPr>
        <w:spacing w:after="0"/>
        <w:jc w:val="left"/>
      </w:pPr>
    </w:p>
    <w:p w:rsidR="0077225E" w:rsidRDefault="0077225E" w:rsidP="0077225E">
      <w:pPr>
        <w:pStyle w:val="Nadpis3"/>
      </w:pPr>
      <w:bookmarkStart w:id="136" w:name="_Toc400580851"/>
      <w:r>
        <w:br w:type="page"/>
      </w:r>
    </w:p>
    <w:p w:rsidR="0077225E" w:rsidRPr="0064205B" w:rsidRDefault="0077225E" w:rsidP="0077225E">
      <w:pPr>
        <w:pStyle w:val="Nadpis2"/>
      </w:pPr>
      <w:bookmarkStart w:id="137" w:name="_Toc418767164"/>
      <w:r>
        <w:t>M</w:t>
      </w:r>
      <w:r w:rsidRPr="0064205B">
        <w:t>ožnost</w:t>
      </w:r>
      <w:r>
        <w:t>i</w:t>
      </w:r>
      <w:r w:rsidRPr="0064205B">
        <w:t xml:space="preserve"> propojení se stávajícími finančními nástroji</w:t>
      </w:r>
      <w:r>
        <w:t xml:space="preserve"> a podporami</w:t>
      </w:r>
      <w:bookmarkEnd w:id="137"/>
    </w:p>
    <w:bookmarkEnd w:id="136"/>
    <w:p w:rsidR="0077225E" w:rsidRDefault="0077225E" w:rsidP="0077225E">
      <w:pPr>
        <w:rPr>
          <w:rFonts w:eastAsia="Arial"/>
        </w:rPr>
      </w:pPr>
      <w:r>
        <w:rPr>
          <w:rFonts w:eastAsia="Arial"/>
        </w:rPr>
        <w:t xml:space="preserve">V rámci analýzy tržních charakteristik bylo dodavatelem identifikováno několik programů podpory evropských či národních zdrojů, které měly příbuzné či shodné zaměření, jaké je připravováno pro sledované oblasti podpory </w:t>
      </w:r>
      <w:r w:rsidR="00F5709A">
        <w:rPr>
          <w:rFonts w:eastAsia="Arial"/>
        </w:rPr>
        <w:t>IROP</w:t>
      </w:r>
      <w:r>
        <w:rPr>
          <w:rFonts w:eastAsia="Arial"/>
        </w:rPr>
        <w:t>. Tyto tzv. „třecí plochy“ je nutné sledovat a koordinovat tak, aby byly zabezpečeny komplementární a s</w:t>
      </w:r>
      <w:r w:rsidR="00A74F2C">
        <w:rPr>
          <w:rFonts w:eastAsia="Arial"/>
        </w:rPr>
        <w:t>ynergické vazby mezi plánovaným finančním nástrojem</w:t>
      </w:r>
      <w:r>
        <w:rPr>
          <w:rFonts w:eastAsia="Arial"/>
        </w:rPr>
        <w:t xml:space="preserve"> </w:t>
      </w:r>
      <w:r w:rsidR="00F5709A">
        <w:rPr>
          <w:rFonts w:eastAsia="Arial"/>
        </w:rPr>
        <w:t>IROP</w:t>
      </w:r>
      <w:r>
        <w:rPr>
          <w:rFonts w:eastAsia="Arial"/>
        </w:rPr>
        <w:t xml:space="preserve"> a paralelně fungující stejně či obdobně cílenou podporou.</w:t>
      </w:r>
    </w:p>
    <w:p w:rsidR="0077225E" w:rsidRDefault="0077225E" w:rsidP="0077225E">
      <w:pPr>
        <w:rPr>
          <w:rFonts w:eastAsia="Arial"/>
        </w:rPr>
      </w:pPr>
      <w:r>
        <w:rPr>
          <w:rFonts w:eastAsia="Arial"/>
        </w:rPr>
        <w:t>V další části této kapitoly dodavatel přehledně popisuje „třecí plochy“, ke kterým uvádí klíčová zjištění, závěry a doporučení, co se zabezpečení vhodné formy propojení týká.</w:t>
      </w:r>
    </w:p>
    <w:p w:rsidR="0077225E" w:rsidRDefault="0077225E" w:rsidP="0077225E">
      <w:pPr>
        <w:pStyle w:val="CaptionIntroductionparagraph"/>
      </w:pPr>
      <w:r>
        <w:t xml:space="preserve">Možnosti propojení se stávajícími podporami – </w:t>
      </w:r>
      <w:r w:rsidR="00901448" w:rsidRPr="00901448">
        <w:t>finanční nástroj JESSICA</w:t>
      </w:r>
    </w:p>
    <w:p w:rsidR="00A74F2C" w:rsidRDefault="004E6B5F" w:rsidP="0077225E">
      <w:pPr>
        <w:rPr>
          <w:rFonts w:eastAsia="Arial"/>
        </w:rPr>
      </w:pPr>
      <w:r>
        <w:rPr>
          <w:rFonts w:eastAsia="Arial"/>
        </w:rPr>
        <w:t>Specifický cíl 2.5 IROP a oblast podpory programu JESSICA vykazují velmi podstatný obsahový přesah, nicméně zatím není zřejmé, zda dojde k </w:t>
      </w:r>
      <w:r w:rsidR="0019319B">
        <w:rPr>
          <w:rFonts w:eastAsia="Arial"/>
        </w:rPr>
        <w:t>časovému</w:t>
      </w:r>
      <w:r>
        <w:rPr>
          <w:rFonts w:eastAsia="Arial"/>
        </w:rPr>
        <w:t xml:space="preserve"> překryvu. Čerpání z nového finančního nástroje IROP bude v případě dodržení klíčových milníků dle akčního plánu (kapitola 5.2.9) možné zahájit v roce 2016, zatímco působnost JESSICA končí rokem 2015.</w:t>
      </w:r>
    </w:p>
    <w:p w:rsidR="0019319B" w:rsidRDefault="004E6B5F" w:rsidP="0077225E">
      <w:pPr>
        <w:rPr>
          <w:rFonts w:eastAsia="Arial"/>
        </w:rPr>
      </w:pPr>
      <w:r>
        <w:rPr>
          <w:rFonts w:eastAsia="Arial"/>
        </w:rPr>
        <w:t xml:space="preserve">Program JESSICA funguje na revolvingovém charakteru, tedy prostředky je možné (a vhodné) využívat na stejné </w:t>
      </w:r>
      <w:r w:rsidR="0019319B">
        <w:rPr>
          <w:rFonts w:eastAsia="Arial"/>
        </w:rPr>
        <w:t xml:space="preserve">či obdobné </w:t>
      </w:r>
      <w:r>
        <w:rPr>
          <w:rFonts w:eastAsia="Arial"/>
        </w:rPr>
        <w:t xml:space="preserve">účely opakovaně – ke konci roku 2015 lze očekávat, že holdingový fond bude disponovat navráceným objemem prostředků ve výši 25-30 mil. Kč s tím, že v dalších letech se budou tyto zdroje dále kumulovat. Pokud by došlo k obnovení poskytování podpory na stejném půdorysu jako doposud, což je logické a žádoucí, mělo by dojít ke koordinaci s IROP tak, aby bylo možné z paralelního běhu obou programu těžit synergické efekty. </w:t>
      </w:r>
    </w:p>
    <w:p w:rsidR="004E6B5F" w:rsidRDefault="004E6B5F" w:rsidP="0077225E">
      <w:pPr>
        <w:rPr>
          <w:rFonts w:eastAsia="Arial"/>
          <w:b/>
        </w:rPr>
      </w:pPr>
      <w:r w:rsidRPr="0019319B">
        <w:rPr>
          <w:rFonts w:eastAsia="Arial"/>
          <w:b/>
        </w:rPr>
        <w:t>Jednou z možností této „spolupráce“ je, že by program JESSICA podporoval opatření investičních projektů IROP, které by nespadaly mezi způsobilé výdaje programu, nicméně je logické a účelné tyto realizovat spolu s investicí (případně je ani nelze oddělit). Tímto způsobem by bylo možné zvýšit podíl způsobilých výdajů projekt</w:t>
      </w:r>
      <w:r w:rsidR="0019319B" w:rsidRPr="0019319B">
        <w:rPr>
          <w:rFonts w:eastAsia="Arial"/>
          <w:b/>
        </w:rPr>
        <w:t>u</w:t>
      </w:r>
      <w:r w:rsidRPr="0019319B">
        <w:rPr>
          <w:rFonts w:eastAsia="Arial"/>
          <w:b/>
        </w:rPr>
        <w:t xml:space="preserve"> (z</w:t>
      </w:r>
      <w:r w:rsidR="0019319B" w:rsidRPr="0019319B">
        <w:rPr>
          <w:rFonts w:eastAsia="Arial"/>
          <w:b/>
        </w:rPr>
        <w:t>apojením dvou programů podpory)</w:t>
      </w:r>
      <w:r w:rsidRPr="0019319B">
        <w:rPr>
          <w:rFonts w:eastAsia="Arial"/>
          <w:b/>
        </w:rPr>
        <w:t xml:space="preserve"> a dosáhnout vyšší míry aktivované poptávky.</w:t>
      </w:r>
    </w:p>
    <w:p w:rsidR="00557600" w:rsidRDefault="00C777B9" w:rsidP="0077225E">
      <w:pPr>
        <w:rPr>
          <w:rFonts w:eastAsia="Arial"/>
          <w:b/>
        </w:rPr>
      </w:pPr>
      <w:r>
        <w:rPr>
          <w:rFonts w:eastAsia="Arial"/>
          <w:b/>
        </w:rPr>
        <w:t xml:space="preserve">V tomto bodě je klíčové uvést, že je nutné </w:t>
      </w:r>
      <w:r w:rsidR="00984FA9">
        <w:rPr>
          <w:rFonts w:eastAsia="Arial"/>
          <w:b/>
        </w:rPr>
        <w:t>koordinovat</w:t>
      </w:r>
      <w:r>
        <w:rPr>
          <w:rFonts w:eastAsia="Arial"/>
          <w:b/>
        </w:rPr>
        <w:t>, aby nedošlo ke schizmatu</w:t>
      </w:r>
      <w:r w:rsidR="00984FA9">
        <w:rPr>
          <w:rFonts w:eastAsia="Arial"/>
          <w:b/>
        </w:rPr>
        <w:t>,</w:t>
      </w:r>
      <w:r>
        <w:rPr>
          <w:rFonts w:eastAsia="Arial"/>
          <w:b/>
        </w:rPr>
        <w:t xml:space="preserve"> co se zvoleného formátu podpory týče</w:t>
      </w:r>
      <w:r w:rsidR="00EA39FA">
        <w:rPr>
          <w:rFonts w:eastAsia="Arial"/>
          <w:b/>
        </w:rPr>
        <w:t>. Pokud by se řídící orgán rozhodnul poskytovat SC 2.5 prostou dotační formou či zvýhodněný úvěr za velmi významného zapojení dotační složky, pak významně oslabuje potenciální zájem žadatelů o pokračování programu JESSICA</w:t>
      </w:r>
      <w:r w:rsidR="00A21615">
        <w:rPr>
          <w:rFonts w:eastAsia="Arial"/>
          <w:b/>
        </w:rPr>
        <w:t xml:space="preserve">. </w:t>
      </w:r>
      <w:r w:rsidR="00984FA9">
        <w:rPr>
          <w:rFonts w:eastAsia="Arial"/>
          <w:b/>
        </w:rPr>
        <w:t>Taková situace by působila značně demotivačně, vedla by k problémům s absorpcí a soupeření nástrojů o žadatele.</w:t>
      </w:r>
    </w:p>
    <w:p w:rsidR="00216CC3" w:rsidRPr="0019319B" w:rsidRDefault="00216CC3" w:rsidP="0077225E">
      <w:pPr>
        <w:rPr>
          <w:rFonts w:eastAsia="Arial"/>
          <w:b/>
        </w:rPr>
      </w:pPr>
      <w:r>
        <w:rPr>
          <w:rFonts w:eastAsia="Arial"/>
          <w:b/>
        </w:rPr>
        <w:t>Jednou z možností využití revolvingově navrácených prostředků do nástroje JESSICA je vložení do budovaného fondu ENERGETIKA.</w:t>
      </w:r>
    </w:p>
    <w:p w:rsidR="0077225E" w:rsidRDefault="0077225E" w:rsidP="0077225E">
      <w:pPr>
        <w:pStyle w:val="CaptionIntroductionparagraph"/>
      </w:pPr>
      <w:r>
        <w:t xml:space="preserve">Možnosti propojení se stávajícími podporami – </w:t>
      </w:r>
      <w:r w:rsidR="00901448" w:rsidRPr="00901448">
        <w:t>Nová zelená úsporám</w:t>
      </w:r>
    </w:p>
    <w:p w:rsidR="00C777B9" w:rsidRDefault="00C777B9" w:rsidP="00901448">
      <w:r>
        <w:t>Dle aktuální</w:t>
      </w:r>
      <w:r w:rsidR="00984FA9">
        <w:t xml:space="preserve">ch informací dodavatele je připravováno spuštění podpory programu Nové zelená úsporám </w:t>
      </w:r>
      <w:r w:rsidR="005E0AE8">
        <w:t xml:space="preserve">(dále také NZÚ) </w:t>
      </w:r>
      <w:r w:rsidR="00984FA9">
        <w:t>bytovým domům v hl. městě Praha</w:t>
      </w:r>
      <w:r w:rsidR="005E0AE8">
        <w:t>, a to ještě v rámci prvního pololetí roku 2015. Dle předběžných závěrů z MŽP je kalkulováno, že by byla poskytována podpora na dotačním schématu.</w:t>
      </w:r>
    </w:p>
    <w:p w:rsidR="005E0AE8" w:rsidRDefault="005E0AE8" w:rsidP="00901448">
      <w:r>
        <w:t>Národní program sdílí s cílením IROP věcný překryv, který je však omezen tím, že oba programy jsou zaměřeny na rozdílné geografické oblasti – NZÚ bude podporovat projekty v Praze, IROP ve všech ostatních částech republiky. Jakkoliv se jeví potenciální rozdíl ve formě podpory tímto eliminován, není tomu tak – rozdílný přístup bude vysílat zmatečné signály občanům, kteří se budou muset složitě orientovat, jaké prostředky jsou vyčleněny na co a proč. Bude docházet k demotivaci potenciální absorpce na základě psychologického pocitu znevýhodnění ostatních regionů vůči Praze, apod.</w:t>
      </w:r>
    </w:p>
    <w:p w:rsidR="005E0AE8" w:rsidRDefault="005E0AE8" w:rsidP="00901448">
      <w:r w:rsidRPr="005E0AE8">
        <w:rPr>
          <w:b/>
        </w:rPr>
        <w:t>Dodavatel doporučuje, aby ŘO IROP dále komunikoval se zástupci resortu MŽP a usiloval o to, aby nově připravovaný program sdílel stejnou formu adresování žadatelů, jako IROP, tedy úvěrový finanční nástroj.</w:t>
      </w:r>
      <w:r>
        <w:t xml:space="preserve"> Takový přístup nejen že by zamezil potenciálním negativním efektům popsaným výše, navíc by přispěl k vyššímu vyjasnění toho, jak a proč finanční nástroje fungují, jaké jsou jejich přínosy a proč je začíná ČR více využívat. Pokud to je dosažitelné, doporučujeme usilovat o konsistentní cílení podpory v energetické oblasti.</w:t>
      </w:r>
    </w:p>
    <w:p w:rsidR="005E0AE8" w:rsidRDefault="005E0AE8" w:rsidP="00901448">
      <w:r w:rsidRPr="005E0AE8">
        <w:rPr>
          <w:b/>
        </w:rPr>
        <w:t>Uvedená doporučení jsou důležitá i s možným budoucím rozšířením třecích ploch s tím, jak Nová zelená úsporám bude rozšiřovat svoji působnost s dalšími okruhy podpory na celou ČR.</w:t>
      </w:r>
      <w:r w:rsidR="002265A1">
        <w:t xml:space="preserve"> Dle informací dodavatele je možné ošetřit třecí plochy připravovaným memorandem o spolupráci mezi MMR a MŽP – tento postup dodavatel plně podporuje.</w:t>
      </w:r>
    </w:p>
    <w:p w:rsidR="0077225E" w:rsidRDefault="0077225E" w:rsidP="0077225E">
      <w:pPr>
        <w:pStyle w:val="CaptionIntroductionparagraph"/>
      </w:pPr>
      <w:r>
        <w:t xml:space="preserve">Možnosti propojení se stávajícími podporami – </w:t>
      </w:r>
      <w:r w:rsidR="005E0AE8">
        <w:t>p</w:t>
      </w:r>
      <w:r w:rsidR="00901448" w:rsidRPr="00901448">
        <w:t>rogram Panel 2013+</w:t>
      </w:r>
    </w:p>
    <w:p w:rsidR="00901448" w:rsidRDefault="005E0AE8" w:rsidP="00901448">
      <w:r>
        <w:t xml:space="preserve">Program PANEL+ vykazuje stejné rysy, jako program JESSICA – existuje věcný překryv, nejasný je časový překryv. Pokud bude </w:t>
      </w:r>
      <w:r w:rsidR="00003F0E">
        <w:t xml:space="preserve">připravováno vymezení dalších prostředků na pokračování národního programu v dalších letech, </w:t>
      </w:r>
      <w:r w:rsidR="00003F0E" w:rsidRPr="00003F0E">
        <w:rPr>
          <w:b/>
        </w:rPr>
        <w:t>je žádoucí postupovat</w:t>
      </w:r>
      <w:r w:rsidR="00003F0E">
        <w:rPr>
          <w:b/>
        </w:rPr>
        <w:t>,</w:t>
      </w:r>
      <w:r w:rsidR="00003F0E" w:rsidRPr="00003F0E">
        <w:rPr>
          <w:b/>
        </w:rPr>
        <w:t xml:space="preserve"> co se koordinace týče</w:t>
      </w:r>
      <w:r w:rsidR="00003F0E">
        <w:rPr>
          <w:b/>
        </w:rPr>
        <w:t>,</w:t>
      </w:r>
      <w:r w:rsidR="00003F0E" w:rsidRPr="00003F0E">
        <w:rPr>
          <w:b/>
        </w:rPr>
        <w:t xml:space="preserve"> ve shodě s doporučeními, které dodavatel uvedl u návrhu propojení s programem JESSICA</w:t>
      </w:r>
      <w:r w:rsidR="00003F0E">
        <w:t>.</w:t>
      </w:r>
    </w:p>
    <w:p w:rsidR="0077225E" w:rsidRDefault="0077225E" w:rsidP="0077225E">
      <w:pPr>
        <w:pStyle w:val="CaptionIntroductionparagraph"/>
      </w:pPr>
      <w:r>
        <w:t xml:space="preserve">Možnosti propojení se stávajícími podporami – </w:t>
      </w:r>
      <w:r w:rsidR="00901448">
        <w:t>ostatní programy ESIF</w:t>
      </w:r>
    </w:p>
    <w:p w:rsidR="0077225E" w:rsidRDefault="0077225E" w:rsidP="00950A4E">
      <w:r w:rsidRPr="00C67214">
        <w:t xml:space="preserve">Ve sledované oblasti podpory </w:t>
      </w:r>
      <w:r>
        <w:t>lze dle analýzy minulých překryvů, specifikovaných v kapitole analýzy tržních charakteristik, předpokládat potenciální „třecí plochy“ (větší či menší formy překryvů v oblasti zaměření nebo skupiny oprávněných příjemců) s následujícími programy podpory:</w:t>
      </w:r>
    </w:p>
    <w:p w:rsidR="0077225E" w:rsidRPr="007912AA" w:rsidRDefault="0077225E" w:rsidP="002D2639">
      <w:pPr>
        <w:numPr>
          <w:ilvl w:val="0"/>
          <w:numId w:val="22"/>
        </w:numPr>
        <w:rPr>
          <w:rFonts w:eastAsia="Arial"/>
          <w:b/>
        </w:rPr>
      </w:pPr>
      <w:r w:rsidRPr="007912AA">
        <w:rPr>
          <w:rFonts w:eastAsia="Arial"/>
          <w:b/>
        </w:rPr>
        <w:t xml:space="preserve">OP Praha – pól růstu ČR, </w:t>
      </w:r>
      <w:r w:rsidRPr="007912AA">
        <w:rPr>
          <w:rFonts w:eastAsia="Arial"/>
        </w:rPr>
        <w:t>oblast podpory 2.1.3 Realizace pilotních projektů přeměny energeticky náročných veřejných budov na budovy s téměř nulovou spotřebou energie;</w:t>
      </w:r>
    </w:p>
    <w:p w:rsidR="0077225E" w:rsidRPr="007912AA" w:rsidRDefault="0077225E" w:rsidP="002D2639">
      <w:pPr>
        <w:numPr>
          <w:ilvl w:val="0"/>
          <w:numId w:val="22"/>
        </w:numPr>
        <w:rPr>
          <w:rFonts w:eastAsia="Arial"/>
          <w:b/>
        </w:rPr>
      </w:pPr>
      <w:r w:rsidRPr="007912AA">
        <w:rPr>
          <w:rFonts w:eastAsia="Arial"/>
          <w:b/>
        </w:rPr>
        <w:t xml:space="preserve">OP Podnikání a inovace pro konkurenceschopnost, </w:t>
      </w:r>
      <w:r w:rsidRPr="007912AA">
        <w:rPr>
          <w:rFonts w:eastAsia="Arial"/>
        </w:rPr>
        <w:t>program EKO ENERGIE</w:t>
      </w:r>
      <w:r>
        <w:rPr>
          <w:rFonts w:eastAsia="Arial"/>
        </w:rPr>
        <w:t xml:space="preserve"> v rámci specifického cíle 3.2;</w:t>
      </w:r>
    </w:p>
    <w:p w:rsidR="0077225E" w:rsidRPr="00003F0E" w:rsidRDefault="00003F0E" w:rsidP="002D2639">
      <w:pPr>
        <w:numPr>
          <w:ilvl w:val="0"/>
          <w:numId w:val="22"/>
        </w:numPr>
        <w:rPr>
          <w:rFonts w:eastAsia="Arial"/>
          <w:b/>
        </w:rPr>
      </w:pPr>
      <w:r>
        <w:rPr>
          <w:rFonts w:eastAsia="Arial"/>
          <w:b/>
        </w:rPr>
        <w:t>Operační program životní prostředí</w:t>
      </w:r>
      <w:r w:rsidR="0077225E">
        <w:rPr>
          <w:rFonts w:eastAsia="Arial"/>
          <w:b/>
        </w:rPr>
        <w:t xml:space="preserve">, </w:t>
      </w:r>
      <w:bookmarkStart w:id="138" w:name="_Toc408572471"/>
      <w:r>
        <w:rPr>
          <w:rFonts w:eastAsia="Arial"/>
        </w:rPr>
        <w:t>prioritní osa 5</w:t>
      </w:r>
      <w:r w:rsidR="0077225E" w:rsidRPr="007912AA">
        <w:rPr>
          <w:rFonts w:eastAsia="Arial"/>
        </w:rPr>
        <w:t xml:space="preserve"> – </w:t>
      </w:r>
      <w:bookmarkEnd w:id="138"/>
      <w:r w:rsidRPr="00003F0E">
        <w:rPr>
          <w:rFonts w:eastAsia="Arial"/>
        </w:rPr>
        <w:t>Snižování spotřeby energie zlepšením tepelně technických vlastností obvodových konstrukcí budov, včetně dalších opatření vedoucích ke snížení energetické náročnosti budov</w:t>
      </w:r>
      <w:r>
        <w:rPr>
          <w:rFonts w:eastAsia="Arial"/>
        </w:rPr>
        <w:t>.</w:t>
      </w:r>
    </w:p>
    <w:p w:rsidR="0077225E" w:rsidRDefault="0077225E" w:rsidP="0077225E">
      <w:pPr>
        <w:rPr>
          <w:rFonts w:eastAsia="Arial"/>
        </w:rPr>
      </w:pPr>
      <w:r>
        <w:rPr>
          <w:rFonts w:eastAsia="Arial"/>
        </w:rPr>
        <w:t>Dle aktuálních informací dodavatele ve všech sledovaných programech podpory ESIF vyvíjejí řídící orgány kroky, směřující k možnému nahrazení dosavadní formy podpory za využití dotací na podporu poskytovanou na formátu finančního nástroje, typicky úvěrového. K dané problematice již nyní dochází k setkávání zástupců jednotlivých OP, kde je vyvíjena snaha koordinovat postup.</w:t>
      </w:r>
    </w:p>
    <w:p w:rsidR="0077225E" w:rsidRDefault="0077225E" w:rsidP="0077225E">
      <w:pPr>
        <w:rPr>
          <w:rFonts w:eastAsia="Arial"/>
        </w:rPr>
      </w:pPr>
      <w:r w:rsidRPr="007912AA">
        <w:rPr>
          <w:rFonts w:eastAsia="Arial"/>
          <w:b/>
        </w:rPr>
        <w:t>Dodavatel doporučuje, aby pro sledované oblasti vznikla formální pracovní skupina s pravidelným režimem jednání</w:t>
      </w:r>
      <w:r>
        <w:rPr>
          <w:rFonts w:eastAsia="Arial"/>
        </w:rPr>
        <w:t xml:space="preserve">, která by detailněji řešila možnosti zabezpečení komplementarit a synergií ve sledované oblasti. Primárně je nutné dosáhnout shody na tom, zda budou oblasti podporovány nadále dotačně, nebo bude vymezen prostor pro zapojení finančních nástrojů – nemělo by dojít k nastavení, kdy některé OP nastaví jeden a druhé OP druhý způsob. Dále by měla být řešena koordinace ohledně volby vhodné podoby již konkrétních finančních nástrojů. V neposlední řadě by měla být koordinována snaha o ustanovení efektivní implementační platformy, ideálně za využití sdílených struktur – viz kapitola věnující se implementaci a návrh zřízení společného environmentálního </w:t>
      </w:r>
      <w:r w:rsidR="003739E3">
        <w:rPr>
          <w:rFonts w:eastAsia="Arial"/>
        </w:rPr>
        <w:t xml:space="preserve">Fondu </w:t>
      </w:r>
      <w:r>
        <w:rPr>
          <w:rFonts w:eastAsia="Arial"/>
        </w:rPr>
        <w:t>fond</w:t>
      </w:r>
      <w:r w:rsidR="003739E3">
        <w:rPr>
          <w:rFonts w:eastAsia="Arial"/>
        </w:rPr>
        <w:t>ů</w:t>
      </w:r>
      <w:r>
        <w:rPr>
          <w:rFonts w:eastAsia="Arial"/>
        </w:rPr>
        <w:t>.</w:t>
      </w:r>
    </w:p>
    <w:p w:rsidR="0077225E" w:rsidRDefault="0077225E" w:rsidP="0077225E">
      <w:pPr>
        <w:pStyle w:val="CaptionIntroductionparagraph"/>
      </w:pPr>
      <w:r>
        <w:t>Možnosti propojení se stávajícími podporami – „neomezené“ programy</w:t>
      </w:r>
    </w:p>
    <w:p w:rsidR="0077225E" w:rsidRDefault="0077225E" w:rsidP="0077225E">
      <w:pPr>
        <w:rPr>
          <w:rFonts w:eastAsia="Arial"/>
        </w:rPr>
      </w:pPr>
      <w:r>
        <w:rPr>
          <w:rFonts w:eastAsia="Arial"/>
        </w:rPr>
        <w:t>V rámci hodnocení možnosti propojení navrhovaných finančních nástrojů s existující nabídkou podpory sledovaným oblastem v České republice je nutné identifikovat i možné třecí plochy s bankovními produkty, které vykazující zvýhodnění proti tržním podmínkám, díky podpoře z EIB/EIF</w:t>
      </w:r>
      <w:r w:rsidR="009B702E">
        <w:rPr>
          <w:rFonts w:eastAsia="Arial"/>
        </w:rPr>
        <w:t xml:space="preserve"> nebo CEB</w:t>
      </w:r>
      <w:r>
        <w:rPr>
          <w:rFonts w:eastAsia="Arial"/>
        </w:rPr>
        <w:t>.</w:t>
      </w:r>
    </w:p>
    <w:p w:rsidR="0077225E" w:rsidRPr="00537614" w:rsidRDefault="0077225E" w:rsidP="0077225E">
      <w:pPr>
        <w:rPr>
          <w:rFonts w:eastAsia="Arial"/>
        </w:rPr>
      </w:pPr>
      <w:r>
        <w:rPr>
          <w:rFonts w:eastAsia="Arial"/>
        </w:rPr>
        <w:t xml:space="preserve">Dodavatel se snažil identifikovat tyto možné třecí plochy skrze otevřené jednání se zástupci České bankovní asociace, nicméně ze strany bankovního sektoru nebyly poskytnuty informace nad rámec veřejně dostupných zdrojů. </w:t>
      </w:r>
      <w:r w:rsidRPr="00587688">
        <w:rPr>
          <w:rFonts w:eastAsia="Arial"/>
        </w:rPr>
        <w:t xml:space="preserve">Dodavatel tedy připravil souhrn možných „třecích ploch“ z dostupných zdrojů a tyto závěry prezentuje </w:t>
      </w:r>
      <w:r w:rsidRPr="003C1312">
        <w:rPr>
          <w:rFonts w:eastAsia="Arial"/>
        </w:rPr>
        <w:t>v </w:t>
      </w:r>
      <w:r w:rsidR="00003F0E" w:rsidRPr="003C1312">
        <w:rPr>
          <w:rFonts w:eastAsia="Arial"/>
        </w:rPr>
        <w:t>příloze č. 3</w:t>
      </w:r>
      <w:r w:rsidRPr="00587688">
        <w:rPr>
          <w:rFonts w:eastAsia="Arial"/>
        </w:rPr>
        <w:t xml:space="preserve"> této zprávy</w:t>
      </w:r>
      <w:r>
        <w:rPr>
          <w:rFonts w:eastAsia="Arial"/>
        </w:rPr>
        <w:t>. Dodavatel pozitivně hodnotí, že v tomto bodě se jedná výhradně o podporu poskytovanou skrze finanční nástroje, tzn. v případě volby finančních nástrojů v </w:t>
      </w:r>
      <w:r w:rsidR="00F5709A">
        <w:rPr>
          <w:rFonts w:eastAsia="Arial"/>
        </w:rPr>
        <w:t>IROP</w:t>
      </w:r>
      <w:r>
        <w:rPr>
          <w:rFonts w:eastAsia="Arial"/>
        </w:rPr>
        <w:t xml:space="preserve"> by mělo docházet ke generování komplementarit a synergií, nemělo by docházet k efektům vytěsnění či nežádoucí „nekalé“ konkurence (kdy jeden produkt je dotační a druhý finančním nástrojem). Dodavatel nicméně </w:t>
      </w:r>
      <w:r w:rsidRPr="00537614">
        <w:rPr>
          <w:rFonts w:eastAsia="Arial"/>
        </w:rPr>
        <w:t>doporučuje řídícímu orgánu dále komunikovat se zástupci bankovního sektoru a zpřesňovat oblasti, kde by mohl nastat konflikt zájmů, tyto konflikty pak operativně řešit.</w:t>
      </w:r>
    </w:p>
    <w:p w:rsidR="0077225E" w:rsidRPr="00537614" w:rsidRDefault="0077225E" w:rsidP="0077225E">
      <w:pPr>
        <w:rPr>
          <w:rFonts w:eastAsia="Arial"/>
        </w:rPr>
      </w:pPr>
    </w:p>
    <w:p w:rsidR="0077225E" w:rsidRPr="00537614" w:rsidRDefault="0077225E" w:rsidP="0077225E">
      <w:pPr>
        <w:rPr>
          <w:rFonts w:eastAsia="Arial"/>
        </w:rPr>
      </w:pPr>
    </w:p>
    <w:p w:rsidR="0077225E" w:rsidRPr="00537614" w:rsidRDefault="0077225E" w:rsidP="0077225E">
      <w:pPr>
        <w:spacing w:after="0"/>
        <w:jc w:val="left"/>
        <w:rPr>
          <w:rFonts w:eastAsia="Arial"/>
          <w:b/>
          <w:color w:val="00A1DE"/>
          <w:sz w:val="24"/>
          <w:szCs w:val="22"/>
        </w:rPr>
      </w:pPr>
      <w:r w:rsidRPr="00537614">
        <w:rPr>
          <w:rFonts w:eastAsia="Arial"/>
        </w:rPr>
        <w:br w:type="page"/>
      </w:r>
    </w:p>
    <w:p w:rsidR="0077225E" w:rsidRPr="00537614" w:rsidRDefault="0077225E" w:rsidP="0077225E">
      <w:pPr>
        <w:pStyle w:val="Nadpis2"/>
        <w:rPr>
          <w:rFonts w:asciiTheme="majorHAnsi" w:hAnsiTheme="majorHAnsi" w:cstheme="majorHAnsi"/>
          <w:spacing w:val="-2"/>
        </w:rPr>
      </w:pPr>
      <w:bookmarkStart w:id="139" w:name="_Toc400580863"/>
      <w:bookmarkStart w:id="140" w:name="_Toc418767165"/>
      <w:r w:rsidRPr="00537614">
        <w:rPr>
          <w:rFonts w:asciiTheme="majorHAnsi" w:hAnsiTheme="majorHAnsi" w:cstheme="majorHAnsi"/>
          <w:spacing w:val="-2"/>
        </w:rPr>
        <w:t>Posouzení</w:t>
      </w:r>
      <w:r w:rsidRPr="00537614">
        <w:rPr>
          <w:rFonts w:asciiTheme="majorHAnsi" w:hAnsiTheme="majorHAnsi" w:cstheme="majorHAnsi"/>
        </w:rPr>
        <w:t xml:space="preserve"> </w:t>
      </w:r>
      <w:r w:rsidRPr="00537614">
        <w:rPr>
          <w:rFonts w:asciiTheme="majorHAnsi" w:hAnsiTheme="majorHAnsi" w:cstheme="majorHAnsi"/>
          <w:spacing w:val="-4"/>
        </w:rPr>
        <w:t xml:space="preserve">slučitelnosti s </w:t>
      </w:r>
      <w:r w:rsidRPr="00537614">
        <w:rPr>
          <w:rFonts w:asciiTheme="majorHAnsi" w:hAnsiTheme="majorHAnsi" w:cstheme="majorHAnsi"/>
          <w:spacing w:val="-2"/>
        </w:rPr>
        <w:t>pravidly o veřejné podpoře</w:t>
      </w:r>
      <w:bookmarkEnd w:id="139"/>
      <w:bookmarkEnd w:id="140"/>
    </w:p>
    <w:p w:rsidR="0077225E" w:rsidRPr="00537614" w:rsidRDefault="0077225E" w:rsidP="0077225E">
      <w:pPr>
        <w:rPr>
          <w:rFonts w:eastAsia="Arial"/>
        </w:rPr>
      </w:pPr>
      <w:r w:rsidRPr="00537614">
        <w:rPr>
          <w:rFonts w:eastAsia="Arial"/>
        </w:rPr>
        <w:t>Navrhované podoby finančních nástrojů, jak jsou uvedeny v předcházejících kapitolách této zprávy, podléhají třífázovému posouzení slučitelnosti s pravidly veřejné podpory:</w:t>
      </w:r>
    </w:p>
    <w:p w:rsidR="0077225E" w:rsidRPr="00537614" w:rsidRDefault="0077225E" w:rsidP="002D2639">
      <w:pPr>
        <w:pStyle w:val="Odstavecseseznamem"/>
        <w:numPr>
          <w:ilvl w:val="0"/>
          <w:numId w:val="12"/>
        </w:numPr>
        <w:rPr>
          <w:rFonts w:eastAsia="Arial"/>
        </w:rPr>
      </w:pPr>
      <w:r w:rsidRPr="00537614">
        <w:rPr>
          <w:rFonts w:eastAsia="Arial"/>
        </w:rPr>
        <w:t>Posouzení existence veřejné podpory;</w:t>
      </w:r>
    </w:p>
    <w:p w:rsidR="0077225E" w:rsidRPr="00537614" w:rsidRDefault="0077225E" w:rsidP="002D2639">
      <w:pPr>
        <w:pStyle w:val="Odstavecseseznamem"/>
        <w:numPr>
          <w:ilvl w:val="0"/>
          <w:numId w:val="12"/>
        </w:numPr>
        <w:rPr>
          <w:rFonts w:eastAsia="Arial"/>
        </w:rPr>
      </w:pPr>
      <w:r w:rsidRPr="00537614">
        <w:rPr>
          <w:rFonts w:eastAsia="Arial"/>
        </w:rPr>
        <w:t xml:space="preserve">Možnost využití </w:t>
      </w:r>
      <w:r w:rsidR="00F42B95" w:rsidRPr="00537614">
        <w:rPr>
          <w:rFonts w:eastAsia="Arial"/>
        </w:rPr>
        <w:t>„</w:t>
      </w:r>
      <w:r w:rsidR="00F42B95" w:rsidRPr="00537614">
        <w:rPr>
          <w:rFonts w:eastAsia="Arial"/>
          <w:i/>
        </w:rPr>
        <w:t>off the shelf</w:t>
      </w:r>
      <w:r w:rsidR="00F42B95" w:rsidRPr="00537614">
        <w:rPr>
          <w:rFonts w:eastAsia="Arial"/>
        </w:rPr>
        <w:t xml:space="preserve">“ nástrojů, </w:t>
      </w:r>
      <w:r w:rsidRPr="00537614">
        <w:rPr>
          <w:rFonts w:eastAsia="Arial"/>
        </w:rPr>
        <w:t xml:space="preserve">pravidel </w:t>
      </w:r>
      <w:r w:rsidRPr="00537614">
        <w:rPr>
          <w:rFonts w:eastAsia="Arial"/>
          <w:i/>
        </w:rPr>
        <w:t>de minimis</w:t>
      </w:r>
      <w:r w:rsidRPr="00537614">
        <w:rPr>
          <w:rFonts w:eastAsia="Arial"/>
        </w:rPr>
        <w:t xml:space="preserve"> </w:t>
      </w:r>
      <w:r w:rsidR="00F42B95" w:rsidRPr="00537614">
        <w:rPr>
          <w:rFonts w:eastAsia="Arial"/>
        </w:rPr>
        <w:t xml:space="preserve">nebo </w:t>
      </w:r>
      <w:r w:rsidRPr="00537614">
        <w:rPr>
          <w:rFonts w:eastAsia="Arial"/>
        </w:rPr>
        <w:t>GBER;</w:t>
      </w:r>
    </w:p>
    <w:p w:rsidR="0077225E" w:rsidRPr="00537614" w:rsidRDefault="0077225E" w:rsidP="002D2639">
      <w:pPr>
        <w:pStyle w:val="Odstavecseseznamem"/>
        <w:numPr>
          <w:ilvl w:val="0"/>
          <w:numId w:val="12"/>
        </w:numPr>
        <w:rPr>
          <w:rFonts w:eastAsia="Arial"/>
        </w:rPr>
      </w:pPr>
      <w:r w:rsidRPr="00537614">
        <w:rPr>
          <w:rFonts w:eastAsia="Arial"/>
        </w:rPr>
        <w:t>Zohlednění faktorů relevantních pro posouzení slučitelnosti s vnitřním trhem</w:t>
      </w:r>
      <w:r w:rsidR="006574BC" w:rsidRPr="00537614">
        <w:rPr>
          <w:rFonts w:eastAsia="Arial"/>
        </w:rPr>
        <w:t xml:space="preserve"> (např. EEAG)</w:t>
      </w:r>
      <w:r w:rsidRPr="00537614">
        <w:rPr>
          <w:rFonts w:eastAsia="Arial"/>
        </w:rPr>
        <w:t>.</w:t>
      </w:r>
    </w:p>
    <w:p w:rsidR="0077225E" w:rsidRPr="00537614" w:rsidRDefault="0077225E" w:rsidP="0077225E">
      <w:pPr>
        <w:rPr>
          <w:b/>
          <w:color w:val="92D400" w:themeColor="accent2"/>
          <w:szCs w:val="19"/>
        </w:rPr>
      </w:pPr>
      <w:r w:rsidRPr="00537614">
        <w:rPr>
          <w:rFonts w:eastAsia="Arial"/>
        </w:rPr>
        <w:t xml:space="preserve">Při posuzování slučitelnosti s pravidly veřejné podpory je nezbytné zajistit soulad na všech úrovních implementační struktury, tj. na úrovni správce fondu, </w:t>
      </w:r>
      <w:r w:rsidR="0057119D" w:rsidRPr="00537614">
        <w:rPr>
          <w:rFonts w:eastAsia="Arial"/>
        </w:rPr>
        <w:t>spolufinancujícího subjektu</w:t>
      </w:r>
      <w:r w:rsidRPr="00537614">
        <w:rPr>
          <w:rFonts w:eastAsia="Arial"/>
        </w:rPr>
        <w:t xml:space="preserve"> a konečného příjemce. </w:t>
      </w:r>
      <w:r w:rsidRPr="00537614">
        <w:rPr>
          <w:szCs w:val="19"/>
        </w:rPr>
        <w:t>Pro dodržení pravidel veřejné podpory je taktéž nutné aktualizovat předběžné posouzení vždy, když dojde ke změně tržního prostředí a s tím spojeného tržního selhání (čl. 37 odst. 2 písm. g) obecného nařízení).</w:t>
      </w:r>
    </w:p>
    <w:p w:rsidR="0077225E" w:rsidRPr="00537614" w:rsidRDefault="0077225E" w:rsidP="0077225E">
      <w:pPr>
        <w:pStyle w:val="Nadpis3"/>
      </w:pPr>
      <w:bookmarkStart w:id="141" w:name="_Toc418767166"/>
      <w:r w:rsidRPr="00537614">
        <w:t>Třífázové posouzení slučitelnosti navrhovaných nástrojů</w:t>
      </w:r>
      <w:bookmarkEnd w:id="141"/>
    </w:p>
    <w:p w:rsidR="0077225E" w:rsidRPr="00537614" w:rsidRDefault="0077225E" w:rsidP="0077225E">
      <w:pPr>
        <w:pStyle w:val="CaptionIntroductionparagraph"/>
      </w:pPr>
      <w:r w:rsidRPr="00537614">
        <w:t>Existence veřejné podpory</w:t>
      </w:r>
    </w:p>
    <w:p w:rsidR="0077225E" w:rsidRPr="00537614" w:rsidRDefault="0077225E" w:rsidP="0077225E">
      <w:pPr>
        <w:pStyle w:val="CaptionIntroductionparagraph"/>
        <w:jc w:val="both"/>
        <w:rPr>
          <w:b w:val="0"/>
          <w:color w:val="auto"/>
          <w:sz w:val="19"/>
          <w:szCs w:val="19"/>
        </w:rPr>
      </w:pPr>
      <w:r w:rsidRPr="00537614">
        <w:rPr>
          <w:b w:val="0"/>
          <w:color w:val="auto"/>
          <w:sz w:val="19"/>
          <w:szCs w:val="19"/>
        </w:rPr>
        <w:t>Navržené finanční nástroje je vhodné koncipovat jako nástroje bez veřejné podpory na úrovni správce fondů (zajištění přenesení celé poskytnuté výhody, tržní odměna).</w:t>
      </w:r>
    </w:p>
    <w:p w:rsidR="0077225E" w:rsidRPr="00537614" w:rsidRDefault="0077225E" w:rsidP="0077225E">
      <w:pPr>
        <w:pStyle w:val="CaptionIntroductionparagraph"/>
        <w:jc w:val="both"/>
        <w:rPr>
          <w:b w:val="0"/>
          <w:color w:val="auto"/>
          <w:sz w:val="19"/>
          <w:szCs w:val="19"/>
        </w:rPr>
      </w:pPr>
      <w:r w:rsidRPr="00537614">
        <w:rPr>
          <w:b w:val="0"/>
          <w:color w:val="auto"/>
          <w:sz w:val="19"/>
          <w:szCs w:val="19"/>
        </w:rPr>
        <w:t xml:space="preserve">V případě </w:t>
      </w:r>
      <w:r w:rsidR="006574BC" w:rsidRPr="00537614">
        <w:rPr>
          <w:b w:val="0"/>
          <w:color w:val="auto"/>
          <w:sz w:val="19"/>
          <w:szCs w:val="19"/>
        </w:rPr>
        <w:t>spolufinancujících subjektů</w:t>
      </w:r>
      <w:r w:rsidR="004A73C8" w:rsidRPr="00537614">
        <w:rPr>
          <w:b w:val="0"/>
          <w:color w:val="auto"/>
          <w:sz w:val="19"/>
          <w:szCs w:val="19"/>
        </w:rPr>
        <w:t>, které</w:t>
      </w:r>
      <w:r w:rsidRPr="00537614">
        <w:rPr>
          <w:b w:val="0"/>
          <w:color w:val="auto"/>
          <w:sz w:val="19"/>
          <w:szCs w:val="19"/>
        </w:rPr>
        <w:t xml:space="preserve"> se budou podílet na financování z vlastních zdrojů, nepředpokládáme, že by bylo možné vyloučit existenci veřejné podpory jako takové (nutnost řešit na úrovni slučitelnosti s vnitřním trhem – viz níže</w:t>
      </w:r>
      <w:r w:rsidR="006574BC" w:rsidRPr="00537614">
        <w:rPr>
          <w:b w:val="0"/>
          <w:color w:val="auto"/>
          <w:sz w:val="19"/>
          <w:szCs w:val="19"/>
        </w:rPr>
        <w:t xml:space="preserve"> kapitola </w:t>
      </w:r>
      <w:r w:rsidR="004930A8" w:rsidRPr="00537614">
        <w:rPr>
          <w:b w:val="0"/>
          <w:color w:val="auto"/>
          <w:sz w:val="19"/>
          <w:szCs w:val="19"/>
        </w:rPr>
        <w:t>5</w:t>
      </w:r>
      <w:r w:rsidR="006574BC" w:rsidRPr="00537614">
        <w:rPr>
          <w:b w:val="0"/>
          <w:color w:val="auto"/>
          <w:sz w:val="19"/>
          <w:szCs w:val="19"/>
        </w:rPr>
        <w:t>.4.2</w:t>
      </w:r>
      <w:r w:rsidRPr="00537614">
        <w:rPr>
          <w:b w:val="0"/>
          <w:color w:val="auto"/>
          <w:sz w:val="19"/>
          <w:szCs w:val="19"/>
        </w:rPr>
        <w:t>). Stejné platí v případě konečných příjemců.</w:t>
      </w:r>
    </w:p>
    <w:p w:rsidR="0077225E" w:rsidRPr="00537614" w:rsidRDefault="0077225E" w:rsidP="0077225E">
      <w:pPr>
        <w:pStyle w:val="CaptionIntroductionparagraph"/>
      </w:pPr>
      <w:r w:rsidRPr="00537614">
        <w:t>Možnost využití pravidel vylučujících notifikační povinnost</w:t>
      </w:r>
    </w:p>
    <w:p w:rsidR="0077225E" w:rsidRPr="00537614" w:rsidRDefault="0077225E" w:rsidP="0077225E">
      <w:pPr>
        <w:pStyle w:val="CaptionIntroductionparagraph"/>
        <w:jc w:val="both"/>
        <w:rPr>
          <w:b w:val="0"/>
          <w:color w:val="auto"/>
          <w:sz w:val="19"/>
          <w:szCs w:val="19"/>
        </w:rPr>
      </w:pPr>
      <w:r w:rsidRPr="00537614">
        <w:rPr>
          <w:b w:val="0"/>
          <w:color w:val="auto"/>
          <w:sz w:val="19"/>
          <w:szCs w:val="19"/>
        </w:rPr>
        <w:t xml:space="preserve">S ohledem na lokální specifika České republiky, místního tržního prostředí a dlouhodobé postoje potenciálních žadatelů k nabídce veřejné podpory ve sledovaných oblastech, dodavatel upustil od snahy prosadit nástroje z nabídky off-the-shelf, které pro programové období 2014-2020 připravila Evropská komise, jak je specifikuje Prováděcí nařízení Komise (EU) č. 964/2014. </w:t>
      </w:r>
      <w:r w:rsidR="004930A8" w:rsidRPr="00537614">
        <w:rPr>
          <w:b w:val="0"/>
          <w:color w:val="auto"/>
          <w:sz w:val="19"/>
          <w:szCs w:val="19"/>
        </w:rPr>
        <w:t>Jako potenciálně vhodný nástroj se jeví tzv. Renovation Loan, který však nedoporučujeme využít z následujících důvodů</w:t>
      </w:r>
      <w:r w:rsidRPr="00537614">
        <w:rPr>
          <w:b w:val="0"/>
          <w:color w:val="auto"/>
          <w:sz w:val="19"/>
          <w:szCs w:val="19"/>
        </w:rPr>
        <w:t>:</w:t>
      </w:r>
    </w:p>
    <w:p w:rsidR="004930A8" w:rsidRPr="00537614" w:rsidRDefault="0077225E" w:rsidP="002D2639">
      <w:pPr>
        <w:pStyle w:val="CaptionIntroductionparagraph"/>
        <w:numPr>
          <w:ilvl w:val="0"/>
          <w:numId w:val="23"/>
        </w:numPr>
        <w:jc w:val="both"/>
        <w:rPr>
          <w:b w:val="0"/>
          <w:color w:val="auto"/>
          <w:sz w:val="19"/>
          <w:szCs w:val="19"/>
        </w:rPr>
      </w:pPr>
      <w:r w:rsidRPr="00537614">
        <w:rPr>
          <w:b w:val="0"/>
          <w:color w:val="auto"/>
          <w:sz w:val="19"/>
          <w:szCs w:val="19"/>
        </w:rPr>
        <w:t xml:space="preserve">Nástroj </w:t>
      </w:r>
      <w:r w:rsidRPr="00537614">
        <w:rPr>
          <w:color w:val="auto"/>
          <w:sz w:val="19"/>
          <w:szCs w:val="19"/>
        </w:rPr>
        <w:t xml:space="preserve">Renovation loan </w:t>
      </w:r>
      <w:r w:rsidRPr="00537614">
        <w:rPr>
          <w:b w:val="0"/>
          <w:color w:val="auto"/>
          <w:sz w:val="19"/>
          <w:szCs w:val="19"/>
        </w:rPr>
        <w:t xml:space="preserve">neboli </w:t>
      </w:r>
      <w:r w:rsidRPr="00537614">
        <w:rPr>
          <w:color w:val="auto"/>
          <w:sz w:val="19"/>
          <w:szCs w:val="19"/>
        </w:rPr>
        <w:t xml:space="preserve">Úvěr na energetickou účinnost a energie z obnovitelných zdrojů </w:t>
      </w:r>
      <w:r w:rsidR="004930A8" w:rsidRPr="00537614">
        <w:rPr>
          <w:b w:val="0"/>
          <w:color w:val="auto"/>
          <w:sz w:val="19"/>
          <w:szCs w:val="19"/>
        </w:rPr>
        <w:t xml:space="preserve">využívá režimu podpory </w:t>
      </w:r>
      <w:r w:rsidR="004930A8" w:rsidRPr="00537614">
        <w:rPr>
          <w:b w:val="0"/>
          <w:i/>
          <w:color w:val="auto"/>
          <w:sz w:val="19"/>
          <w:szCs w:val="19"/>
        </w:rPr>
        <w:t>de minimis</w:t>
      </w:r>
      <w:r w:rsidR="004930A8" w:rsidRPr="00537614">
        <w:rPr>
          <w:b w:val="0"/>
          <w:color w:val="auto"/>
          <w:sz w:val="19"/>
          <w:szCs w:val="19"/>
        </w:rPr>
        <w:t>, nicméně tento přístup není nezbytný a žádoucí v </w:t>
      </w:r>
      <w:r w:rsidR="00ED38D0" w:rsidRPr="00537614">
        <w:rPr>
          <w:b w:val="0"/>
          <w:color w:val="auto"/>
          <w:sz w:val="19"/>
          <w:szCs w:val="19"/>
        </w:rPr>
        <w:t>oblasti</w:t>
      </w:r>
      <w:r w:rsidR="004930A8" w:rsidRPr="00537614">
        <w:rPr>
          <w:b w:val="0"/>
          <w:color w:val="auto"/>
          <w:sz w:val="19"/>
          <w:szCs w:val="19"/>
        </w:rPr>
        <w:t xml:space="preserve"> sledované IROP – viz důvody uváděné ve specifikační kartě nástroje</w:t>
      </w:r>
      <w:r w:rsidR="00ED38D0" w:rsidRPr="00537614">
        <w:rPr>
          <w:b w:val="0"/>
          <w:color w:val="auto"/>
          <w:sz w:val="19"/>
          <w:szCs w:val="19"/>
        </w:rPr>
        <w:t xml:space="preserve"> a znovu níže</w:t>
      </w:r>
      <w:r w:rsidR="004930A8" w:rsidRPr="00537614">
        <w:rPr>
          <w:b w:val="0"/>
          <w:color w:val="auto"/>
          <w:sz w:val="19"/>
          <w:szCs w:val="19"/>
        </w:rPr>
        <w:t>;</w:t>
      </w:r>
    </w:p>
    <w:p w:rsidR="004930A8" w:rsidRPr="00537614" w:rsidRDefault="004930A8" w:rsidP="002D2639">
      <w:pPr>
        <w:pStyle w:val="CaptionIntroductionparagraph"/>
        <w:numPr>
          <w:ilvl w:val="0"/>
          <w:numId w:val="23"/>
        </w:numPr>
        <w:jc w:val="both"/>
        <w:rPr>
          <w:b w:val="0"/>
          <w:color w:val="auto"/>
          <w:sz w:val="19"/>
          <w:szCs w:val="19"/>
        </w:rPr>
      </w:pPr>
      <w:r w:rsidRPr="00537614">
        <w:rPr>
          <w:b w:val="0"/>
          <w:color w:val="auto"/>
          <w:sz w:val="19"/>
          <w:szCs w:val="19"/>
        </w:rPr>
        <w:t xml:space="preserve">Nástroj renovation loan počítá s tím, že jeho samotná přítomnost </w:t>
      </w:r>
      <w:r w:rsidR="0058295B" w:rsidRPr="00537614">
        <w:rPr>
          <w:b w:val="0"/>
          <w:color w:val="auto"/>
          <w:sz w:val="19"/>
          <w:szCs w:val="19"/>
        </w:rPr>
        <w:t xml:space="preserve">a jeho atribut risk sharingu </w:t>
      </w:r>
      <w:r w:rsidRPr="00537614">
        <w:rPr>
          <w:b w:val="0"/>
          <w:color w:val="auto"/>
          <w:sz w:val="19"/>
          <w:szCs w:val="19"/>
        </w:rPr>
        <w:t>bude motivovat k aktivizaci projektů z identifikované potenciální poptávky, nicméně závěry analytický</w:t>
      </w:r>
      <w:r w:rsidR="009E0501" w:rsidRPr="00537614">
        <w:rPr>
          <w:b w:val="0"/>
          <w:color w:val="auto"/>
          <w:sz w:val="19"/>
          <w:szCs w:val="19"/>
        </w:rPr>
        <w:t>ch</w:t>
      </w:r>
      <w:r w:rsidRPr="00537614">
        <w:rPr>
          <w:b w:val="0"/>
          <w:color w:val="auto"/>
          <w:sz w:val="19"/>
          <w:szCs w:val="19"/>
        </w:rPr>
        <w:t xml:space="preserve"> prací dodavatele potvrzují, že </w:t>
      </w:r>
      <w:r w:rsidRPr="00537614">
        <w:rPr>
          <w:color w:val="auto"/>
          <w:sz w:val="19"/>
          <w:szCs w:val="19"/>
        </w:rPr>
        <w:t>je třeba doplnit další motivační prvky</w:t>
      </w:r>
      <w:r w:rsidRPr="00537614">
        <w:rPr>
          <w:b w:val="0"/>
          <w:color w:val="auto"/>
          <w:sz w:val="19"/>
          <w:szCs w:val="19"/>
        </w:rPr>
        <w:t xml:space="preserve"> (</w:t>
      </w:r>
      <w:r w:rsidR="0058295B" w:rsidRPr="00537614">
        <w:rPr>
          <w:b w:val="0"/>
          <w:color w:val="auto"/>
          <w:sz w:val="19"/>
          <w:szCs w:val="19"/>
        </w:rPr>
        <w:t>profit sharing</w:t>
      </w:r>
      <w:r w:rsidRPr="00537614">
        <w:rPr>
          <w:b w:val="0"/>
          <w:color w:val="auto"/>
          <w:sz w:val="19"/>
          <w:szCs w:val="19"/>
        </w:rPr>
        <w:t>, dotační složka), aby došlo k aktivizaci projektů a spolufinancujícího kapitálu;</w:t>
      </w:r>
    </w:p>
    <w:p w:rsidR="004E4D02" w:rsidRPr="00537614" w:rsidRDefault="004E4D02" w:rsidP="002D2639">
      <w:pPr>
        <w:pStyle w:val="CaptionIntroductionparagraph"/>
        <w:numPr>
          <w:ilvl w:val="0"/>
          <w:numId w:val="23"/>
        </w:numPr>
        <w:jc w:val="both"/>
        <w:rPr>
          <w:b w:val="0"/>
          <w:color w:val="auto"/>
          <w:sz w:val="19"/>
          <w:szCs w:val="19"/>
        </w:rPr>
      </w:pPr>
      <w:r w:rsidRPr="00537614">
        <w:rPr>
          <w:b w:val="0"/>
          <w:color w:val="auto"/>
          <w:sz w:val="19"/>
          <w:szCs w:val="19"/>
        </w:rPr>
        <w:t>Z prováděcího nařízení není zřejmé, zda by bylo možné nastavit nástroj v souladu s návrhy dodavatele, tzn. v syndikované podobě sdružující prostředky IROP a spolufinancujícího subjektu;</w:t>
      </w:r>
    </w:p>
    <w:p w:rsidR="0077225E" w:rsidRPr="00537614" w:rsidRDefault="004930A8" w:rsidP="002D2639">
      <w:pPr>
        <w:pStyle w:val="CaptionIntroductionparagraph"/>
        <w:numPr>
          <w:ilvl w:val="0"/>
          <w:numId w:val="23"/>
        </w:numPr>
        <w:jc w:val="both"/>
        <w:rPr>
          <w:b w:val="0"/>
          <w:color w:val="auto"/>
          <w:sz w:val="19"/>
          <w:szCs w:val="19"/>
        </w:rPr>
      </w:pPr>
      <w:r w:rsidRPr="00537614">
        <w:rPr>
          <w:b w:val="0"/>
          <w:color w:val="auto"/>
          <w:sz w:val="19"/>
          <w:szCs w:val="19"/>
        </w:rPr>
        <w:t xml:space="preserve">Nástroj kalkuluje s vytvořením portfolia nových projektů u jednoho vybraného finančního zprostředkovatele, kdy v podmínkách ČR se jeví jako mnohem </w:t>
      </w:r>
      <w:r w:rsidR="0058295B" w:rsidRPr="00537614">
        <w:rPr>
          <w:color w:val="auto"/>
          <w:sz w:val="19"/>
          <w:szCs w:val="19"/>
        </w:rPr>
        <w:t>výhodnější</w:t>
      </w:r>
      <w:r w:rsidRPr="00537614">
        <w:rPr>
          <w:color w:val="auto"/>
          <w:sz w:val="19"/>
          <w:szCs w:val="19"/>
        </w:rPr>
        <w:t>, aby správce nástroje spolupracoval se všemi subjekty, které splní podmínky spolupráce</w:t>
      </w:r>
      <w:r w:rsidRPr="00537614">
        <w:rPr>
          <w:b w:val="0"/>
          <w:color w:val="auto"/>
          <w:sz w:val="19"/>
          <w:szCs w:val="19"/>
        </w:rPr>
        <w:t xml:space="preserve"> a projeví o tento druh spolupráce zájem</w:t>
      </w:r>
      <w:r w:rsidR="0077225E" w:rsidRPr="00537614">
        <w:rPr>
          <w:b w:val="0"/>
          <w:color w:val="auto"/>
          <w:sz w:val="19"/>
          <w:szCs w:val="19"/>
        </w:rPr>
        <w:t>.</w:t>
      </w:r>
    </w:p>
    <w:p w:rsidR="0077225E" w:rsidRPr="00537614" w:rsidRDefault="0077225E" w:rsidP="0077225E">
      <w:pPr>
        <w:pStyle w:val="CaptionIntroductionparagraph"/>
        <w:jc w:val="both"/>
        <w:rPr>
          <w:b w:val="0"/>
          <w:color w:val="auto"/>
          <w:sz w:val="19"/>
          <w:szCs w:val="19"/>
        </w:rPr>
      </w:pPr>
      <w:r w:rsidRPr="00537614">
        <w:rPr>
          <w:b w:val="0"/>
          <w:color w:val="auto"/>
          <w:sz w:val="19"/>
          <w:szCs w:val="19"/>
        </w:rPr>
        <w:t>Z uvedených důvodů na straně specifik České republik</w:t>
      </w:r>
      <w:r w:rsidR="0058295B" w:rsidRPr="00537614">
        <w:rPr>
          <w:b w:val="0"/>
          <w:color w:val="auto"/>
          <w:sz w:val="19"/>
          <w:szCs w:val="19"/>
        </w:rPr>
        <w:t>y navrhuje dodavatel zřízení nového</w:t>
      </w:r>
      <w:r w:rsidRPr="00537614">
        <w:rPr>
          <w:b w:val="0"/>
          <w:color w:val="auto"/>
          <w:sz w:val="19"/>
          <w:szCs w:val="19"/>
        </w:rPr>
        <w:t xml:space="preserve"> nástroj</w:t>
      </w:r>
      <w:r w:rsidR="0058295B" w:rsidRPr="00537614">
        <w:rPr>
          <w:b w:val="0"/>
          <w:color w:val="auto"/>
          <w:sz w:val="19"/>
          <w:szCs w:val="19"/>
        </w:rPr>
        <w:t>e, tedy tzv. nástroje</w:t>
      </w:r>
      <w:r w:rsidRPr="00537614">
        <w:rPr>
          <w:b w:val="0"/>
          <w:color w:val="auto"/>
          <w:sz w:val="19"/>
          <w:szCs w:val="19"/>
        </w:rPr>
        <w:t xml:space="preserve"> tailor made.</w:t>
      </w:r>
    </w:p>
    <w:p w:rsidR="00180976" w:rsidRPr="00537614" w:rsidRDefault="004A73C8" w:rsidP="0077225E">
      <w:pPr>
        <w:pStyle w:val="CaptionIntroductionparagraph"/>
        <w:jc w:val="both"/>
        <w:rPr>
          <w:b w:val="0"/>
          <w:color w:val="auto"/>
          <w:sz w:val="19"/>
          <w:szCs w:val="19"/>
        </w:rPr>
      </w:pPr>
      <w:r w:rsidRPr="00537614">
        <w:rPr>
          <w:b w:val="0"/>
          <w:color w:val="auto"/>
          <w:sz w:val="19"/>
          <w:szCs w:val="19"/>
        </w:rPr>
        <w:t>Podpora za využití režimu de minimis je v zása</w:t>
      </w:r>
      <w:r w:rsidR="00DB3767" w:rsidRPr="00537614">
        <w:rPr>
          <w:b w:val="0"/>
          <w:color w:val="auto"/>
          <w:sz w:val="19"/>
          <w:szCs w:val="19"/>
        </w:rPr>
        <w:t xml:space="preserve">dě možná a dodavatel doporučuje nabídnout nástroj využívající tento režim, nicméně paralelně je vhodné nabízet i nástroj s režimem podpory využívajícího režimu GBER (viz dále). Tento postup dodavatel zdůvodňuje tím, že </w:t>
      </w:r>
      <w:r w:rsidR="00180976" w:rsidRPr="00537614">
        <w:rPr>
          <w:b w:val="0"/>
          <w:color w:val="auto"/>
          <w:sz w:val="19"/>
          <w:szCs w:val="19"/>
        </w:rPr>
        <w:t xml:space="preserve">v praktické rovině neznamená </w:t>
      </w:r>
      <w:r w:rsidR="00DB3767" w:rsidRPr="00537614">
        <w:rPr>
          <w:b w:val="0"/>
          <w:color w:val="auto"/>
          <w:sz w:val="19"/>
          <w:szCs w:val="19"/>
        </w:rPr>
        <w:t xml:space="preserve">využití de minimis </w:t>
      </w:r>
      <w:r w:rsidR="009344A3" w:rsidRPr="00537614">
        <w:rPr>
          <w:b w:val="0"/>
          <w:color w:val="auto"/>
          <w:sz w:val="19"/>
          <w:szCs w:val="19"/>
        </w:rPr>
        <w:t>navýšení</w:t>
      </w:r>
      <w:r w:rsidR="00DF1462" w:rsidRPr="00537614">
        <w:rPr>
          <w:b w:val="0"/>
          <w:color w:val="auto"/>
          <w:sz w:val="19"/>
          <w:szCs w:val="19"/>
        </w:rPr>
        <w:t xml:space="preserve"> poskytnuté </w:t>
      </w:r>
      <w:r w:rsidR="00180976" w:rsidRPr="00537614">
        <w:rPr>
          <w:b w:val="0"/>
          <w:color w:val="auto"/>
          <w:sz w:val="19"/>
          <w:szCs w:val="19"/>
        </w:rPr>
        <w:t xml:space="preserve">podpory, neboť i za využití článků GBER </w:t>
      </w:r>
      <w:r w:rsidR="009344A3" w:rsidRPr="00537614">
        <w:rPr>
          <w:b w:val="0"/>
          <w:color w:val="auto"/>
          <w:sz w:val="19"/>
          <w:szCs w:val="19"/>
        </w:rPr>
        <w:t xml:space="preserve">je možné poskytovat srovnatelné výše úvěrů, srovnatelné výše zapojení zdrojů IROP. Jak ukazuje modelace pro </w:t>
      </w:r>
      <w:r w:rsidR="00180976" w:rsidRPr="00537614">
        <w:rPr>
          <w:b w:val="0"/>
          <w:color w:val="auto"/>
          <w:sz w:val="19"/>
          <w:szCs w:val="19"/>
        </w:rPr>
        <w:t>hrubý grantový ekvivalent</w:t>
      </w:r>
      <w:r w:rsidR="009344A3" w:rsidRPr="00537614">
        <w:rPr>
          <w:b w:val="0"/>
          <w:color w:val="auto"/>
          <w:sz w:val="19"/>
          <w:szCs w:val="19"/>
        </w:rPr>
        <w:t xml:space="preserve">, v typických případech </w:t>
      </w:r>
      <w:r w:rsidR="00180976" w:rsidRPr="00537614">
        <w:rPr>
          <w:b w:val="0"/>
          <w:color w:val="auto"/>
          <w:sz w:val="19"/>
          <w:szCs w:val="19"/>
        </w:rPr>
        <w:t xml:space="preserve"> </w:t>
      </w:r>
      <w:r w:rsidR="009344A3" w:rsidRPr="00537614">
        <w:rPr>
          <w:b w:val="0"/>
          <w:color w:val="auto"/>
          <w:sz w:val="19"/>
          <w:szCs w:val="19"/>
        </w:rPr>
        <w:t xml:space="preserve">se </w:t>
      </w:r>
      <w:r w:rsidR="00DF1462" w:rsidRPr="00537614">
        <w:rPr>
          <w:b w:val="0"/>
          <w:color w:val="auto"/>
          <w:sz w:val="19"/>
          <w:szCs w:val="19"/>
        </w:rPr>
        <w:t>výš</w:t>
      </w:r>
      <w:r w:rsidR="009344A3" w:rsidRPr="00537614">
        <w:rPr>
          <w:b w:val="0"/>
          <w:color w:val="auto"/>
          <w:sz w:val="19"/>
          <w:szCs w:val="19"/>
        </w:rPr>
        <w:t>e</w:t>
      </w:r>
      <w:r w:rsidR="00DF1462" w:rsidRPr="00537614">
        <w:rPr>
          <w:b w:val="0"/>
          <w:color w:val="auto"/>
          <w:sz w:val="19"/>
          <w:szCs w:val="19"/>
        </w:rPr>
        <w:t xml:space="preserve"> poskytnuté </w:t>
      </w:r>
      <w:r w:rsidR="004E4D02" w:rsidRPr="00537614">
        <w:rPr>
          <w:b w:val="0"/>
          <w:color w:val="auto"/>
          <w:sz w:val="19"/>
          <w:szCs w:val="19"/>
        </w:rPr>
        <w:t xml:space="preserve">podpory </w:t>
      </w:r>
      <w:r w:rsidR="009344A3" w:rsidRPr="00537614">
        <w:rPr>
          <w:b w:val="0"/>
          <w:color w:val="auto"/>
          <w:sz w:val="19"/>
          <w:szCs w:val="19"/>
        </w:rPr>
        <w:t xml:space="preserve">pohybuje </w:t>
      </w:r>
      <w:r w:rsidR="004E4D02" w:rsidRPr="00537614">
        <w:rPr>
          <w:b w:val="0"/>
          <w:color w:val="auto"/>
          <w:sz w:val="19"/>
          <w:szCs w:val="19"/>
        </w:rPr>
        <w:t>do 20</w:t>
      </w:r>
      <w:r w:rsidR="00180976" w:rsidRPr="00537614">
        <w:rPr>
          <w:b w:val="0"/>
          <w:color w:val="auto"/>
          <w:sz w:val="19"/>
          <w:szCs w:val="19"/>
        </w:rPr>
        <w:t xml:space="preserve"> %. </w:t>
      </w:r>
      <w:r w:rsidR="004E4D02" w:rsidRPr="00537614">
        <w:rPr>
          <w:b w:val="0"/>
          <w:color w:val="auto"/>
          <w:sz w:val="19"/>
          <w:szCs w:val="19"/>
        </w:rPr>
        <w:t>Na jednání s bankovní asociací bylo jako problematické dále identifikováno, že bytová družstva mají ve značném počtu tuto podporu již vyčerpanou, případně mohou mít limit de minimis rezervován</w:t>
      </w:r>
      <w:r w:rsidR="00180976" w:rsidRPr="00537614">
        <w:rPr>
          <w:b w:val="0"/>
          <w:color w:val="auto"/>
          <w:sz w:val="19"/>
          <w:szCs w:val="19"/>
        </w:rPr>
        <w:t xml:space="preserve"> pro využití v jiných projektech (např. v rámci propojení s žádostí v programu PANEL nebo JESSICA)</w:t>
      </w:r>
      <w:r w:rsidR="004E4D02" w:rsidRPr="00537614">
        <w:rPr>
          <w:b w:val="0"/>
          <w:color w:val="auto"/>
          <w:sz w:val="19"/>
          <w:szCs w:val="19"/>
        </w:rPr>
        <w:t xml:space="preserve">. Především z uvedených důvodů </w:t>
      </w:r>
      <w:r w:rsidR="00DB3767" w:rsidRPr="00537614">
        <w:rPr>
          <w:b w:val="0"/>
          <w:color w:val="auto"/>
          <w:sz w:val="19"/>
          <w:szCs w:val="19"/>
        </w:rPr>
        <w:t>doporučujeme</w:t>
      </w:r>
      <w:r w:rsidR="00180976" w:rsidRPr="00537614">
        <w:rPr>
          <w:b w:val="0"/>
          <w:color w:val="auto"/>
          <w:sz w:val="19"/>
          <w:szCs w:val="19"/>
        </w:rPr>
        <w:t xml:space="preserve"> režim de minimis využívat</w:t>
      </w:r>
      <w:r w:rsidR="00DB3767" w:rsidRPr="00537614">
        <w:rPr>
          <w:b w:val="0"/>
          <w:color w:val="auto"/>
          <w:sz w:val="19"/>
          <w:szCs w:val="19"/>
        </w:rPr>
        <w:t xml:space="preserve"> spolu s nástrojem využívající GBER</w:t>
      </w:r>
      <w:r w:rsidR="00180976" w:rsidRPr="00537614">
        <w:rPr>
          <w:b w:val="0"/>
          <w:color w:val="auto"/>
          <w:sz w:val="19"/>
          <w:szCs w:val="19"/>
        </w:rPr>
        <w:t>.</w:t>
      </w:r>
    </w:p>
    <w:p w:rsidR="0037064C" w:rsidRPr="00537614" w:rsidRDefault="004A73C8" w:rsidP="00180976">
      <w:pPr>
        <w:pStyle w:val="CaptionIntroductionparagraph"/>
        <w:jc w:val="both"/>
        <w:rPr>
          <w:b w:val="0"/>
          <w:color w:val="auto"/>
          <w:sz w:val="19"/>
          <w:szCs w:val="19"/>
        </w:rPr>
      </w:pPr>
      <w:r w:rsidRPr="00537614">
        <w:rPr>
          <w:b w:val="0"/>
          <w:color w:val="auto"/>
          <w:sz w:val="19"/>
          <w:szCs w:val="19"/>
        </w:rPr>
        <w:t>Na základě interního materiálu zadavatele specifikujícího relevantní režimy pod</w:t>
      </w:r>
      <w:r w:rsidR="00180976" w:rsidRPr="00537614">
        <w:rPr>
          <w:b w:val="0"/>
          <w:color w:val="auto"/>
          <w:sz w:val="19"/>
          <w:szCs w:val="19"/>
        </w:rPr>
        <w:t xml:space="preserve">pory nabízející se pro sledovaný SC 2.5, </w:t>
      </w:r>
      <w:r w:rsidRPr="00537614">
        <w:rPr>
          <w:b w:val="0"/>
          <w:color w:val="auto"/>
          <w:sz w:val="19"/>
          <w:szCs w:val="19"/>
        </w:rPr>
        <w:t>dle závěrů realizovaných jednání a dle vlastní expertízy dodavatel v případě volby pravidel bez notifikační povinnosti navrhuje využití vhod</w:t>
      </w:r>
      <w:r w:rsidR="00180976" w:rsidRPr="00537614">
        <w:rPr>
          <w:b w:val="0"/>
          <w:color w:val="auto"/>
          <w:sz w:val="19"/>
          <w:szCs w:val="19"/>
        </w:rPr>
        <w:t xml:space="preserve">ných článku podpory skrze GBER. </w:t>
      </w:r>
      <w:r w:rsidR="0077225E" w:rsidRPr="00537614">
        <w:rPr>
          <w:b w:val="0"/>
          <w:color w:val="auto"/>
          <w:sz w:val="19"/>
          <w:szCs w:val="19"/>
        </w:rPr>
        <w:t>Pro navrhovan</w:t>
      </w:r>
      <w:r w:rsidR="00646FC9" w:rsidRPr="00537614">
        <w:rPr>
          <w:b w:val="0"/>
          <w:color w:val="auto"/>
          <w:sz w:val="19"/>
          <w:szCs w:val="19"/>
        </w:rPr>
        <w:t>ý nástroj</w:t>
      </w:r>
      <w:r w:rsidR="0077225E" w:rsidRPr="00537614">
        <w:rPr>
          <w:b w:val="0"/>
          <w:color w:val="auto"/>
          <w:sz w:val="19"/>
          <w:szCs w:val="19"/>
        </w:rPr>
        <w:t xml:space="preserve"> je vhodné vy</w:t>
      </w:r>
      <w:r w:rsidR="00A6360C" w:rsidRPr="00537614">
        <w:rPr>
          <w:b w:val="0"/>
          <w:color w:val="auto"/>
          <w:sz w:val="19"/>
          <w:szCs w:val="19"/>
        </w:rPr>
        <w:t>užít článku</w:t>
      </w:r>
      <w:r w:rsidR="00646FC9" w:rsidRPr="00537614">
        <w:rPr>
          <w:b w:val="0"/>
          <w:color w:val="auto"/>
          <w:sz w:val="19"/>
          <w:szCs w:val="19"/>
        </w:rPr>
        <w:t xml:space="preserve"> 39 </w:t>
      </w:r>
      <w:r w:rsidR="00180976" w:rsidRPr="00537614">
        <w:rPr>
          <w:b w:val="0"/>
          <w:color w:val="auto"/>
          <w:sz w:val="19"/>
          <w:szCs w:val="19"/>
        </w:rPr>
        <w:t>GBER</w:t>
      </w:r>
      <w:r w:rsidR="00646FC9" w:rsidRPr="00537614">
        <w:rPr>
          <w:b w:val="0"/>
          <w:color w:val="auto"/>
          <w:sz w:val="19"/>
          <w:szCs w:val="19"/>
        </w:rPr>
        <w:t xml:space="preserve">, </w:t>
      </w:r>
      <w:r w:rsidR="006C4AE2" w:rsidRPr="00537614">
        <w:rPr>
          <w:b w:val="0"/>
          <w:color w:val="auto"/>
          <w:sz w:val="19"/>
          <w:szCs w:val="19"/>
        </w:rPr>
        <w:t xml:space="preserve">kde sice </w:t>
      </w:r>
      <w:r w:rsidR="00C64EB8" w:rsidRPr="00537614">
        <w:rPr>
          <w:b w:val="0"/>
          <w:color w:val="auto"/>
          <w:sz w:val="19"/>
          <w:szCs w:val="19"/>
        </w:rPr>
        <w:t>podpora musí aktivovat dodatečné investice od soukromých investorů, jejichž výše musí dosahovat alespoň 30 % z celkových finančních prostředků poskytnutých na daný projekt</w:t>
      </w:r>
      <w:r w:rsidR="006C4AE2" w:rsidRPr="00537614">
        <w:rPr>
          <w:b w:val="0"/>
          <w:color w:val="auto"/>
          <w:sz w:val="19"/>
          <w:szCs w:val="19"/>
        </w:rPr>
        <w:t>, nicméně jinak je možné poskytnout úvěrové financování za zvýhodněných podmínek až do výše 100% způsobilých výdajů investice</w:t>
      </w:r>
      <w:r w:rsidR="00646FC9" w:rsidRPr="00537614">
        <w:rPr>
          <w:b w:val="0"/>
          <w:color w:val="auto"/>
          <w:sz w:val="19"/>
          <w:szCs w:val="19"/>
        </w:rPr>
        <w:t>).</w:t>
      </w:r>
    </w:p>
    <w:p w:rsidR="0077225E" w:rsidRPr="00537614" w:rsidRDefault="0037064C" w:rsidP="00463630">
      <w:pPr>
        <w:pStyle w:val="CaptionIntroductionparagraph"/>
        <w:jc w:val="both"/>
        <w:rPr>
          <w:b w:val="0"/>
          <w:color w:val="auto"/>
          <w:sz w:val="19"/>
          <w:szCs w:val="19"/>
        </w:rPr>
      </w:pPr>
      <w:r w:rsidRPr="00537614">
        <w:rPr>
          <w:b w:val="0"/>
          <w:color w:val="auto"/>
          <w:sz w:val="19"/>
          <w:szCs w:val="19"/>
        </w:rPr>
        <w:t>Pro řádnou aplikaci GBER</w:t>
      </w:r>
      <w:r w:rsidR="00EF6193" w:rsidRPr="00537614">
        <w:rPr>
          <w:b w:val="0"/>
          <w:color w:val="auto"/>
          <w:sz w:val="19"/>
          <w:szCs w:val="19"/>
        </w:rPr>
        <w:t xml:space="preserve"> bez nutnosti oznamování</w:t>
      </w:r>
      <w:r w:rsidRPr="00537614">
        <w:rPr>
          <w:b w:val="0"/>
          <w:color w:val="auto"/>
          <w:sz w:val="19"/>
          <w:szCs w:val="19"/>
        </w:rPr>
        <w:t xml:space="preserve"> je zároveň nutné dodržet prahové hodnoty oznamovací povinnosti (článek 4 GBER) a pravidla pro kumulaci podpor (článek 8 GBER).</w:t>
      </w:r>
    </w:p>
    <w:p w:rsidR="0077225E" w:rsidRPr="00537614" w:rsidRDefault="0077225E" w:rsidP="0077225E">
      <w:pPr>
        <w:pStyle w:val="CaptionIntroductionparagraph"/>
      </w:pPr>
      <w:r w:rsidRPr="00537614">
        <w:t>Faktory relevantní pro posouzení slučitelnosti s vnitřním trhem</w:t>
      </w:r>
    </w:p>
    <w:p w:rsidR="0077225E" w:rsidRPr="00537614" w:rsidRDefault="0077225E" w:rsidP="0077225E">
      <w:pPr>
        <w:pStyle w:val="CaptionIntroductionparagraph"/>
        <w:jc w:val="both"/>
        <w:rPr>
          <w:b w:val="0"/>
          <w:color w:val="auto"/>
          <w:sz w:val="19"/>
          <w:szCs w:val="19"/>
        </w:rPr>
      </w:pPr>
      <w:r w:rsidRPr="00537614">
        <w:rPr>
          <w:b w:val="0"/>
          <w:color w:val="auto"/>
          <w:sz w:val="19"/>
          <w:szCs w:val="19"/>
        </w:rPr>
        <w:t xml:space="preserve">Pokud nebude zvolen některý z režimů GBER či </w:t>
      </w:r>
      <w:r w:rsidR="006C4AE2" w:rsidRPr="00537614">
        <w:rPr>
          <w:b w:val="0"/>
          <w:color w:val="auto"/>
          <w:sz w:val="19"/>
          <w:szCs w:val="19"/>
        </w:rPr>
        <w:t xml:space="preserve">režim </w:t>
      </w:r>
      <w:r w:rsidR="00752D4F" w:rsidRPr="00537614">
        <w:rPr>
          <w:b w:val="0"/>
          <w:i/>
          <w:color w:val="auto"/>
          <w:sz w:val="19"/>
          <w:szCs w:val="19"/>
        </w:rPr>
        <w:t>de minimis</w:t>
      </w:r>
      <w:r w:rsidRPr="00537614">
        <w:rPr>
          <w:b w:val="0"/>
          <w:color w:val="auto"/>
          <w:sz w:val="19"/>
          <w:szCs w:val="19"/>
        </w:rPr>
        <w:t xml:space="preserve">, navržené finanční nástroje bude nutné </w:t>
      </w:r>
      <w:r w:rsidR="006C4AE2" w:rsidRPr="00537614">
        <w:rPr>
          <w:b w:val="0"/>
          <w:color w:val="auto"/>
          <w:sz w:val="19"/>
          <w:szCs w:val="19"/>
        </w:rPr>
        <w:t xml:space="preserve">plně </w:t>
      </w:r>
      <w:r w:rsidRPr="00537614">
        <w:rPr>
          <w:b w:val="0"/>
          <w:color w:val="auto"/>
          <w:sz w:val="19"/>
          <w:szCs w:val="19"/>
        </w:rPr>
        <w:t>notifikovat Evropské komisi. V rámci posouzení slučitelnosti finančních nástrojů s vnitřním trhem budou přitom, dle metodiky předběžného posouzení, relevantní následující faktory tohoto předběžného posouzení:</w:t>
      </w:r>
    </w:p>
    <w:p w:rsidR="0077225E" w:rsidRPr="00537614" w:rsidRDefault="0077225E" w:rsidP="002D2639">
      <w:pPr>
        <w:pStyle w:val="CaptionIntroductionparagraph"/>
        <w:numPr>
          <w:ilvl w:val="0"/>
          <w:numId w:val="13"/>
        </w:numPr>
        <w:spacing w:after="0"/>
        <w:jc w:val="both"/>
        <w:rPr>
          <w:b w:val="0"/>
          <w:color w:val="auto"/>
          <w:sz w:val="19"/>
          <w:szCs w:val="19"/>
        </w:rPr>
      </w:pPr>
      <w:r w:rsidRPr="00537614">
        <w:rPr>
          <w:b w:val="0"/>
          <w:color w:val="auto"/>
          <w:sz w:val="19"/>
          <w:szCs w:val="19"/>
        </w:rPr>
        <w:t xml:space="preserve">Přispění k dosažení cíle veřejného zájmu, </w:t>
      </w:r>
    </w:p>
    <w:p w:rsidR="0077225E" w:rsidRPr="00537614" w:rsidRDefault="0077225E" w:rsidP="002D2639">
      <w:pPr>
        <w:pStyle w:val="CaptionIntroductionparagraph"/>
        <w:numPr>
          <w:ilvl w:val="0"/>
          <w:numId w:val="13"/>
        </w:numPr>
        <w:spacing w:after="0"/>
        <w:jc w:val="both"/>
        <w:rPr>
          <w:b w:val="0"/>
          <w:color w:val="auto"/>
          <w:sz w:val="19"/>
          <w:szCs w:val="19"/>
        </w:rPr>
      </w:pPr>
      <w:r w:rsidRPr="00537614">
        <w:rPr>
          <w:b w:val="0"/>
          <w:color w:val="auto"/>
          <w:sz w:val="19"/>
          <w:szCs w:val="19"/>
        </w:rPr>
        <w:t>Nezbytnost poskytnutí podpory,</w:t>
      </w:r>
    </w:p>
    <w:p w:rsidR="0077225E" w:rsidRPr="00537614" w:rsidRDefault="0077225E" w:rsidP="002D2639">
      <w:pPr>
        <w:pStyle w:val="CaptionIntroductionparagraph"/>
        <w:numPr>
          <w:ilvl w:val="0"/>
          <w:numId w:val="13"/>
        </w:numPr>
        <w:spacing w:after="0"/>
        <w:jc w:val="both"/>
        <w:rPr>
          <w:b w:val="0"/>
          <w:color w:val="auto"/>
          <w:sz w:val="19"/>
          <w:szCs w:val="19"/>
        </w:rPr>
      </w:pPr>
      <w:r w:rsidRPr="00537614">
        <w:rPr>
          <w:b w:val="0"/>
          <w:color w:val="auto"/>
          <w:sz w:val="19"/>
          <w:szCs w:val="19"/>
        </w:rPr>
        <w:t xml:space="preserve">Vhodnost poskytnuté podpory, </w:t>
      </w:r>
    </w:p>
    <w:p w:rsidR="0077225E" w:rsidRPr="00537614" w:rsidRDefault="0077225E" w:rsidP="002D2639">
      <w:pPr>
        <w:pStyle w:val="CaptionIntroductionparagraph"/>
        <w:numPr>
          <w:ilvl w:val="0"/>
          <w:numId w:val="13"/>
        </w:numPr>
        <w:spacing w:after="0"/>
        <w:jc w:val="both"/>
        <w:rPr>
          <w:b w:val="0"/>
          <w:color w:val="auto"/>
          <w:sz w:val="19"/>
          <w:szCs w:val="19"/>
        </w:rPr>
      </w:pPr>
      <w:r w:rsidRPr="00537614">
        <w:rPr>
          <w:b w:val="0"/>
          <w:color w:val="auto"/>
          <w:sz w:val="19"/>
          <w:szCs w:val="19"/>
        </w:rPr>
        <w:t xml:space="preserve">Motivační účinek, </w:t>
      </w:r>
    </w:p>
    <w:p w:rsidR="0077225E" w:rsidRPr="00537614" w:rsidRDefault="0077225E" w:rsidP="002D2639">
      <w:pPr>
        <w:pStyle w:val="CaptionIntroductionparagraph"/>
        <w:numPr>
          <w:ilvl w:val="0"/>
          <w:numId w:val="13"/>
        </w:numPr>
        <w:spacing w:after="0"/>
        <w:jc w:val="both"/>
        <w:rPr>
          <w:b w:val="0"/>
          <w:color w:val="auto"/>
          <w:sz w:val="19"/>
          <w:szCs w:val="19"/>
        </w:rPr>
      </w:pPr>
      <w:r w:rsidRPr="00537614">
        <w:rPr>
          <w:b w:val="0"/>
          <w:color w:val="auto"/>
          <w:sz w:val="19"/>
          <w:szCs w:val="19"/>
        </w:rPr>
        <w:t xml:space="preserve">Přiměřenost poskytnuté podpory, </w:t>
      </w:r>
    </w:p>
    <w:p w:rsidR="0077225E" w:rsidRPr="00537614" w:rsidRDefault="0077225E" w:rsidP="002D2639">
      <w:pPr>
        <w:pStyle w:val="CaptionIntroductionparagraph"/>
        <w:numPr>
          <w:ilvl w:val="0"/>
          <w:numId w:val="13"/>
        </w:numPr>
        <w:spacing w:after="0"/>
        <w:jc w:val="both"/>
        <w:rPr>
          <w:b w:val="0"/>
          <w:color w:val="auto"/>
          <w:sz w:val="19"/>
          <w:szCs w:val="19"/>
        </w:rPr>
      </w:pPr>
      <w:r w:rsidRPr="00537614">
        <w:rPr>
          <w:b w:val="0"/>
          <w:color w:val="auto"/>
          <w:sz w:val="19"/>
          <w:szCs w:val="19"/>
        </w:rPr>
        <w:t>Omezení negativního účinku na trh, tj. podpora je poskytnuta pouze v minimální výši,</w:t>
      </w:r>
    </w:p>
    <w:p w:rsidR="0077225E" w:rsidRPr="00537614" w:rsidRDefault="0077225E" w:rsidP="002D2639">
      <w:pPr>
        <w:pStyle w:val="CaptionIntroductionparagraph"/>
        <w:numPr>
          <w:ilvl w:val="0"/>
          <w:numId w:val="13"/>
        </w:numPr>
        <w:jc w:val="both"/>
        <w:rPr>
          <w:b w:val="0"/>
          <w:color w:val="auto"/>
          <w:sz w:val="19"/>
          <w:szCs w:val="19"/>
        </w:rPr>
      </w:pPr>
      <w:r w:rsidRPr="00537614">
        <w:rPr>
          <w:b w:val="0"/>
          <w:color w:val="auto"/>
          <w:sz w:val="19"/>
          <w:szCs w:val="19"/>
        </w:rPr>
        <w:t>Transparentnost poskytnuté podpory.</w:t>
      </w:r>
    </w:p>
    <w:p w:rsidR="0077225E" w:rsidRPr="00537614" w:rsidRDefault="0077225E" w:rsidP="0077225E">
      <w:pPr>
        <w:pStyle w:val="Nadpis3"/>
      </w:pPr>
      <w:bookmarkStart w:id="142" w:name="_Toc418767167"/>
      <w:r w:rsidRPr="00537614">
        <w:t>Zhodnocení možnosti využití prvků preferenčního odměňování</w:t>
      </w:r>
      <w:bookmarkEnd w:id="142"/>
    </w:p>
    <w:p w:rsidR="0077225E" w:rsidRPr="00537614" w:rsidRDefault="0077225E" w:rsidP="0077225E">
      <w:pPr>
        <w:pStyle w:val="CaptionIntroductionparagraph"/>
        <w:jc w:val="both"/>
        <w:rPr>
          <w:b w:val="0"/>
          <w:color w:val="auto"/>
          <w:sz w:val="19"/>
          <w:szCs w:val="24"/>
        </w:rPr>
      </w:pPr>
      <w:r w:rsidRPr="00537614">
        <w:rPr>
          <w:b w:val="0"/>
          <w:color w:val="auto"/>
          <w:sz w:val="19"/>
          <w:szCs w:val="24"/>
        </w:rPr>
        <w:t>Pro zajištění slučitelnosti s pravidly veřejné podpory na úrovni s</w:t>
      </w:r>
      <w:r w:rsidR="00752D4F" w:rsidRPr="00537614">
        <w:rPr>
          <w:b w:val="0"/>
          <w:color w:val="auto"/>
          <w:sz w:val="19"/>
          <w:szCs w:val="24"/>
        </w:rPr>
        <w:t xml:space="preserve">polufinancujících </w:t>
      </w:r>
      <w:r w:rsidR="00463630" w:rsidRPr="00537614">
        <w:rPr>
          <w:b w:val="0"/>
          <w:color w:val="auto"/>
          <w:sz w:val="19"/>
          <w:szCs w:val="24"/>
        </w:rPr>
        <w:t>subjektů je</w:t>
      </w:r>
      <w:r w:rsidRPr="00537614">
        <w:rPr>
          <w:b w:val="0"/>
          <w:color w:val="auto"/>
          <w:sz w:val="19"/>
          <w:szCs w:val="24"/>
        </w:rPr>
        <w:t xml:space="preserve"> nutné především vhodně nastavit systém preferenčního odměňování. Dodavatel doposud navrhoval využití následujících dvou forem pref</w:t>
      </w:r>
      <w:r w:rsidR="00DC6CA2" w:rsidRPr="00537614">
        <w:rPr>
          <w:b w:val="0"/>
          <w:color w:val="auto"/>
          <w:sz w:val="19"/>
          <w:szCs w:val="24"/>
        </w:rPr>
        <w:t xml:space="preserve">erenčního odměňování u nástroje </w:t>
      </w:r>
      <w:r w:rsidRPr="00537614">
        <w:rPr>
          <w:b w:val="0"/>
          <w:color w:val="auto"/>
          <w:sz w:val="19"/>
          <w:szCs w:val="24"/>
        </w:rPr>
        <w:t>v </w:t>
      </w:r>
      <w:r w:rsidR="00F5709A" w:rsidRPr="00537614">
        <w:rPr>
          <w:b w:val="0"/>
          <w:color w:val="auto"/>
          <w:sz w:val="19"/>
          <w:szCs w:val="24"/>
        </w:rPr>
        <w:t>IROP</w:t>
      </w:r>
      <w:r w:rsidRPr="00537614">
        <w:rPr>
          <w:b w:val="0"/>
          <w:color w:val="auto"/>
          <w:sz w:val="19"/>
          <w:szCs w:val="24"/>
        </w:rPr>
        <w:t xml:space="preserve"> 2014-2020:</w:t>
      </w:r>
    </w:p>
    <w:p w:rsidR="0077225E" w:rsidRPr="00537614" w:rsidRDefault="0077225E" w:rsidP="002D2639">
      <w:pPr>
        <w:pStyle w:val="CaptionIntroductionparagraph"/>
        <w:numPr>
          <w:ilvl w:val="0"/>
          <w:numId w:val="24"/>
        </w:numPr>
        <w:jc w:val="both"/>
        <w:rPr>
          <w:b w:val="0"/>
          <w:color w:val="auto"/>
          <w:sz w:val="19"/>
          <w:szCs w:val="24"/>
        </w:rPr>
      </w:pPr>
      <w:r w:rsidRPr="00537614">
        <w:rPr>
          <w:color w:val="auto"/>
          <w:sz w:val="19"/>
          <w:szCs w:val="24"/>
        </w:rPr>
        <w:t>Asymetrické krytí ztrát</w:t>
      </w:r>
      <w:r w:rsidRPr="00537614">
        <w:rPr>
          <w:b w:val="0"/>
          <w:color w:val="auto"/>
          <w:sz w:val="19"/>
          <w:szCs w:val="24"/>
        </w:rPr>
        <w:t xml:space="preserve"> (využití instrumentu </w:t>
      </w:r>
      <w:r w:rsidRPr="00537614">
        <w:rPr>
          <w:b w:val="0"/>
          <w:i/>
          <w:color w:val="auto"/>
          <w:sz w:val="19"/>
          <w:szCs w:val="24"/>
        </w:rPr>
        <w:t>first piece loss</w:t>
      </w:r>
      <w:r w:rsidRPr="00537614">
        <w:rPr>
          <w:b w:val="0"/>
          <w:color w:val="auto"/>
          <w:sz w:val="19"/>
          <w:szCs w:val="24"/>
        </w:rPr>
        <w:t>);</w:t>
      </w:r>
    </w:p>
    <w:p w:rsidR="0077225E" w:rsidRPr="00537614" w:rsidRDefault="0077225E" w:rsidP="002D2639">
      <w:pPr>
        <w:pStyle w:val="CaptionIntroductionparagraph"/>
        <w:numPr>
          <w:ilvl w:val="0"/>
          <w:numId w:val="24"/>
        </w:numPr>
        <w:jc w:val="both"/>
        <w:rPr>
          <w:b w:val="0"/>
          <w:color w:val="auto"/>
          <w:sz w:val="19"/>
          <w:szCs w:val="24"/>
        </w:rPr>
      </w:pPr>
      <w:r w:rsidRPr="00537614">
        <w:rPr>
          <w:color w:val="auto"/>
          <w:sz w:val="19"/>
          <w:szCs w:val="24"/>
        </w:rPr>
        <w:t>Asymetrické sdílení zisků</w:t>
      </w:r>
      <w:r w:rsidRPr="00537614">
        <w:rPr>
          <w:b w:val="0"/>
          <w:color w:val="auto"/>
          <w:sz w:val="19"/>
          <w:szCs w:val="24"/>
        </w:rPr>
        <w:t xml:space="preserve"> (snížení úrokové sazby konečnému příjemci přijetím nižší splátky úroku z poskytnutého úvěru, než je přisouzeno zapojenému spolufinancujícímu subjektu).</w:t>
      </w:r>
    </w:p>
    <w:p w:rsidR="0077225E" w:rsidRPr="00537614" w:rsidRDefault="0077225E" w:rsidP="0077225E">
      <w:r w:rsidRPr="00537614">
        <w:t>Pravidla veřejné podpory navrhované formy preferenčního odměňování v zásadě umožňují. Pro zajištění souladu navrhovaných schémat preferenčního odměňování lze doporučit využít možností GBER. Dodavatel posoudil navrhované varianty s aktuálně platnými pravidly veřejné podpory. Z uvedeného vyplývá, že preferenční odměňování lze nastavit při dodržení pravidel uvedených níže.</w:t>
      </w:r>
    </w:p>
    <w:p w:rsidR="0077225E" w:rsidRPr="00537614" w:rsidRDefault="0077225E" w:rsidP="0077225E">
      <w:pPr>
        <w:pStyle w:val="CaptionIntroductionparagraph"/>
      </w:pPr>
      <w:r w:rsidRPr="00537614">
        <w:t>Asymetrické krytí ztrát</w:t>
      </w:r>
    </w:p>
    <w:p w:rsidR="0077225E" w:rsidRPr="00537614" w:rsidRDefault="0077225E" w:rsidP="002D2639">
      <w:pPr>
        <w:pStyle w:val="Odstavecseseznamem"/>
        <w:numPr>
          <w:ilvl w:val="0"/>
          <w:numId w:val="15"/>
        </w:numPr>
        <w:ind w:left="567"/>
        <w:rPr>
          <w:b/>
        </w:rPr>
      </w:pPr>
      <w:r w:rsidRPr="00537614">
        <w:rPr>
          <w:b/>
        </w:rPr>
        <w:t xml:space="preserve">Asymetrické krytí ztrát </w:t>
      </w:r>
      <w:r w:rsidR="00604655" w:rsidRPr="00537614">
        <w:rPr>
          <w:b/>
        </w:rPr>
        <w:t xml:space="preserve">je </w:t>
      </w:r>
      <w:r w:rsidRPr="00537614">
        <w:rPr>
          <w:b/>
        </w:rPr>
        <w:t>v zásadě umožněno.</w:t>
      </w:r>
    </w:p>
    <w:p w:rsidR="0077225E" w:rsidRPr="00537614" w:rsidRDefault="0077225E" w:rsidP="002D2639">
      <w:pPr>
        <w:pStyle w:val="Odstavecseseznamem"/>
        <w:numPr>
          <w:ilvl w:val="0"/>
          <w:numId w:val="15"/>
        </w:numPr>
        <w:ind w:left="567"/>
      </w:pPr>
      <w:r w:rsidRPr="00537614">
        <w:t>Preferenční odměňování je možné použít pouze v případě, že dojde k identifikaci odůvodněné potřeby zajistit zapojení soukromých zdrojů tímto způsobem. Dodavatel uvádí</w:t>
      </w:r>
      <w:r w:rsidRPr="00537614">
        <w:rPr>
          <w:b/>
        </w:rPr>
        <w:t>, že tato nutnost byla identifikována a odůvodněna v rámci analýzy selhání trhu (zaměření bloku A Projektu).</w:t>
      </w:r>
    </w:p>
    <w:p w:rsidR="0077225E" w:rsidRPr="00537614" w:rsidRDefault="0077225E" w:rsidP="002D2639">
      <w:pPr>
        <w:pStyle w:val="Odstavecseseznamem"/>
        <w:numPr>
          <w:ilvl w:val="0"/>
          <w:numId w:val="15"/>
        </w:numPr>
        <w:ind w:left="567"/>
      </w:pPr>
      <w:r w:rsidRPr="00537614">
        <w:t xml:space="preserve">Preferenční odměňování nesmí vést k nadměrné kompenzaci soukromého investora, nutnost vyčíslení preferenčního odměňování v návaznosti na identifikované selhání trhu. </w:t>
      </w:r>
      <w:r w:rsidRPr="00537614">
        <w:rPr>
          <w:b/>
        </w:rPr>
        <w:t>Dodavatel soudí, že toto vyčíslení bylo provedeno v rámci ostatních částí předběžného posouzení (zaměření bloku A Projektu)</w:t>
      </w:r>
      <w:r w:rsidRPr="00537614">
        <w:t>.</w:t>
      </w:r>
    </w:p>
    <w:p w:rsidR="0077225E" w:rsidRPr="00537614" w:rsidRDefault="0077225E" w:rsidP="002D2639">
      <w:pPr>
        <w:pStyle w:val="Odstavecseseznamem"/>
        <w:numPr>
          <w:ilvl w:val="0"/>
          <w:numId w:val="15"/>
        </w:numPr>
        <w:ind w:left="567"/>
        <w:rPr>
          <w:b/>
        </w:rPr>
      </w:pPr>
      <w:r w:rsidRPr="00537614">
        <w:t xml:space="preserve">Preferenční odměňování by mělo odrážet tzv. </w:t>
      </w:r>
      <w:r w:rsidRPr="00537614">
        <w:rPr>
          <w:i/>
        </w:rPr>
        <w:t xml:space="preserve">fair rate of return </w:t>
      </w:r>
      <w:r w:rsidRPr="00537614">
        <w:t xml:space="preserve">definované v judikatuře Soudního dvora EU (analýzu je možné provést na základě soutěžního procesu nebo nezávislého znaleckého posudku). Dle GBER se </w:t>
      </w:r>
      <w:r w:rsidRPr="00537614">
        <w:rPr>
          <w:szCs w:val="19"/>
        </w:rPr>
        <w:t>„přiměřenou mírou rentability (</w:t>
      </w:r>
      <w:r w:rsidRPr="00537614">
        <w:rPr>
          <w:i/>
          <w:iCs/>
          <w:szCs w:val="19"/>
        </w:rPr>
        <w:t>fair rate of return</w:t>
      </w:r>
      <w:r w:rsidRPr="00537614">
        <w:rPr>
          <w:szCs w:val="19"/>
        </w:rPr>
        <w:t xml:space="preserve">)“ rozumí očekávaná rentabilita odpovídající diskontní sazbě upravené o vliv rizika, která odráží úroveň rizika projektu a charakter a objem kapitálu, jejž soukromí investoři plánují investovat. </w:t>
      </w:r>
      <w:r w:rsidRPr="00537614">
        <w:rPr>
          <w:b/>
          <w:szCs w:val="19"/>
        </w:rPr>
        <w:t>Před nastavením preferenčního systému</w:t>
      </w:r>
      <w:r w:rsidR="00C46533" w:rsidRPr="00537614">
        <w:rPr>
          <w:b/>
          <w:szCs w:val="19"/>
        </w:rPr>
        <w:t xml:space="preserve"> odměňování nutné kvantifikovat, </w:t>
      </w:r>
      <w:r w:rsidR="00604655" w:rsidRPr="00537614">
        <w:rPr>
          <w:szCs w:val="19"/>
        </w:rPr>
        <w:t>návrh dodavatele</w:t>
      </w:r>
      <w:r w:rsidR="00C46533" w:rsidRPr="00537614">
        <w:rPr>
          <w:szCs w:val="19"/>
        </w:rPr>
        <w:t xml:space="preserve"> na modelovém příkladu je součástí popisu kapitoly 5.4.5.</w:t>
      </w:r>
    </w:p>
    <w:p w:rsidR="00752D4F" w:rsidRPr="00537614" w:rsidRDefault="006C4AE2" w:rsidP="00463630">
      <w:r w:rsidRPr="00537614">
        <w:t>Dále je třeba respektovat pravidla přímo uváděná v rámci navrhovaného čl. 39</w:t>
      </w:r>
      <w:r w:rsidR="00752D4F" w:rsidRPr="00537614">
        <w:t xml:space="preserve"> GBER</w:t>
      </w:r>
      <w:r w:rsidRPr="00537614">
        <w:t>, odst. 8, písmena a) – c)</w:t>
      </w:r>
      <w:r w:rsidR="00752D4F" w:rsidRPr="00537614">
        <w:t xml:space="preserve"> Mezi tyto </w:t>
      </w:r>
      <w:r w:rsidRPr="00537614">
        <w:t>pravidla</w:t>
      </w:r>
      <w:r w:rsidR="00752D4F" w:rsidRPr="00537614">
        <w:t xml:space="preserve"> patří:</w:t>
      </w:r>
    </w:p>
    <w:p w:rsidR="0077225E" w:rsidRPr="00537614" w:rsidRDefault="0077225E" w:rsidP="00463630">
      <w:pPr>
        <w:pStyle w:val="Odstavecseseznamem"/>
        <w:ind w:left="567"/>
        <w:rPr>
          <w:i/>
          <w:szCs w:val="19"/>
        </w:rPr>
      </w:pPr>
    </w:p>
    <w:p w:rsidR="0077225E" w:rsidRPr="00537614" w:rsidRDefault="0077225E" w:rsidP="00463630">
      <w:pPr>
        <w:pStyle w:val="Odstavecseseznamem"/>
        <w:ind w:left="567"/>
        <w:rPr>
          <w:i/>
          <w:szCs w:val="19"/>
        </w:rPr>
      </w:pPr>
    </w:p>
    <w:p w:rsidR="006C4AE2" w:rsidRPr="00537614" w:rsidRDefault="006C4AE2" w:rsidP="00463630">
      <w:pPr>
        <w:pStyle w:val="Odstavecseseznamem"/>
        <w:ind w:left="567"/>
        <w:rPr>
          <w:i/>
          <w:szCs w:val="19"/>
        </w:rPr>
      </w:pPr>
      <w:r w:rsidRPr="00537614">
        <w:rPr>
          <w:i/>
          <w:szCs w:val="19"/>
        </w:rPr>
        <w:t>a) správci finančního zprostředkovatele a správci fondu energetické účinnosti musí být vybráni prostřednictvím otevřeného, transparentního a nediskriminačního výběrového řízení v souladu s použitelným právem Unie a vnitrostátními právními předpisy. Zejména nesmí být mezi těmito subjekty rozlišováno podle jejich místa usazení či sídla v určitém členském státě. Po finančních zprostředkovatelích a správcích fondů energetické účinnosti může být požadováno, aby splnili určitá předem stanovená kritéria, která jsou objektivně odůvodněna povahou investic;</w:t>
      </w:r>
    </w:p>
    <w:p w:rsidR="00674F5F" w:rsidRPr="00537614" w:rsidRDefault="00674F5F" w:rsidP="00463630">
      <w:pPr>
        <w:pStyle w:val="Odstavecseseznamem"/>
        <w:ind w:left="567"/>
        <w:rPr>
          <w:i/>
          <w:szCs w:val="19"/>
        </w:rPr>
      </w:pPr>
    </w:p>
    <w:p w:rsidR="00674F5F" w:rsidRPr="00537614" w:rsidRDefault="00674F5F" w:rsidP="00463630">
      <w:pPr>
        <w:pStyle w:val="Odstavecseseznamem"/>
        <w:ind w:left="567"/>
        <w:rPr>
          <w:i/>
          <w:szCs w:val="19"/>
        </w:rPr>
      </w:pPr>
      <w:r w:rsidRPr="00537614">
        <w:rPr>
          <w:i/>
          <w:szCs w:val="19"/>
        </w:rPr>
        <w:t>b) nezávislí soukromí investoři musí být vybráni prostřednictvím otevřeného, transparentního a nediskriminačního výběrového řízení, které je vedeno v souladu s použitelným právem Unie a vnitrostátními právními předpisy a jehož cílem je uzavřít pro jiné investice, než jsou záruky, odpovídající ujednání o sdílení rizik a odměny s tím, že asymetrickému sdílení zisku je dávána přednost před stanovením horního limitu ztráty za účelem ochrany investice (</w:t>
      </w:r>
      <w:r w:rsidRPr="00537614">
        <w:rPr>
          <w:i/>
          <w:iCs/>
          <w:szCs w:val="19"/>
        </w:rPr>
        <w:t>Downside Protection</w:t>
      </w:r>
      <w:r w:rsidRPr="00537614">
        <w:rPr>
          <w:i/>
          <w:szCs w:val="19"/>
        </w:rPr>
        <w:t>). Nejsou-li soukromí investoři vybráni prostřednictvím takovéhoto řízení, musí přiměřenou míru rentability (</w:t>
      </w:r>
      <w:r w:rsidRPr="00537614">
        <w:rPr>
          <w:i/>
          <w:iCs/>
          <w:szCs w:val="19"/>
        </w:rPr>
        <w:t>fair rate of return</w:t>
      </w:r>
      <w:r w:rsidRPr="00537614">
        <w:rPr>
          <w:i/>
          <w:szCs w:val="19"/>
        </w:rPr>
        <w:t>) investic soukromých investorů určit nezávislý znalec vybraný prostřednictvím otevřeného, transparentního a nediskriminačního výběrového řízení;</w:t>
      </w:r>
    </w:p>
    <w:p w:rsidR="0077225E" w:rsidRPr="00537614" w:rsidRDefault="0077225E" w:rsidP="00463630">
      <w:pPr>
        <w:pStyle w:val="Odstavecseseznamem"/>
        <w:ind w:left="567"/>
        <w:rPr>
          <w:i/>
          <w:szCs w:val="19"/>
        </w:rPr>
      </w:pPr>
    </w:p>
    <w:p w:rsidR="0077225E" w:rsidRPr="00537614" w:rsidRDefault="0077225E" w:rsidP="00463630">
      <w:pPr>
        <w:pStyle w:val="Odstavecseseznamem"/>
        <w:ind w:left="567"/>
        <w:rPr>
          <w:i/>
          <w:szCs w:val="19"/>
        </w:rPr>
      </w:pPr>
      <w:r w:rsidRPr="00537614">
        <w:rPr>
          <w:i/>
          <w:szCs w:val="19"/>
        </w:rPr>
        <w:t xml:space="preserve">c) v případě asymetrického sdílení ztrát mezi veřejnými a soukromými investory musí být první ztráta převzatá veřejným investorem omezena na nejvýše 25 % celkové investice; </w:t>
      </w:r>
    </w:p>
    <w:p w:rsidR="0077225E" w:rsidRPr="00537614" w:rsidRDefault="0077225E" w:rsidP="00463630">
      <w:pPr>
        <w:pStyle w:val="Odstavecseseznamem"/>
        <w:ind w:left="567"/>
        <w:rPr>
          <w:i/>
          <w:szCs w:val="19"/>
        </w:rPr>
      </w:pPr>
    </w:p>
    <w:p w:rsidR="0077225E" w:rsidRPr="00537614" w:rsidRDefault="0077225E" w:rsidP="00463630">
      <w:pPr>
        <w:pStyle w:val="Odstavecseseznamem"/>
        <w:ind w:left="567"/>
        <w:rPr>
          <w:szCs w:val="19"/>
        </w:rPr>
      </w:pPr>
      <w:r w:rsidRPr="00537614">
        <w:rPr>
          <w:b/>
          <w:szCs w:val="19"/>
        </w:rPr>
        <w:t xml:space="preserve">Nutné </w:t>
      </w:r>
      <w:r w:rsidR="00C46533" w:rsidRPr="00537614">
        <w:rPr>
          <w:b/>
          <w:szCs w:val="19"/>
        </w:rPr>
        <w:t xml:space="preserve">zakotvit následující omezení </w:t>
      </w:r>
      <w:r w:rsidR="00C46533" w:rsidRPr="00537614">
        <w:rPr>
          <w:szCs w:val="19"/>
        </w:rPr>
        <w:t xml:space="preserve">– dodavatel navrhuje míru sdílení rizik na portfoliu </w:t>
      </w:r>
      <w:r w:rsidR="00604655" w:rsidRPr="00537614">
        <w:rPr>
          <w:szCs w:val="19"/>
        </w:rPr>
        <w:t>do výše 10% každého ze zapojených spolufinancujících subjektů.</w:t>
      </w:r>
    </w:p>
    <w:p w:rsidR="0077225E" w:rsidRPr="00537614" w:rsidRDefault="0077225E" w:rsidP="0077225E">
      <w:pPr>
        <w:pStyle w:val="CaptionIntroductionparagraph"/>
      </w:pPr>
      <w:r w:rsidRPr="00537614">
        <w:t>Asymetrické sdílení zisků</w:t>
      </w:r>
    </w:p>
    <w:p w:rsidR="0077225E" w:rsidRPr="00537614" w:rsidRDefault="0077225E" w:rsidP="002D2639">
      <w:pPr>
        <w:pStyle w:val="Odstavecseseznamem"/>
        <w:numPr>
          <w:ilvl w:val="0"/>
          <w:numId w:val="15"/>
        </w:numPr>
        <w:ind w:left="567"/>
        <w:rPr>
          <w:b/>
        </w:rPr>
      </w:pPr>
      <w:r w:rsidRPr="00537614">
        <w:rPr>
          <w:b/>
        </w:rPr>
        <w:t xml:space="preserve">Asymetrické sdílení zisků </w:t>
      </w:r>
      <w:r w:rsidR="00F70020" w:rsidRPr="00537614">
        <w:rPr>
          <w:b/>
        </w:rPr>
        <w:t xml:space="preserve">je </w:t>
      </w:r>
      <w:r w:rsidRPr="00537614">
        <w:rPr>
          <w:b/>
        </w:rPr>
        <w:t>v zásadě umožněno.</w:t>
      </w:r>
    </w:p>
    <w:p w:rsidR="0077225E" w:rsidRPr="00537614" w:rsidRDefault="0077225E" w:rsidP="002D2639">
      <w:pPr>
        <w:pStyle w:val="Odstavecseseznamem"/>
        <w:numPr>
          <w:ilvl w:val="0"/>
          <w:numId w:val="15"/>
        </w:numPr>
        <w:ind w:left="567"/>
      </w:pPr>
      <w:r w:rsidRPr="00537614">
        <w:t xml:space="preserve">Preferenční odměňování je možné použít pouze v případě, že dojde k identifikaci odůvodněné potřeby zajistit zapojení soukromých zdrojů tímto způsobem. </w:t>
      </w:r>
      <w:r w:rsidRPr="00537614">
        <w:rPr>
          <w:b/>
        </w:rPr>
        <w:t>Dodavatel uvádí, že tato nutnost byla identifikována a odůvodněna v rámci analýzy selhání trhu (zaměření bloku A Projektu).</w:t>
      </w:r>
    </w:p>
    <w:p w:rsidR="0077225E" w:rsidRPr="00537614" w:rsidRDefault="0077225E" w:rsidP="002D2639">
      <w:pPr>
        <w:pStyle w:val="Odstavecseseznamem"/>
        <w:numPr>
          <w:ilvl w:val="0"/>
          <w:numId w:val="15"/>
        </w:numPr>
        <w:ind w:left="567"/>
      </w:pPr>
      <w:r w:rsidRPr="00537614">
        <w:t xml:space="preserve">Preferenční odměňování nesmí vést k nadměrné kompenzaci soukromého investora, nutnost vyčíslení preferenčního odměňování v návaznosti na identifikované selhání trhu. </w:t>
      </w:r>
      <w:r w:rsidRPr="00537614">
        <w:rPr>
          <w:b/>
        </w:rPr>
        <w:t>Dodavatel soudí, že toto vyčíslení bylo provedeno v rámci ostatních částí předběžného posouzení (zaměření bloku A Projektu)</w:t>
      </w:r>
      <w:r w:rsidRPr="00537614">
        <w:t>.</w:t>
      </w:r>
    </w:p>
    <w:p w:rsidR="0077225E" w:rsidRPr="00537614" w:rsidRDefault="0077225E" w:rsidP="002D2639">
      <w:pPr>
        <w:pStyle w:val="Odstavecseseznamem"/>
        <w:numPr>
          <w:ilvl w:val="0"/>
          <w:numId w:val="15"/>
        </w:numPr>
        <w:ind w:left="567"/>
        <w:rPr>
          <w:b/>
        </w:rPr>
      </w:pPr>
      <w:r w:rsidRPr="00537614">
        <w:t xml:space="preserve">Preferenční odměňování by mělo odrážet tzv. </w:t>
      </w:r>
      <w:r w:rsidRPr="00537614">
        <w:rPr>
          <w:i/>
        </w:rPr>
        <w:t xml:space="preserve">fair rate of return </w:t>
      </w:r>
      <w:r w:rsidRPr="00537614">
        <w:t xml:space="preserve">definované v judikatuře Soudního dvora EU (analýzu je možné provést na základě soutěžního procesu nebo nezávislého znaleckého posudku). Dle GBER se </w:t>
      </w:r>
      <w:r w:rsidRPr="00537614">
        <w:rPr>
          <w:szCs w:val="19"/>
        </w:rPr>
        <w:t>„přiměřenou mírou rentability (</w:t>
      </w:r>
      <w:r w:rsidRPr="00537614">
        <w:rPr>
          <w:i/>
          <w:iCs/>
          <w:szCs w:val="19"/>
        </w:rPr>
        <w:t>fair rate of return</w:t>
      </w:r>
      <w:r w:rsidRPr="00537614">
        <w:rPr>
          <w:szCs w:val="19"/>
        </w:rPr>
        <w:t xml:space="preserve">)“ rozumí očekávaná rentabilita odpovídající diskontní sazbě upravené o vliv rizika, která odráží úroveň rizika projektu a charakter a objem kapitálu, jejž soukromí investoři plánují investovat. </w:t>
      </w:r>
      <w:r w:rsidRPr="00537614">
        <w:rPr>
          <w:b/>
          <w:szCs w:val="19"/>
        </w:rPr>
        <w:t>Před nastavením preferenčního systému odměňování nutné kvantifikovat</w:t>
      </w:r>
      <w:r w:rsidR="002F67E7" w:rsidRPr="00537614">
        <w:rPr>
          <w:szCs w:val="19"/>
        </w:rPr>
        <w:t>, posouzení na modelovém příkladu je součástí popisu kapitoly 5.4.5.</w:t>
      </w:r>
    </w:p>
    <w:p w:rsidR="0004532F" w:rsidRPr="00537614" w:rsidRDefault="00752D4F" w:rsidP="002E1B1C">
      <w:pPr>
        <w:pStyle w:val="Odstavecseseznamem"/>
        <w:numPr>
          <w:ilvl w:val="0"/>
          <w:numId w:val="15"/>
        </w:numPr>
        <w:ind w:left="567" w:hanging="283"/>
      </w:pPr>
      <w:r w:rsidRPr="00537614">
        <w:t xml:space="preserve">I v případě asymetrického sdílení zisků je kromě obecných pravidel </w:t>
      </w:r>
      <w:r w:rsidR="00C97CF6" w:rsidRPr="00537614">
        <w:t>nutné respektovat pravidla přímo uváděná v rámci navrhovaného čl. 39 GBER, odst. 8, písmena a) – c), která jsou jmenována výše.</w:t>
      </w:r>
      <w:r w:rsidR="00C97CF6" w:rsidRPr="00537614" w:rsidDel="00C97CF6">
        <w:t xml:space="preserve"> </w:t>
      </w:r>
    </w:p>
    <w:p w:rsidR="0077225E" w:rsidRPr="00537614" w:rsidRDefault="0077225E" w:rsidP="002A0A5F">
      <w:pPr>
        <w:pStyle w:val="Nadpis3"/>
        <w:rPr>
          <w:rFonts w:cs="Times New Roman"/>
          <w:b w:val="0"/>
          <w:bCs w:val="0"/>
          <w:iCs w:val="0"/>
          <w:color w:val="auto"/>
          <w:kern w:val="0"/>
          <w:sz w:val="19"/>
          <w:szCs w:val="24"/>
        </w:rPr>
      </w:pPr>
      <w:bookmarkStart w:id="143" w:name="_Toc418767168"/>
      <w:r w:rsidRPr="00537614">
        <w:t>Pravidla vyplácení odměny správci fondu</w:t>
      </w:r>
      <w:bookmarkEnd w:id="143"/>
    </w:p>
    <w:p w:rsidR="0077225E" w:rsidRPr="00537614" w:rsidRDefault="0077225E" w:rsidP="0077225E">
      <w:pPr>
        <w:pStyle w:val="Odstavecseseznamem"/>
        <w:tabs>
          <w:tab w:val="left" w:pos="0"/>
        </w:tabs>
        <w:autoSpaceDE w:val="0"/>
        <w:autoSpaceDN w:val="0"/>
        <w:adjustRightInd w:val="0"/>
        <w:ind w:left="0"/>
        <w:rPr>
          <w:rFonts w:cs="Arial"/>
          <w:szCs w:val="19"/>
        </w:rPr>
      </w:pPr>
      <w:r w:rsidRPr="00537614">
        <w:rPr>
          <w:rFonts w:cs="Arial"/>
          <w:szCs w:val="19"/>
        </w:rPr>
        <w:t>Z hlediska veřejné podpory je nezbytné, aby poskytovaná odměna odrážela tržní odměnu ve srovnatelné situaci. Tato podmínka je splněna v následujících případech:</w:t>
      </w:r>
    </w:p>
    <w:p w:rsidR="0077225E" w:rsidRPr="00537614" w:rsidRDefault="0077225E" w:rsidP="0077225E">
      <w:pPr>
        <w:pStyle w:val="Odstavecseseznamem"/>
        <w:autoSpaceDE w:val="0"/>
        <w:autoSpaceDN w:val="0"/>
        <w:adjustRightInd w:val="0"/>
        <w:rPr>
          <w:rFonts w:cs="Arial"/>
          <w:szCs w:val="19"/>
        </w:rPr>
      </w:pPr>
    </w:p>
    <w:p w:rsidR="0077225E" w:rsidRPr="00537614" w:rsidRDefault="00752D4F" w:rsidP="002D2639">
      <w:pPr>
        <w:pStyle w:val="Odstavecseseznamem"/>
        <w:numPr>
          <w:ilvl w:val="0"/>
          <w:numId w:val="25"/>
        </w:numPr>
        <w:autoSpaceDE w:val="0"/>
        <w:autoSpaceDN w:val="0"/>
        <w:adjustRightInd w:val="0"/>
        <w:rPr>
          <w:rFonts w:cs="Arial"/>
          <w:szCs w:val="19"/>
        </w:rPr>
      </w:pPr>
      <w:r w:rsidRPr="00537614">
        <w:rPr>
          <w:rFonts w:cs="Arial"/>
          <w:szCs w:val="19"/>
        </w:rPr>
        <w:t>Správce fondu</w:t>
      </w:r>
      <w:r w:rsidR="0077225E" w:rsidRPr="00537614">
        <w:rPr>
          <w:rFonts w:cs="Arial"/>
          <w:szCs w:val="19"/>
        </w:rPr>
        <w:t xml:space="preserve"> byl vybrán prostřednictvím otevřeného, transparentního, nediskriminačního a objektivního výběrového řízení,</w:t>
      </w:r>
    </w:p>
    <w:p w:rsidR="0077225E" w:rsidRPr="00537614" w:rsidRDefault="0077225E" w:rsidP="0077225E">
      <w:pPr>
        <w:pStyle w:val="Odstavecseseznamem"/>
        <w:autoSpaceDE w:val="0"/>
        <w:autoSpaceDN w:val="0"/>
        <w:adjustRightInd w:val="0"/>
        <w:ind w:left="426"/>
        <w:rPr>
          <w:rFonts w:cs="Arial"/>
          <w:szCs w:val="19"/>
        </w:rPr>
      </w:pPr>
      <w:r w:rsidRPr="00537614">
        <w:rPr>
          <w:rFonts w:cs="Arial"/>
          <w:szCs w:val="19"/>
        </w:rPr>
        <w:t>nebo</w:t>
      </w:r>
    </w:p>
    <w:p w:rsidR="0077225E" w:rsidRPr="00537614" w:rsidRDefault="0077225E" w:rsidP="002D2639">
      <w:pPr>
        <w:pStyle w:val="Odstavecseseznamem"/>
        <w:numPr>
          <w:ilvl w:val="0"/>
          <w:numId w:val="25"/>
        </w:numPr>
        <w:autoSpaceDE w:val="0"/>
        <w:autoSpaceDN w:val="0"/>
        <w:adjustRightInd w:val="0"/>
        <w:rPr>
          <w:rFonts w:cs="Arial"/>
          <w:szCs w:val="19"/>
        </w:rPr>
      </w:pPr>
      <w:r w:rsidRPr="00537614">
        <w:rPr>
          <w:rFonts w:cs="Arial"/>
          <w:szCs w:val="19"/>
        </w:rPr>
        <w:t>Odměna odpovídá čl. 12 a 13 Nařízení Komise v přenesené pravomoci č. 480/2014</w:t>
      </w:r>
    </w:p>
    <w:p w:rsidR="0077225E" w:rsidRPr="00537614" w:rsidRDefault="0077225E" w:rsidP="0077225E">
      <w:r w:rsidRPr="00537614">
        <w:rPr>
          <w:rFonts w:cs="Arial"/>
          <w:szCs w:val="19"/>
        </w:rPr>
        <w:t xml:space="preserve">Při výpočtu odměny </w:t>
      </w:r>
      <w:r w:rsidRPr="00537614">
        <w:rPr>
          <w:szCs w:val="19"/>
        </w:rPr>
        <w:t xml:space="preserve">(„poplatků za správu“) správci fondů představují </w:t>
      </w:r>
      <w:r w:rsidRPr="00537614">
        <w:t>náklady týkajících se správy nebo úhrady poplatků za správu finančního nástroje způsobilé výdaje (čl. 42 odst. 1 písm. d) obecného nařízení). Náklady a poplatky za správu mohou být účtovány subjekty provádějícími finanční nástroje, tj. i finančními zprostředkovateli v případě navržených finančních nástrojů (čl. 42 odst. 5 obecného nařízení).</w:t>
      </w:r>
    </w:p>
    <w:p w:rsidR="0077225E" w:rsidRPr="00537614" w:rsidRDefault="0077225E" w:rsidP="0077225E">
      <w:r w:rsidRPr="00537614">
        <w:t xml:space="preserve">Náklady a poplatky nesmějí </w:t>
      </w:r>
      <w:r w:rsidRPr="00537614">
        <w:rPr>
          <w:rFonts w:cs="Arial"/>
          <w:color w:val="000000"/>
          <w:szCs w:val="19"/>
        </w:rPr>
        <w:t xml:space="preserve">překročit prahové hodnoty stanovené v čl. 13 </w:t>
      </w:r>
      <w:r w:rsidRPr="00537614">
        <w:rPr>
          <w:rFonts w:cs="Arial"/>
          <w:szCs w:val="19"/>
        </w:rPr>
        <w:t>Nařízení Komise v přenesené pravomoci č. 480/2014:</w:t>
      </w:r>
    </w:p>
    <w:p w:rsidR="0077225E" w:rsidRPr="00537614" w:rsidRDefault="0077225E" w:rsidP="002D2639">
      <w:pPr>
        <w:pStyle w:val="Odstavecseseznamem"/>
        <w:numPr>
          <w:ilvl w:val="0"/>
          <w:numId w:val="26"/>
        </w:numPr>
      </w:pPr>
      <w:r w:rsidRPr="00537614">
        <w:t xml:space="preserve">Prahové hodnoty pro základní odměnu a výkonnostní odměnu pro všechny tři navržené finanční nástroje stanovuje čl. 13 odst. 2 </w:t>
      </w:r>
      <w:r w:rsidRPr="00537614">
        <w:rPr>
          <w:rFonts w:cs="Arial"/>
          <w:szCs w:val="19"/>
        </w:rPr>
        <w:t>Nařízení Komise v přenesené pravomoci č. 480/2014</w:t>
      </w:r>
    </w:p>
    <w:p w:rsidR="0077225E" w:rsidRPr="00537614" w:rsidRDefault="0077225E" w:rsidP="002D2639">
      <w:pPr>
        <w:pStyle w:val="Odstavecseseznamem"/>
        <w:numPr>
          <w:ilvl w:val="0"/>
          <w:numId w:val="26"/>
        </w:numPr>
      </w:pPr>
      <w:r w:rsidRPr="00537614">
        <w:rPr>
          <w:rFonts w:cs="Arial"/>
          <w:szCs w:val="19"/>
        </w:rPr>
        <w:t>Prahové hodnoty pro s</w:t>
      </w:r>
      <w:r w:rsidRPr="00537614">
        <w:rPr>
          <w:szCs w:val="19"/>
        </w:rPr>
        <w:t xml:space="preserve">ouhrnnou částku nákladů a poplatků spojených s řízením v průběhu období způsobilosti stanovuje </w:t>
      </w:r>
      <w:r w:rsidRPr="00537614">
        <w:t xml:space="preserve">čl. 13 odst. 2 </w:t>
      </w:r>
      <w:r w:rsidRPr="00537614">
        <w:rPr>
          <w:rFonts w:cs="Arial"/>
          <w:szCs w:val="19"/>
        </w:rPr>
        <w:t>Nařízení Komise v přenesené pravomoci č. 480/2014. Relevantní prahové hodnoty jsou následující:</w:t>
      </w:r>
    </w:p>
    <w:p w:rsidR="0077225E" w:rsidRPr="00537614" w:rsidRDefault="0077225E" w:rsidP="0077225E">
      <w:pPr>
        <w:pStyle w:val="Odstavecseseznamem"/>
        <w:ind w:left="1080"/>
        <w:rPr>
          <w:rFonts w:cs="Arial"/>
          <w:szCs w:val="19"/>
        </w:rPr>
      </w:pPr>
    </w:p>
    <w:p w:rsidR="0077225E" w:rsidRPr="00537614" w:rsidRDefault="0077225E" w:rsidP="002D2639">
      <w:pPr>
        <w:pStyle w:val="Odstavecseseznamem"/>
        <w:numPr>
          <w:ilvl w:val="0"/>
          <w:numId w:val="18"/>
        </w:numPr>
        <w:ind w:left="1080"/>
        <w:rPr>
          <w:szCs w:val="19"/>
        </w:rPr>
      </w:pPr>
      <w:r w:rsidRPr="00537614">
        <w:rPr>
          <w:szCs w:val="19"/>
        </w:rPr>
        <w:t>u finančního nástroje poskytujícího kapitál 20 % celkové výše příspěvků z programu vyplacených do finančního nástroje;</w:t>
      </w:r>
    </w:p>
    <w:p w:rsidR="0077225E" w:rsidRPr="00537614" w:rsidRDefault="0077225E" w:rsidP="002D2639">
      <w:pPr>
        <w:pStyle w:val="Odstavecseseznamem"/>
        <w:numPr>
          <w:ilvl w:val="0"/>
          <w:numId w:val="18"/>
        </w:numPr>
        <w:ind w:left="1080"/>
        <w:rPr>
          <w:szCs w:val="19"/>
        </w:rPr>
      </w:pPr>
      <w:r w:rsidRPr="00537614">
        <w:rPr>
          <w:szCs w:val="19"/>
        </w:rPr>
        <w:t>u finančního nástroje poskytujícího půjčky 8 % celkové výše příspěvků z programu vyplacených do finančního nástroje;</w:t>
      </w:r>
    </w:p>
    <w:p w:rsidR="0077225E" w:rsidRPr="00537614" w:rsidRDefault="0077225E" w:rsidP="002D2639">
      <w:pPr>
        <w:pStyle w:val="Odstavecseseznamem"/>
        <w:numPr>
          <w:ilvl w:val="0"/>
          <w:numId w:val="18"/>
        </w:numPr>
        <w:ind w:left="1080"/>
        <w:rPr>
          <w:szCs w:val="19"/>
        </w:rPr>
      </w:pPr>
      <w:r w:rsidRPr="00537614">
        <w:rPr>
          <w:szCs w:val="19"/>
        </w:rPr>
        <w:t>u finančního nástroje poskytujícího granty, subvence úrokových sazeb nebo subvence poplatků za záruky podle čl. 37 odst. 7 nařízení (EU) č. 1303/2013 6 % celkové výše příspěvků z programu vyplacených do finančního nástroje.</w:t>
      </w:r>
    </w:p>
    <w:p w:rsidR="0077225E" w:rsidRPr="00537614" w:rsidRDefault="0077225E" w:rsidP="0077225E">
      <w:pPr>
        <w:pStyle w:val="Odstavecseseznamem"/>
        <w:ind w:left="360"/>
        <w:rPr>
          <w:szCs w:val="19"/>
        </w:rPr>
      </w:pPr>
    </w:p>
    <w:p w:rsidR="0077225E" w:rsidRPr="00537614" w:rsidRDefault="0077225E" w:rsidP="002D2639">
      <w:pPr>
        <w:pStyle w:val="Odstavecseseznamem"/>
        <w:numPr>
          <w:ilvl w:val="0"/>
          <w:numId w:val="26"/>
        </w:numPr>
      </w:pPr>
      <w:r w:rsidRPr="00537614">
        <w:t>Pokud stejný subjekt provádí fond fondů a finanční nástroj, částky způsobilých nákladů a poplatků spojených s řízením ani hraniční hodnoty nelze kumulovat v případě stejných příspěvků z programu nebo stejných reinvestovaných zdrojů připadajících na příspěvky z programu.</w:t>
      </w:r>
    </w:p>
    <w:p w:rsidR="0077225E" w:rsidRPr="00537614" w:rsidRDefault="0077225E" w:rsidP="0077225E">
      <w:pPr>
        <w:ind w:left="360"/>
      </w:pPr>
      <w:r w:rsidRPr="00537614">
        <w:rPr>
          <w:rFonts w:cs="Arial"/>
          <w:color w:val="000000"/>
          <w:szCs w:val="19"/>
        </w:rPr>
        <w:t xml:space="preserve">Správní náklady a poplatky musí vycházet z metodiky výpočtu založené na výkonnosti dle čl. 12 </w:t>
      </w:r>
      <w:r w:rsidRPr="00537614">
        <w:rPr>
          <w:rFonts w:cs="Arial"/>
          <w:szCs w:val="19"/>
        </w:rPr>
        <w:t>Nařízení Komise v přenesené pravomoci č. 480/2014:</w:t>
      </w:r>
    </w:p>
    <w:p w:rsidR="0077225E" w:rsidRPr="00537614" w:rsidRDefault="0077225E" w:rsidP="002D2639">
      <w:pPr>
        <w:pStyle w:val="Odstavecseseznamem"/>
        <w:numPr>
          <w:ilvl w:val="0"/>
          <w:numId w:val="16"/>
        </w:numPr>
      </w:pPr>
      <w:r w:rsidRPr="00537614">
        <w:rPr>
          <w:szCs w:val="19"/>
        </w:rPr>
        <w:t>Výkonnostní kritéria jsou následující:</w:t>
      </w:r>
    </w:p>
    <w:p w:rsidR="0077225E" w:rsidRPr="00537614" w:rsidRDefault="0077225E" w:rsidP="0077225E">
      <w:pPr>
        <w:pStyle w:val="Odstavecseseznamem"/>
        <w:ind w:left="1440"/>
      </w:pPr>
    </w:p>
    <w:p w:rsidR="0077225E" w:rsidRPr="00537614" w:rsidRDefault="0077225E" w:rsidP="002D2639">
      <w:pPr>
        <w:pStyle w:val="Odstavecseseznamem"/>
        <w:numPr>
          <w:ilvl w:val="0"/>
          <w:numId w:val="17"/>
        </w:numPr>
        <w:ind w:left="1080"/>
        <w:rPr>
          <w:szCs w:val="19"/>
        </w:rPr>
      </w:pPr>
      <w:r w:rsidRPr="00537614">
        <w:rPr>
          <w:szCs w:val="19"/>
        </w:rPr>
        <w:t xml:space="preserve">výplata příspěvků poskytnutých z programu ESI fondů; </w:t>
      </w:r>
    </w:p>
    <w:p w:rsidR="0077225E" w:rsidRPr="00537614" w:rsidRDefault="0077225E" w:rsidP="002D2639">
      <w:pPr>
        <w:pStyle w:val="Odstavecseseznamem"/>
        <w:numPr>
          <w:ilvl w:val="0"/>
          <w:numId w:val="17"/>
        </w:numPr>
        <w:ind w:left="1080"/>
        <w:rPr>
          <w:szCs w:val="19"/>
        </w:rPr>
      </w:pPr>
      <w:r w:rsidRPr="00537614">
        <w:rPr>
          <w:szCs w:val="19"/>
        </w:rPr>
        <w:t>prostředky získané zpět z investic nebo z uvolněných prostředků vyčleněných na smlouvy o zárukách;</w:t>
      </w:r>
    </w:p>
    <w:p w:rsidR="0077225E" w:rsidRPr="00537614" w:rsidRDefault="0077225E" w:rsidP="002D2639">
      <w:pPr>
        <w:pStyle w:val="Odstavecseseznamem"/>
        <w:numPr>
          <w:ilvl w:val="0"/>
          <w:numId w:val="17"/>
        </w:numPr>
        <w:ind w:left="1080"/>
        <w:rPr>
          <w:szCs w:val="19"/>
        </w:rPr>
      </w:pPr>
      <w:r w:rsidRPr="00537614">
        <w:rPr>
          <w:szCs w:val="19"/>
        </w:rPr>
        <w:t>kvalita opatření doprovázejících investici před investičním rozhodnutím maximalizovat její dopad a po něm,</w:t>
      </w:r>
    </w:p>
    <w:p w:rsidR="0077225E" w:rsidRPr="00537614" w:rsidRDefault="0077225E" w:rsidP="002D2639">
      <w:pPr>
        <w:pStyle w:val="Odstavecseseznamem"/>
        <w:numPr>
          <w:ilvl w:val="0"/>
          <w:numId w:val="17"/>
        </w:numPr>
        <w:ind w:left="1080"/>
        <w:rPr>
          <w:szCs w:val="19"/>
        </w:rPr>
      </w:pPr>
      <w:r w:rsidRPr="00537614">
        <w:rPr>
          <w:szCs w:val="19"/>
        </w:rPr>
        <w:t xml:space="preserve">přínos finančního nástroje k cílům a výstupům programu. </w:t>
      </w:r>
    </w:p>
    <w:p w:rsidR="0077225E" w:rsidRPr="00537614" w:rsidRDefault="0077225E" w:rsidP="0077225E">
      <w:pPr>
        <w:pStyle w:val="Odstavecseseznamem"/>
        <w:ind w:left="1440"/>
        <w:rPr>
          <w:szCs w:val="19"/>
        </w:rPr>
      </w:pPr>
    </w:p>
    <w:p w:rsidR="0077225E" w:rsidRPr="00537614" w:rsidRDefault="0077225E" w:rsidP="002D2639">
      <w:pPr>
        <w:pStyle w:val="Odstavecseseznamem"/>
        <w:numPr>
          <w:ilvl w:val="0"/>
          <w:numId w:val="16"/>
        </w:numPr>
      </w:pPr>
      <w:r w:rsidRPr="00537614">
        <w:rPr>
          <w:szCs w:val="19"/>
        </w:rPr>
        <w:t>Řídicí orgán informuje monitorovací výbor ohledně výkonnostně založeného výpočtu vynaložených nákladů nebo poplatků spojených s řízením a správou finančního nástroje. Monitorovací výbor dostává každoročně zprávy o nákladech a poplatcích spojených s řízením skutečně zaplacených v předchozím kalendářním roce.</w:t>
      </w:r>
    </w:p>
    <w:p w:rsidR="0077225E" w:rsidRPr="00537614" w:rsidRDefault="0077225E" w:rsidP="002D2639">
      <w:pPr>
        <w:pStyle w:val="Odstavecseseznamem"/>
        <w:numPr>
          <w:ilvl w:val="0"/>
          <w:numId w:val="16"/>
        </w:numPr>
      </w:pPr>
      <w:r w:rsidRPr="00537614">
        <w:rPr>
          <w:szCs w:val="19"/>
        </w:rPr>
        <w:t>Prahové hodnoty lze překročit, účtuje-li je subjekt provádějící finanční nástroj v souladu s platnými pravidly ve výběrovém řízení, během kterého se prokázala potřeba vyšších nákladů a poplatků spojených s řízením.</w:t>
      </w:r>
    </w:p>
    <w:p w:rsidR="0077225E" w:rsidRPr="00537614" w:rsidRDefault="0077225E" w:rsidP="0077225E">
      <w:pPr>
        <w:pStyle w:val="CM4"/>
        <w:spacing w:before="60" w:after="60"/>
        <w:jc w:val="both"/>
        <w:rPr>
          <w:rFonts w:ascii="Arial" w:hAnsi="Arial" w:cs="Arial"/>
          <w:color w:val="000000"/>
          <w:sz w:val="19"/>
          <w:szCs w:val="19"/>
        </w:rPr>
      </w:pPr>
      <w:r w:rsidRPr="00537614">
        <w:rPr>
          <w:rFonts w:ascii="Arial" w:hAnsi="Arial" w:cs="Arial"/>
          <w:color w:val="000000"/>
          <w:sz w:val="19"/>
          <w:szCs w:val="19"/>
        </w:rPr>
        <w:t>Správní náklady a poplatky mohou zahrnovat poplatky za zprostředkování. Pokud jsou poplatky za zprostředkování nebo jakákoli jejich část účtovány konečným příjemcům, nesmí být vykázány jako způsobilé výdaje. Správní náklady a poplatky, včetně nákladů a poplatků vzniklých při přípravných pracích v souvislosti s dotčeným finančním nástrojem před podpisem příslušné dohody o financování, jsou způsobilými výdaji ode dne podpisu této dohody.</w:t>
      </w:r>
    </w:p>
    <w:p w:rsidR="000043EF" w:rsidRPr="00537614" w:rsidRDefault="000043EF" w:rsidP="000043EF">
      <w:pPr>
        <w:rPr>
          <w:b/>
        </w:rPr>
      </w:pPr>
      <w:r w:rsidRPr="00537614">
        <w:rPr>
          <w:b/>
        </w:rPr>
        <w:t>Dodavatel doporučuje řídícímu orgánu, aby při přípravě výběru správce finančního nástroje věnoval problematice nastavení manažerské a jiné odměny zvýšenou pozornost</w:t>
      </w:r>
      <w:r w:rsidR="0004532F" w:rsidRPr="00537614">
        <w:rPr>
          <w:b/>
        </w:rPr>
        <w:t xml:space="preserve">. </w:t>
      </w:r>
      <w:r w:rsidRPr="00537614">
        <w:rPr>
          <w:b/>
        </w:rPr>
        <w:t xml:space="preserve">Klíčová část odměny by měla být navázána na výkonnost manažera (zabezpečený objem čerpání), nikoli na absolutní výši spravované alokace fondu, tedy bez vazby na výsledky čerpání. </w:t>
      </w:r>
    </w:p>
    <w:p w:rsidR="0077225E" w:rsidRPr="00537614" w:rsidRDefault="0077225E" w:rsidP="0077225E">
      <w:pPr>
        <w:pStyle w:val="Nadpis3"/>
      </w:pPr>
      <w:bookmarkStart w:id="144" w:name="_Toc418767169"/>
      <w:r w:rsidRPr="00537614">
        <w:t>Pravidla pro kombinaci finančních nástrojů s jinými formami podpory</w:t>
      </w:r>
      <w:bookmarkEnd w:id="144"/>
    </w:p>
    <w:p w:rsidR="0077225E" w:rsidRPr="00537614" w:rsidRDefault="0077225E" w:rsidP="0077225E">
      <w:r w:rsidRPr="00537614">
        <w:t>Jednou z alternativ navržených v této analýze</w:t>
      </w:r>
      <w:r w:rsidR="00011F73" w:rsidRPr="00537614">
        <w:t xml:space="preserve"> je využití kombinace finančního</w:t>
      </w:r>
      <w:r w:rsidR="00CD7081" w:rsidRPr="00537614">
        <w:t xml:space="preserve"> nástroje</w:t>
      </w:r>
      <w:r w:rsidRPr="00537614">
        <w:t xml:space="preserve"> s jinými formami podpory, konkrétně s dotacemi. Kombinovat finanční nástroje s granty je možné na základě čl. 37 odst. 7 obecného nařízení. Dle odst. 38 preambule k obecnému nařízení je odůvodněné kombinovat prostředky z finančních nástrojů s grantovou podporou především tam, kde určité části investice </w:t>
      </w:r>
      <w:r w:rsidRPr="00537614">
        <w:rPr>
          <w:rFonts w:cs="EUAlbertina"/>
          <w:color w:val="000000"/>
          <w:szCs w:val="19"/>
        </w:rPr>
        <w:t xml:space="preserve">nevytvářejí přímé finanční výnosy tak, aby byla zajištěna ekonomická udržitelnost projektů. </w:t>
      </w:r>
    </w:p>
    <w:p w:rsidR="0077225E" w:rsidRPr="00537614" w:rsidRDefault="0077225E" w:rsidP="0077225E">
      <w:pPr>
        <w:rPr>
          <w:rFonts w:cs="EUAlbertina"/>
          <w:color w:val="000000"/>
          <w:szCs w:val="19"/>
        </w:rPr>
      </w:pPr>
      <w:r w:rsidRPr="00537614">
        <w:rPr>
          <w:rFonts w:cs="EUAlbertina"/>
          <w:color w:val="000000"/>
          <w:szCs w:val="19"/>
        </w:rPr>
        <w:t>Z hlediska pravidel veřejné podpory jsou hlavními limity kombinace finančních nástrojů s dotacemi následující skutečnosti:</w:t>
      </w:r>
    </w:p>
    <w:p w:rsidR="0077225E" w:rsidRPr="00537614" w:rsidRDefault="0077225E" w:rsidP="002D2639">
      <w:pPr>
        <w:pStyle w:val="Odstavecseseznamem"/>
        <w:numPr>
          <w:ilvl w:val="0"/>
          <w:numId w:val="10"/>
        </w:numPr>
        <w:ind w:left="714" w:hanging="357"/>
        <w:contextualSpacing w:val="0"/>
        <w:rPr>
          <w:rFonts w:cs="EUAlbertina"/>
          <w:color w:val="000000"/>
          <w:szCs w:val="19"/>
        </w:rPr>
      </w:pPr>
      <w:r w:rsidRPr="00537614">
        <w:rPr>
          <w:rFonts w:cs="EUAlbertina"/>
          <w:color w:val="000000"/>
          <w:szCs w:val="19"/>
        </w:rPr>
        <w:t>Vazba kombinace finančních nástrojů s dotacemi na selhání trhu, tzn. na identifikovanou tržní mezeru a její dostatečnou velikost v kvantifikovaném vyjádření;</w:t>
      </w:r>
    </w:p>
    <w:p w:rsidR="0077225E" w:rsidRPr="00537614" w:rsidRDefault="0077225E" w:rsidP="002D2639">
      <w:pPr>
        <w:pStyle w:val="Odstavecseseznamem"/>
        <w:numPr>
          <w:ilvl w:val="0"/>
          <w:numId w:val="10"/>
        </w:numPr>
        <w:ind w:left="714" w:hanging="357"/>
        <w:contextualSpacing w:val="0"/>
        <w:rPr>
          <w:rFonts w:cs="EUAlbertina"/>
          <w:color w:val="000000"/>
          <w:szCs w:val="19"/>
        </w:rPr>
      </w:pPr>
      <w:r w:rsidRPr="00537614">
        <w:rPr>
          <w:rFonts w:cs="EUAlbertina"/>
          <w:color w:val="000000"/>
          <w:szCs w:val="19"/>
        </w:rPr>
        <w:t>Zavedení systému zamezujícímu dvojímu financování;</w:t>
      </w:r>
    </w:p>
    <w:p w:rsidR="0077225E" w:rsidRPr="00537614" w:rsidRDefault="0077225E" w:rsidP="002D2639">
      <w:pPr>
        <w:pStyle w:val="Odstavecseseznamem"/>
        <w:numPr>
          <w:ilvl w:val="0"/>
          <w:numId w:val="10"/>
        </w:numPr>
        <w:ind w:left="714" w:hanging="357"/>
        <w:contextualSpacing w:val="0"/>
        <w:rPr>
          <w:rFonts w:cs="EUAlbertina"/>
          <w:color w:val="000000"/>
          <w:szCs w:val="19"/>
        </w:rPr>
      </w:pPr>
      <w:r w:rsidRPr="00537614">
        <w:rPr>
          <w:rFonts w:cs="EUAlbertina"/>
          <w:color w:val="000000"/>
          <w:szCs w:val="19"/>
        </w:rPr>
        <w:t>Dodržení výše podpory povolené platnými pravidly pro poskytování veřejné podpory;</w:t>
      </w:r>
    </w:p>
    <w:p w:rsidR="0077225E" w:rsidRPr="00537614" w:rsidRDefault="0077225E" w:rsidP="002D2639">
      <w:pPr>
        <w:pStyle w:val="Odstavecseseznamem"/>
        <w:numPr>
          <w:ilvl w:val="0"/>
          <w:numId w:val="10"/>
        </w:numPr>
        <w:ind w:left="714" w:hanging="357"/>
        <w:contextualSpacing w:val="0"/>
        <w:rPr>
          <w:rFonts w:cs="EUAlbertina"/>
          <w:color w:val="000000"/>
          <w:szCs w:val="19"/>
        </w:rPr>
      </w:pPr>
      <w:r w:rsidRPr="00537614">
        <w:rPr>
          <w:rFonts w:cs="EUAlbertina"/>
          <w:color w:val="000000"/>
          <w:szCs w:val="19"/>
        </w:rPr>
        <w:t>Dodržení výslovného zákazu některých kombinací finančních nástrojů a grantů.</w:t>
      </w:r>
    </w:p>
    <w:p w:rsidR="0077225E" w:rsidRPr="00537614" w:rsidRDefault="0077225E" w:rsidP="0077225E">
      <w:pPr>
        <w:rPr>
          <w:rFonts w:cs="EUAlbertina"/>
          <w:color w:val="000000"/>
          <w:szCs w:val="19"/>
        </w:rPr>
      </w:pPr>
      <w:r w:rsidRPr="00537614">
        <w:rPr>
          <w:rFonts w:cs="EUAlbertina"/>
          <w:b/>
          <w:color w:val="000000"/>
          <w:szCs w:val="19"/>
        </w:rPr>
        <w:t>Dodavatel dále popisuje závěry vlastní analýzy plnění výše uvedených podmínek kombinace finančního nástroje a grantové podpory, nicméně upozorňuje, že tyto závěry je nutné dále ze strany řídícího orgánu ověřit se zástupci DG REGIO</w:t>
      </w:r>
      <w:r w:rsidR="00DC413D" w:rsidRPr="00537614">
        <w:rPr>
          <w:rFonts w:cs="EUAlbertina"/>
          <w:b/>
          <w:color w:val="000000"/>
          <w:szCs w:val="19"/>
        </w:rPr>
        <w:t xml:space="preserve"> a DG COMPET</w:t>
      </w:r>
      <w:r w:rsidRPr="00537614">
        <w:rPr>
          <w:rFonts w:cs="EUAlbertina"/>
          <w:b/>
          <w:color w:val="000000"/>
          <w:szCs w:val="19"/>
        </w:rPr>
        <w:t>.</w:t>
      </w:r>
      <w:r w:rsidRPr="00537614">
        <w:rPr>
          <w:rFonts w:cs="EUAlbertina"/>
          <w:color w:val="000000"/>
          <w:szCs w:val="19"/>
        </w:rPr>
        <w:t xml:space="preserve"> </w:t>
      </w:r>
      <w:r w:rsidR="000D0514" w:rsidRPr="00537614">
        <w:rPr>
          <w:rFonts w:cs="EUAlbertina"/>
          <w:color w:val="000000"/>
          <w:szCs w:val="19"/>
        </w:rPr>
        <w:t>P</w:t>
      </w:r>
      <w:r w:rsidR="000D0514" w:rsidRPr="00537614">
        <w:t>ředběžné stanovisko EK, v návaznosti na oficiální dotaz položený ze strany MŽP</w:t>
      </w:r>
      <w:r w:rsidR="00DC413D" w:rsidRPr="00537614">
        <w:t xml:space="preserve"> </w:t>
      </w:r>
      <w:r w:rsidR="000D0514" w:rsidRPr="00537614">
        <w:t>naznačuje, že postup v rámci jedné operace není proveditelný.</w:t>
      </w:r>
      <w:r w:rsidR="00A31381" w:rsidRPr="00537614">
        <w:t xml:space="preserve"> Vyjasnění by mělo poskytnout vydání tzv. </w:t>
      </w:r>
      <w:r w:rsidR="00A31381" w:rsidRPr="00537614">
        <w:rPr>
          <w:i/>
        </w:rPr>
        <w:t>guidance note</w:t>
      </w:r>
      <w:r w:rsidR="00A31381" w:rsidRPr="00537614">
        <w:t>, které dle neoficiální informace bude dokončeno a zveřejněno na přelomu března/dubna 2015.</w:t>
      </w:r>
    </w:p>
    <w:p w:rsidR="0077225E" w:rsidRPr="00537614" w:rsidRDefault="0077225E" w:rsidP="0077225E">
      <w:pPr>
        <w:pStyle w:val="CaptionIntroductionparagraph"/>
      </w:pPr>
      <w:r w:rsidRPr="00537614">
        <w:t xml:space="preserve">Vazba kombinace finančních nástrojů s dotacemi </w:t>
      </w:r>
    </w:p>
    <w:p w:rsidR="0077225E" w:rsidRPr="00537614" w:rsidRDefault="0077225E" w:rsidP="0077225E">
      <w:pPr>
        <w:pStyle w:val="CaptionIntroductionparagraph"/>
        <w:jc w:val="both"/>
        <w:rPr>
          <w:b w:val="0"/>
          <w:color w:val="auto"/>
          <w:sz w:val="19"/>
          <w:szCs w:val="19"/>
        </w:rPr>
      </w:pPr>
      <w:r w:rsidRPr="00537614">
        <w:rPr>
          <w:b w:val="0"/>
          <w:color w:val="auto"/>
          <w:sz w:val="19"/>
          <w:szCs w:val="19"/>
        </w:rPr>
        <w:t xml:space="preserve">Z hlediska posouzení dopadů na veřejnou podporu je klíčové navázat kombinaci finančních nástrojů dotacemi na identifikovanou a kvantifikovanou tržní mezeru. </w:t>
      </w:r>
      <w:r w:rsidR="00463630" w:rsidRPr="00537614">
        <w:rPr>
          <w:b w:val="0"/>
          <w:color w:val="auto"/>
          <w:sz w:val="19"/>
          <w:szCs w:val="19"/>
        </w:rPr>
        <w:t xml:space="preserve">Jestliže dochází k této kombinaci financování z více zdrojů, musí být v rámci dané operace nastavena jednotná pravidla a vedeny oddělené účetní záznamy pro každou formu podpory zvlášť. Dále musí být dodržen soulad s platnými pravidly v oblasti veřejné podpory (zejména zákaz dvojího financování, pokud by byla překročena povolená výše podpory, a dodržení limitů pro spolufinancování) a splněna podmínka, že celková výše všech forem podpory nepřekročí celkovou výši způsobilých výdajů. </w:t>
      </w:r>
      <w:r w:rsidRPr="00537614">
        <w:rPr>
          <w:b w:val="0"/>
          <w:color w:val="auto"/>
          <w:sz w:val="19"/>
          <w:szCs w:val="19"/>
        </w:rPr>
        <w:t>Dle metodiky předběžného posouzení je vhodné, aby kombinace finančního nástroje a dotace byla založena na některém z následujících principů:</w:t>
      </w:r>
    </w:p>
    <w:p w:rsidR="0077225E" w:rsidRPr="00537614" w:rsidRDefault="0077225E" w:rsidP="002D2639">
      <w:pPr>
        <w:pStyle w:val="CaptionIntroductionparagraph"/>
        <w:numPr>
          <w:ilvl w:val="0"/>
          <w:numId w:val="11"/>
        </w:numPr>
        <w:ind w:left="714" w:hanging="357"/>
        <w:jc w:val="both"/>
        <w:rPr>
          <w:b w:val="0"/>
          <w:color w:val="auto"/>
          <w:sz w:val="19"/>
          <w:szCs w:val="19"/>
        </w:rPr>
      </w:pPr>
      <w:r w:rsidRPr="00537614">
        <w:rPr>
          <w:b w:val="0"/>
          <w:color w:val="auto"/>
          <w:sz w:val="19"/>
          <w:szCs w:val="19"/>
        </w:rPr>
        <w:t>Komplexnost grantové formy podpory.</w:t>
      </w:r>
    </w:p>
    <w:p w:rsidR="0077225E" w:rsidRPr="00537614" w:rsidRDefault="0077225E" w:rsidP="002D2639">
      <w:pPr>
        <w:pStyle w:val="CaptionIntroductionparagraph"/>
        <w:numPr>
          <w:ilvl w:val="0"/>
          <w:numId w:val="11"/>
        </w:numPr>
        <w:ind w:left="714" w:hanging="357"/>
        <w:jc w:val="both"/>
        <w:rPr>
          <w:b w:val="0"/>
          <w:color w:val="auto"/>
          <w:sz w:val="19"/>
          <w:szCs w:val="19"/>
        </w:rPr>
      </w:pPr>
      <w:r w:rsidRPr="00537614">
        <w:rPr>
          <w:b w:val="0"/>
          <w:color w:val="auto"/>
          <w:sz w:val="19"/>
          <w:szCs w:val="19"/>
        </w:rPr>
        <w:t>Navázání grantové části podpory na splnění výkonnostních parametrů.</w:t>
      </w:r>
    </w:p>
    <w:p w:rsidR="0077225E" w:rsidRPr="00537614" w:rsidRDefault="0077225E" w:rsidP="002D2639">
      <w:pPr>
        <w:pStyle w:val="CaptionIntroductionparagraph"/>
        <w:numPr>
          <w:ilvl w:val="0"/>
          <w:numId w:val="11"/>
        </w:numPr>
        <w:ind w:left="714" w:hanging="357"/>
        <w:jc w:val="both"/>
        <w:rPr>
          <w:b w:val="0"/>
          <w:color w:val="auto"/>
          <w:sz w:val="19"/>
          <w:szCs w:val="19"/>
        </w:rPr>
      </w:pPr>
      <w:r w:rsidRPr="00537614">
        <w:rPr>
          <w:b w:val="0"/>
          <w:color w:val="auto"/>
          <w:sz w:val="19"/>
          <w:szCs w:val="19"/>
        </w:rPr>
        <w:t>Dotační podpora spojená s technickou asistencí při přípravě projektu.</w:t>
      </w:r>
    </w:p>
    <w:p w:rsidR="0077225E" w:rsidRPr="00537614" w:rsidRDefault="0077225E" w:rsidP="002D2639">
      <w:pPr>
        <w:pStyle w:val="CaptionIntroductionparagraph"/>
        <w:numPr>
          <w:ilvl w:val="0"/>
          <w:numId w:val="11"/>
        </w:numPr>
        <w:ind w:left="714" w:hanging="357"/>
        <w:jc w:val="both"/>
        <w:rPr>
          <w:b w:val="0"/>
          <w:color w:val="auto"/>
          <w:sz w:val="19"/>
          <w:szCs w:val="19"/>
        </w:rPr>
      </w:pPr>
      <w:r w:rsidRPr="00537614">
        <w:rPr>
          <w:b w:val="0"/>
          <w:color w:val="auto"/>
          <w:sz w:val="19"/>
          <w:szCs w:val="19"/>
        </w:rPr>
        <w:t>Vazba na ekonomickou životaschopnost projektu.</w:t>
      </w:r>
    </w:p>
    <w:p w:rsidR="0077225E" w:rsidRPr="00537614" w:rsidRDefault="0077225E" w:rsidP="0077225E">
      <w:r w:rsidRPr="00537614">
        <w:t>Kombinace finančních nástrojů a dotací je možná</w:t>
      </w:r>
      <w:r w:rsidR="00DC413D" w:rsidRPr="00537614">
        <w:t>, nicméně je nutné dodržet pravidla, která budou specifikována v tzv. guidance note EK</w:t>
      </w:r>
      <w:r w:rsidRPr="00537614">
        <w:t xml:space="preserve">. </w:t>
      </w:r>
      <w:r w:rsidR="00DC413D" w:rsidRPr="00537614">
        <w:t xml:space="preserve"> Dodavatel jako nejvhodnější formu kombinace považuje vedení dvou oddělených operací, kdy na část projektu je poskytnutý zvýhodněný úvěr a na část projektu je poskytn</w:t>
      </w:r>
      <w:r w:rsidR="00B1341B" w:rsidRPr="00537614">
        <w:t>u</w:t>
      </w:r>
      <w:r w:rsidR="00DC413D" w:rsidRPr="00537614">
        <w:t>ta klasická dotační podpora. Za předpokladu dodržení limitů výše poskytnuté podpory zvoleného režimu veřejné podpory po přepočtení skrze hrubý grantový ekvivalent a za dodržení obecně platných pravidel pro IFN a dotace je možné nabídnout takovýto produkt potenciálním žadatelům SC 2.5 IROP.</w:t>
      </w:r>
    </w:p>
    <w:p w:rsidR="0077225E" w:rsidRPr="00537614" w:rsidRDefault="0077225E" w:rsidP="0077225E">
      <w:pPr>
        <w:rPr>
          <w:szCs w:val="19"/>
        </w:rPr>
      </w:pPr>
      <w:r w:rsidRPr="00537614">
        <w:t xml:space="preserve">Za účelem motivace konečných příjemců k řádnému plnění podmínek </w:t>
      </w:r>
      <w:r w:rsidR="00DC413D" w:rsidRPr="00537614">
        <w:t xml:space="preserve">úvěru </w:t>
      </w:r>
      <w:r w:rsidRPr="00537614">
        <w:t xml:space="preserve">doporučuje dodavatel zvolit kombinaci </w:t>
      </w:r>
      <w:r w:rsidR="00DC413D" w:rsidRPr="00537614">
        <w:t xml:space="preserve">úvěru </w:t>
      </w:r>
      <w:r w:rsidRPr="00537614">
        <w:t>a dotace</w:t>
      </w:r>
      <w:r w:rsidR="00DC413D" w:rsidRPr="00537614">
        <w:t xml:space="preserve"> tak, aby dotace byla přiznána pouze v případě, kdy jsou splněny nadstandardní environmentální přínosy projektu – tzn. dotační složka</w:t>
      </w:r>
      <w:r w:rsidRPr="00537614">
        <w:t xml:space="preserve"> </w:t>
      </w:r>
      <w:r w:rsidR="00DC413D" w:rsidRPr="00537614">
        <w:t>by byla dostupná pouze těm projektům, které nejvíce přispívají k plnění cílů SC 2.5 IROP, tj. snižování spotřeby energie a dosahování vyšší účinnosti jejího využití.</w:t>
      </w:r>
    </w:p>
    <w:p w:rsidR="0077225E" w:rsidRPr="00537614" w:rsidRDefault="0077225E" w:rsidP="0077225E">
      <w:pPr>
        <w:pStyle w:val="CaptionIntroductionparagraph"/>
      </w:pPr>
      <w:r w:rsidRPr="00537614">
        <w:t>Zavedení systému zamezujícímu dvojímu financování</w:t>
      </w:r>
    </w:p>
    <w:p w:rsidR="00651608" w:rsidRPr="00537614" w:rsidRDefault="0077225E" w:rsidP="0077225E">
      <w:pPr>
        <w:pStyle w:val="CaptionIntroductionparagraph"/>
        <w:jc w:val="both"/>
        <w:rPr>
          <w:b w:val="0"/>
          <w:color w:val="auto"/>
          <w:sz w:val="19"/>
          <w:szCs w:val="19"/>
        </w:rPr>
      </w:pPr>
      <w:r w:rsidRPr="00537614">
        <w:rPr>
          <w:b w:val="0"/>
          <w:color w:val="auto"/>
          <w:sz w:val="19"/>
          <w:szCs w:val="19"/>
        </w:rPr>
        <w:t>Pro zajištění souladu s pravidly veřejné podpory dále dodavatel doporučuje při implementaci kombinace finančních nástrojů s dotacemi stanovit zvláštní pravidla pro zamezení dvojího financování.</w:t>
      </w:r>
      <w:r w:rsidR="00651608" w:rsidRPr="00537614">
        <w:t xml:space="preserve"> </w:t>
      </w:r>
      <w:r w:rsidR="00651608" w:rsidRPr="00537614">
        <w:rPr>
          <w:b w:val="0"/>
          <w:color w:val="auto"/>
          <w:sz w:val="19"/>
          <w:szCs w:val="19"/>
        </w:rPr>
        <w:t>Musí být striktně dodrženo pravidlo odděleného účelu pro položky financované nástrojem a dotací, není možné předfinancování dotace pomocí IFN, stejně tak není možné uhradit část nákladů finančního nástroje skrze dotaci.</w:t>
      </w:r>
    </w:p>
    <w:p w:rsidR="0077225E" w:rsidRPr="00537614" w:rsidRDefault="0077225E" w:rsidP="0077225E">
      <w:pPr>
        <w:pStyle w:val="CaptionIntroductionparagraph"/>
      </w:pPr>
      <w:r w:rsidRPr="00537614">
        <w:t>Dodržení výše povolené podpory</w:t>
      </w:r>
    </w:p>
    <w:p w:rsidR="0077225E" w:rsidRPr="00537614" w:rsidRDefault="0077225E" w:rsidP="0077225E">
      <w:pPr>
        <w:pStyle w:val="CaptionIntroductionparagraph"/>
        <w:jc w:val="both"/>
        <w:rPr>
          <w:b w:val="0"/>
          <w:color w:val="auto"/>
          <w:sz w:val="19"/>
          <w:szCs w:val="19"/>
        </w:rPr>
      </w:pPr>
      <w:r w:rsidRPr="00537614">
        <w:rPr>
          <w:b w:val="0"/>
          <w:color w:val="auto"/>
          <w:sz w:val="19"/>
          <w:szCs w:val="19"/>
        </w:rPr>
        <w:t xml:space="preserve">Podpora poskytnutá kombinací finančních nástrojů a dotací musí respektovat maximální výše povolené podpory. Konkrétní limity takto poskytnuté podpory se budou odvíjet od právního režimu, ve kterém bude podpora poskytována (tj. např. </w:t>
      </w:r>
      <w:r w:rsidRPr="00537614">
        <w:rPr>
          <w:b w:val="0"/>
          <w:i/>
          <w:color w:val="auto"/>
          <w:sz w:val="19"/>
          <w:szCs w:val="19"/>
        </w:rPr>
        <w:t>de minimis</w:t>
      </w:r>
      <w:r w:rsidRPr="00537614">
        <w:rPr>
          <w:b w:val="0"/>
          <w:color w:val="auto"/>
          <w:sz w:val="19"/>
          <w:szCs w:val="19"/>
        </w:rPr>
        <w:t>, režim blokové výjimky).</w:t>
      </w:r>
    </w:p>
    <w:p w:rsidR="0077225E" w:rsidRPr="00537614" w:rsidRDefault="00F87E5F" w:rsidP="0077225E">
      <w:pPr>
        <w:pStyle w:val="CaptionIntroductionparagraph"/>
      </w:pPr>
      <w:r w:rsidRPr="00537614">
        <w:t xml:space="preserve">Omezení co se </w:t>
      </w:r>
      <w:r w:rsidR="0077225E" w:rsidRPr="00537614">
        <w:t>kombin</w:t>
      </w:r>
      <w:r w:rsidRPr="00537614">
        <w:t>ace</w:t>
      </w:r>
      <w:r w:rsidR="0077225E" w:rsidRPr="00537614">
        <w:t xml:space="preserve"> finanční</w:t>
      </w:r>
      <w:r w:rsidRPr="00537614">
        <w:t>ho</w:t>
      </w:r>
      <w:r w:rsidR="0077225E" w:rsidRPr="00537614">
        <w:t xml:space="preserve"> nástroje s</w:t>
      </w:r>
      <w:r w:rsidRPr="00537614">
        <w:t> </w:t>
      </w:r>
      <w:r w:rsidR="0077225E" w:rsidRPr="00537614">
        <w:t>dotacemi</w:t>
      </w:r>
      <w:r w:rsidRPr="00537614">
        <w:t xml:space="preserve"> týče</w:t>
      </w:r>
    </w:p>
    <w:p w:rsidR="00651608" w:rsidRPr="00537614" w:rsidRDefault="0077225E" w:rsidP="00651608">
      <w:pPr>
        <w:pStyle w:val="CaptionIntroductionparagraph"/>
        <w:jc w:val="both"/>
        <w:rPr>
          <w:b w:val="0"/>
          <w:color w:val="000000" w:themeColor="text1"/>
          <w:sz w:val="19"/>
          <w:szCs w:val="19"/>
        </w:rPr>
      </w:pPr>
      <w:r w:rsidRPr="00537614">
        <w:rPr>
          <w:b w:val="0"/>
          <w:color w:val="auto"/>
          <w:sz w:val="19"/>
          <w:szCs w:val="19"/>
        </w:rPr>
        <w:t xml:space="preserve">Jakákoliv kombinace finančních nástrojů s dotacemi musí respektovat čl. 37 odst. 9 obecného nařízení, podle </w:t>
      </w:r>
      <w:r w:rsidRPr="00537614">
        <w:rPr>
          <w:b w:val="0"/>
          <w:color w:val="000000" w:themeColor="text1"/>
          <w:sz w:val="19"/>
          <w:szCs w:val="19"/>
        </w:rPr>
        <w:t>kterého je nepřípustné předfinancování dotací z finančních nástrojů a úhrada návratné podpory poskytnuté z finančních nástrojů z poskytnutých grantů.</w:t>
      </w:r>
      <w:r w:rsidR="00B1341B" w:rsidRPr="00537614">
        <w:rPr>
          <w:b w:val="0"/>
          <w:color w:val="000000" w:themeColor="text1"/>
          <w:sz w:val="19"/>
          <w:szCs w:val="19"/>
        </w:rPr>
        <w:t xml:space="preserve"> </w:t>
      </w:r>
      <w:r w:rsidR="00651608" w:rsidRPr="00537614">
        <w:rPr>
          <w:b w:val="0"/>
          <w:color w:val="000000" w:themeColor="text1"/>
          <w:sz w:val="19"/>
          <w:szCs w:val="19"/>
        </w:rPr>
        <w:t>Za předpo</w:t>
      </w:r>
      <w:r w:rsidR="00B1341B" w:rsidRPr="00537614">
        <w:rPr>
          <w:b w:val="0"/>
          <w:color w:val="000000" w:themeColor="text1"/>
          <w:sz w:val="19"/>
          <w:szCs w:val="19"/>
        </w:rPr>
        <w:t>kla</w:t>
      </w:r>
      <w:r w:rsidR="00651608" w:rsidRPr="00537614">
        <w:rPr>
          <w:b w:val="0"/>
          <w:color w:val="000000" w:themeColor="text1"/>
          <w:sz w:val="19"/>
          <w:szCs w:val="19"/>
        </w:rPr>
        <w:t xml:space="preserve">du dodržení této podmínky, jež je uvedena i výše v kapitole o zamezením dvojího financování, je možné poskytovat dotace spolu s finančními nástroji. Z dostupných variant, jak mají být specifikovány </w:t>
      </w:r>
      <w:r w:rsidR="00651608" w:rsidRPr="00537614">
        <w:rPr>
          <w:b w:val="0"/>
          <w:i/>
          <w:color w:val="000000" w:themeColor="text1"/>
          <w:sz w:val="19"/>
          <w:szCs w:val="19"/>
        </w:rPr>
        <w:t>guiadnce note</w:t>
      </w:r>
      <w:r w:rsidR="00651608" w:rsidRPr="00537614">
        <w:rPr>
          <w:b w:val="0"/>
          <w:color w:val="000000" w:themeColor="text1"/>
          <w:sz w:val="19"/>
          <w:szCs w:val="19"/>
        </w:rPr>
        <w:t>, dodavatel doporučuje.</w:t>
      </w:r>
    </w:p>
    <w:p w:rsidR="00651608" w:rsidRPr="00537614" w:rsidRDefault="00651608" w:rsidP="00D70481">
      <w:pPr>
        <w:pStyle w:val="CaptionIntroductionparagraph"/>
        <w:numPr>
          <w:ilvl w:val="0"/>
          <w:numId w:val="77"/>
        </w:numPr>
        <w:jc w:val="both"/>
        <w:rPr>
          <w:b w:val="0"/>
          <w:color w:val="000000" w:themeColor="text1"/>
          <w:sz w:val="19"/>
          <w:szCs w:val="19"/>
        </w:rPr>
      </w:pPr>
      <w:r w:rsidRPr="00537614">
        <w:rPr>
          <w:b w:val="0"/>
          <w:color w:val="000000" w:themeColor="text1"/>
          <w:sz w:val="19"/>
          <w:szCs w:val="19"/>
        </w:rPr>
        <w:t>Využít klasické dotace na část položkového rozpočtu do dohodnuté výše celkové podpory, na krytí pomaleji návratných částí investice (nutné oddělené evidence, tzv. dvě operace). Tato podpora je odstupňována v závislosti na výši dosažených energetických úspor.</w:t>
      </w:r>
    </w:p>
    <w:p w:rsidR="00651608" w:rsidRPr="00537614" w:rsidRDefault="00651608" w:rsidP="00D70481">
      <w:pPr>
        <w:pStyle w:val="CaptionIntroductionparagraph"/>
        <w:numPr>
          <w:ilvl w:val="0"/>
          <w:numId w:val="77"/>
        </w:numPr>
        <w:jc w:val="both"/>
        <w:rPr>
          <w:b w:val="0"/>
          <w:color w:val="000000" w:themeColor="text1"/>
          <w:sz w:val="19"/>
          <w:szCs w:val="19"/>
        </w:rPr>
      </w:pPr>
      <w:r w:rsidRPr="00537614">
        <w:rPr>
          <w:b w:val="0"/>
          <w:color w:val="000000" w:themeColor="text1"/>
          <w:sz w:val="19"/>
          <w:szCs w:val="19"/>
        </w:rPr>
        <w:t>Využití klasické dotace na část rozpočtu týkající se technické přípravy projektu (možné vést v rámci evidence finančního nástroje, tzv. jedna operace). Výše podílu této podpory na celkových výdajích projektu by měla být limitována (5%).</w:t>
      </w:r>
    </w:p>
    <w:p w:rsidR="0077225E" w:rsidRDefault="0077225E" w:rsidP="0077225E">
      <w:pPr>
        <w:pStyle w:val="Nadpis3"/>
      </w:pPr>
      <w:bookmarkStart w:id="145" w:name="_Toc418767170"/>
      <w:r>
        <w:t>Výpočet Hrubého grantového ekvivalentu</w:t>
      </w:r>
      <w:bookmarkEnd w:id="145"/>
    </w:p>
    <w:p w:rsidR="0056418C" w:rsidRDefault="0056418C" w:rsidP="0077225E">
      <w:pPr>
        <w:pStyle w:val="Textkomente"/>
        <w:rPr>
          <w:b/>
          <w:bCs/>
          <w:sz w:val="19"/>
          <w:szCs w:val="19"/>
        </w:rPr>
      </w:pPr>
      <w:r>
        <w:t>Hrubý grantový ekvivalent podpory představuje součet diskontovaných rozdílů mezi úrokem, který by Úvěrovaný zaplatil v případě úrokové sazby rovné základní referenční sazbě stanovené Evropskou komisí pro ČR ke dni uzavření smlouvy o poskytnutí úvěru zvýšené o příslušnou rizikovou přirážku a úrokem, který mu je skutečně účtován.</w:t>
      </w:r>
    </w:p>
    <w:p w:rsidR="0077225E" w:rsidRDefault="00A11A26" w:rsidP="0077225E">
      <w:pPr>
        <w:pStyle w:val="Textkomente"/>
        <w:rPr>
          <w:bCs/>
          <w:sz w:val="19"/>
          <w:szCs w:val="19"/>
        </w:rPr>
      </w:pPr>
      <w:r>
        <w:rPr>
          <w:b/>
          <w:bCs/>
          <w:sz w:val="19"/>
          <w:szCs w:val="19"/>
        </w:rPr>
        <w:t>P</w:t>
      </w:r>
      <w:r w:rsidR="003E5FDC">
        <w:rPr>
          <w:b/>
          <w:bCs/>
          <w:sz w:val="19"/>
          <w:szCs w:val="19"/>
        </w:rPr>
        <w:t>okud příslušné nařízení k veřejné podpoře, které má být aplikováno na daný finanční nástroj, neupravuje situaci jinak, je p</w:t>
      </w:r>
      <w:r>
        <w:rPr>
          <w:b/>
          <w:bCs/>
          <w:sz w:val="19"/>
          <w:szCs w:val="19"/>
        </w:rPr>
        <w:t>ro každou</w:t>
      </w:r>
      <w:r w:rsidR="0077225E">
        <w:rPr>
          <w:b/>
          <w:bCs/>
          <w:sz w:val="19"/>
          <w:szCs w:val="19"/>
        </w:rPr>
        <w:t xml:space="preserve"> </w:t>
      </w:r>
      <w:r w:rsidR="002040E5">
        <w:rPr>
          <w:b/>
          <w:bCs/>
          <w:sz w:val="19"/>
          <w:szCs w:val="19"/>
        </w:rPr>
        <w:t xml:space="preserve">podporu poskytnutou prostřednictvím </w:t>
      </w:r>
      <w:r w:rsidR="00B55D20">
        <w:rPr>
          <w:b/>
          <w:bCs/>
          <w:sz w:val="19"/>
          <w:szCs w:val="19"/>
        </w:rPr>
        <w:t xml:space="preserve">dluhového </w:t>
      </w:r>
      <w:r w:rsidR="0077225E">
        <w:rPr>
          <w:b/>
          <w:bCs/>
          <w:sz w:val="19"/>
          <w:szCs w:val="19"/>
        </w:rPr>
        <w:t>finanční</w:t>
      </w:r>
      <w:r w:rsidR="002040E5">
        <w:rPr>
          <w:b/>
          <w:bCs/>
          <w:sz w:val="19"/>
          <w:szCs w:val="19"/>
        </w:rPr>
        <w:t>ho</w:t>
      </w:r>
      <w:r w:rsidR="0077225E">
        <w:rPr>
          <w:b/>
          <w:bCs/>
          <w:sz w:val="19"/>
          <w:szCs w:val="19"/>
        </w:rPr>
        <w:t xml:space="preserve"> nástroj</w:t>
      </w:r>
      <w:r w:rsidR="002040E5">
        <w:rPr>
          <w:b/>
          <w:bCs/>
          <w:sz w:val="19"/>
          <w:szCs w:val="19"/>
        </w:rPr>
        <w:t>e</w:t>
      </w:r>
      <w:r w:rsidR="0077225E">
        <w:rPr>
          <w:b/>
          <w:bCs/>
          <w:sz w:val="19"/>
          <w:szCs w:val="19"/>
        </w:rPr>
        <w:t xml:space="preserve"> nutné vypočítat hrubý grantový ekvivalent (dále také HGE), který specifikuje, jaká výše veřejné podpory byla skrze daný nástroj konečnému příjemci poskytnuta.</w:t>
      </w:r>
      <w:r w:rsidR="0077225E">
        <w:rPr>
          <w:bCs/>
          <w:sz w:val="19"/>
          <w:szCs w:val="19"/>
        </w:rPr>
        <w:t xml:space="preserve"> </w:t>
      </w:r>
      <w:r w:rsidR="00B55D20">
        <w:rPr>
          <w:bCs/>
          <w:sz w:val="19"/>
          <w:szCs w:val="19"/>
        </w:rPr>
        <w:t xml:space="preserve">Hrubým grantovým ekvivalentem </w:t>
      </w:r>
      <w:r w:rsidR="00B55D20" w:rsidRPr="00B55D20">
        <w:rPr>
          <w:bCs/>
          <w:sz w:val="19"/>
          <w:szCs w:val="19"/>
        </w:rPr>
        <w:t>se rozumí výše</w:t>
      </w:r>
      <w:r w:rsidR="00B55D20">
        <w:rPr>
          <w:bCs/>
          <w:sz w:val="19"/>
          <w:szCs w:val="19"/>
        </w:rPr>
        <w:t xml:space="preserve"> veřejné podpory</w:t>
      </w:r>
      <w:r w:rsidR="00B55D20" w:rsidRPr="00B55D20">
        <w:rPr>
          <w:bCs/>
          <w:sz w:val="19"/>
          <w:szCs w:val="19"/>
        </w:rPr>
        <w:t>, kterou by podpora dosáhla, kdyby byla příjemci poskytnuta formou dotace</w:t>
      </w:r>
      <w:r w:rsidR="00B55D20">
        <w:rPr>
          <w:bCs/>
          <w:sz w:val="19"/>
          <w:szCs w:val="19"/>
        </w:rPr>
        <w:t>.</w:t>
      </w:r>
    </w:p>
    <w:p w:rsidR="00B55D20" w:rsidRDefault="00B55D20" w:rsidP="0077225E">
      <w:pPr>
        <w:pStyle w:val="Textkomente"/>
        <w:rPr>
          <w:sz w:val="19"/>
          <w:szCs w:val="19"/>
        </w:rPr>
      </w:pPr>
      <w:r>
        <w:rPr>
          <w:sz w:val="19"/>
          <w:szCs w:val="19"/>
        </w:rPr>
        <w:t xml:space="preserve">Pro výpočet HGE v případě podpory poskytované formou zvýhodněných úvěrů se v souladu s ustanovením čl. 5 </w:t>
      </w:r>
      <w:r w:rsidR="00385CDF">
        <w:rPr>
          <w:sz w:val="19"/>
          <w:szCs w:val="19"/>
        </w:rPr>
        <w:t xml:space="preserve">Nařízení o </w:t>
      </w:r>
      <w:r>
        <w:rPr>
          <w:sz w:val="19"/>
          <w:szCs w:val="19"/>
        </w:rPr>
        <w:t>GBER</w:t>
      </w:r>
      <w:r w:rsidR="00761CD5">
        <w:rPr>
          <w:sz w:val="19"/>
          <w:szCs w:val="19"/>
        </w:rPr>
        <w:t xml:space="preserve">, čl. 4 Nařízení o podpoře </w:t>
      </w:r>
      <w:r w:rsidR="00761CD5">
        <w:rPr>
          <w:i/>
          <w:sz w:val="19"/>
          <w:szCs w:val="19"/>
        </w:rPr>
        <w:t>de minimis</w:t>
      </w:r>
      <w:r w:rsidR="00761CD5">
        <w:rPr>
          <w:sz w:val="19"/>
          <w:szCs w:val="19"/>
        </w:rPr>
        <w:t xml:space="preserve"> a v souladu s ustanovením </w:t>
      </w:r>
      <w:r w:rsidR="00761CD5">
        <w:t>Sdělení Komise o revizi metody stanovování referenčních a diskontních sazeb (2008/C 14/02)</w:t>
      </w:r>
      <w:r w:rsidR="00761CD5">
        <w:rPr>
          <w:sz w:val="19"/>
          <w:szCs w:val="19"/>
        </w:rPr>
        <w:t xml:space="preserve"> </w:t>
      </w:r>
      <w:r w:rsidR="0040398D">
        <w:rPr>
          <w:sz w:val="19"/>
          <w:szCs w:val="19"/>
        </w:rPr>
        <w:t xml:space="preserve">a </w:t>
      </w:r>
      <w:r w:rsidR="0040398D" w:rsidRPr="0040398D">
        <w:rPr>
          <w:sz w:val="19"/>
          <w:szCs w:val="19"/>
        </w:rPr>
        <w:t xml:space="preserve">Sdělení Komise o revizi metody stanovování referenčních a diskontních sazeb </w:t>
      </w:r>
      <w:r>
        <w:rPr>
          <w:sz w:val="19"/>
          <w:szCs w:val="19"/>
        </w:rPr>
        <w:t>využije postup výpočtu dle následujícího postupu:</w:t>
      </w:r>
    </w:p>
    <w:p w:rsidR="0040398D" w:rsidRDefault="0040398D" w:rsidP="002D2639">
      <w:pPr>
        <w:pStyle w:val="Odstavecseseznamem"/>
        <w:numPr>
          <w:ilvl w:val="0"/>
          <w:numId w:val="59"/>
        </w:numPr>
      </w:pPr>
      <w:r>
        <w:t xml:space="preserve">Každý žadatel o podporu je předmětem propočtu finančního ratingu – je možné využít rating specializovaných agentur (S&amp;P, Moodys, apod), ratingu </w:t>
      </w:r>
      <w:r w:rsidR="00615742">
        <w:t>sestaveného</w:t>
      </w:r>
      <w:r>
        <w:t xml:space="preserve"> EK nebo i</w:t>
      </w:r>
      <w:r w:rsidRPr="0040398D">
        <w:t xml:space="preserve"> </w:t>
      </w:r>
      <w:r>
        <w:t xml:space="preserve">za využití patřičných </w:t>
      </w:r>
      <w:r w:rsidRPr="0040398D">
        <w:t>národní</w:t>
      </w:r>
      <w:r>
        <w:t>ch</w:t>
      </w:r>
      <w:r w:rsidRPr="0040398D">
        <w:t xml:space="preserve"> ratingov</w:t>
      </w:r>
      <w:r>
        <w:t>ých systémů, případně za využití ra</w:t>
      </w:r>
      <w:r w:rsidRPr="0040398D">
        <w:t>tingové</w:t>
      </w:r>
      <w:r>
        <w:t>ho systému,</w:t>
      </w:r>
      <w:r w:rsidRPr="0040398D">
        <w:t xml:space="preserve"> kter</w:t>
      </w:r>
      <w:r>
        <w:t>ý</w:t>
      </w:r>
      <w:r w:rsidRPr="0040398D">
        <w:t xml:space="preserve"> používají banky ke stanovení míry selhání.</w:t>
      </w:r>
    </w:p>
    <w:p w:rsidR="0040398D" w:rsidRDefault="0040398D" w:rsidP="002D2639">
      <w:pPr>
        <w:pStyle w:val="Odstavecseseznamem"/>
        <w:numPr>
          <w:ilvl w:val="0"/>
          <w:numId w:val="59"/>
        </w:numPr>
      </w:pPr>
      <w:r w:rsidRPr="0040398D">
        <w:t xml:space="preserve">Na základě </w:t>
      </w:r>
      <w:r>
        <w:t xml:space="preserve">výsledku tohoto </w:t>
      </w:r>
      <w:r w:rsidRPr="0040398D">
        <w:t>ratingu a</w:t>
      </w:r>
      <w:r>
        <w:t xml:space="preserve"> míry</w:t>
      </w:r>
      <w:r w:rsidRPr="0040398D">
        <w:t xml:space="preserve"> zajištění úvěru bude v souladu se Sdělením Komise o revizi metody stanovování re</w:t>
      </w:r>
      <w:r>
        <w:t xml:space="preserve">ferenčních a diskontních sazeb </w:t>
      </w:r>
      <w:r w:rsidRPr="0040398D">
        <w:t>příjemci přiřaz</w:t>
      </w:r>
      <w:r w:rsidR="00615742">
        <w:t>ena příslušná riziková přirážka (rozmezí 0,6 – 10 % p.a.</w:t>
      </w:r>
      <w:r w:rsidR="00C23AE7">
        <w:t>, v závislosti na předpokládané rizikovosti</w:t>
      </w:r>
      <w:r w:rsidR="00615742">
        <w:t>).</w:t>
      </w:r>
    </w:p>
    <w:p w:rsidR="0040398D" w:rsidRPr="0040398D" w:rsidRDefault="0040398D" w:rsidP="002D2639">
      <w:pPr>
        <w:pStyle w:val="Odstavecseseznamem"/>
        <w:numPr>
          <w:ilvl w:val="0"/>
          <w:numId w:val="59"/>
        </w:numPr>
      </w:pPr>
      <w:r>
        <w:t>Součtem aktuálně platné zákla</w:t>
      </w:r>
      <w:r w:rsidRPr="0040398D">
        <w:t>dní referenční sazby (platné v době poskytnutí podpor</w:t>
      </w:r>
      <w:r>
        <w:t>y formou úvěru</w:t>
      </w:r>
      <w:r w:rsidR="00C23AE7">
        <w:t xml:space="preserve"> – aktuálně ve výši 0,52 % p.a.</w:t>
      </w:r>
      <w:r>
        <w:t xml:space="preserve">) a ratingem stanovené </w:t>
      </w:r>
      <w:r w:rsidRPr="0040398D">
        <w:t>rizikové přirážky</w:t>
      </w:r>
      <w:r>
        <w:t xml:space="preserve"> je možné vyčíslit tržní výši úrokové sazby, tzv. </w:t>
      </w:r>
      <w:r w:rsidRPr="0040398D">
        <w:rPr>
          <w:i/>
        </w:rPr>
        <w:t>fair rate of return</w:t>
      </w:r>
      <w:r>
        <w:t>.</w:t>
      </w:r>
      <w:r w:rsidRPr="0040398D">
        <w:t xml:space="preserve"> </w:t>
      </w:r>
    </w:p>
    <w:p w:rsidR="00962C59" w:rsidRPr="00615742" w:rsidRDefault="0040398D" w:rsidP="002D2639">
      <w:pPr>
        <w:pStyle w:val="Odstavecseseznamem"/>
        <w:numPr>
          <w:ilvl w:val="0"/>
          <w:numId w:val="59"/>
        </w:numPr>
      </w:pPr>
      <w:r w:rsidRPr="00615742">
        <w:t>V případě, že výše úrokové sazby placená příjemcem bude nižší než úroková sazba bez veřejné podpory, je rozdíl mezi úrokem, který by příjemce zaplatil při aplikaci úrokové sazby bez veřejné podpory a úrokem, který zaplatí při aplikaci zvýhodněné sazby, která mu byla poskytnuta, považován za podporu.</w:t>
      </w:r>
    </w:p>
    <w:p w:rsidR="00B55D20" w:rsidRDefault="00C23AE7" w:rsidP="0077225E">
      <w:pPr>
        <w:pStyle w:val="Textkomente"/>
        <w:rPr>
          <w:bCs/>
          <w:sz w:val="19"/>
          <w:szCs w:val="19"/>
        </w:rPr>
      </w:pPr>
      <w:r>
        <w:rPr>
          <w:bCs/>
          <w:sz w:val="19"/>
          <w:szCs w:val="19"/>
        </w:rPr>
        <w:t>Pro ilustraci zde dodavatel uvádí přepočtovou tabulku dle Sdělení komise, která je základem pro stanovení výše rizikové přirážky v bazických bodech úrokové míry:</w:t>
      </w:r>
    </w:p>
    <w:tbl>
      <w:tblPr>
        <w:tblStyle w:val="Mkatabulky"/>
        <w:tblW w:w="0" w:type="auto"/>
        <w:tblLook w:val="04A0" w:firstRow="1" w:lastRow="0" w:firstColumn="1" w:lastColumn="0" w:noHBand="0" w:noVBand="1"/>
      </w:tblPr>
      <w:tblGrid>
        <w:gridCol w:w="3693"/>
        <w:gridCol w:w="1814"/>
        <w:gridCol w:w="1810"/>
        <w:gridCol w:w="1809"/>
      </w:tblGrid>
      <w:tr w:rsidR="00EF3AC6" w:rsidRPr="009E74F1" w:rsidTr="004F02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6" w:type="dxa"/>
            <w:gridSpan w:val="4"/>
            <w:vAlign w:val="center"/>
          </w:tcPr>
          <w:p w:rsidR="00EF3AC6" w:rsidRPr="009E74F1" w:rsidRDefault="00EF3AC6" w:rsidP="00EF3AC6">
            <w:pPr>
              <w:spacing w:after="0"/>
              <w:jc w:val="center"/>
              <w:rPr>
                <w:b w:val="0"/>
              </w:rPr>
            </w:pPr>
            <w:r w:rsidRPr="009E74F1">
              <w:t>Úvěrové marže v základních bodech</w:t>
            </w:r>
          </w:p>
        </w:tc>
      </w:tr>
      <w:tr w:rsidR="00EF3AC6" w:rsidRPr="009E74F1" w:rsidTr="004F021B">
        <w:tc>
          <w:tcPr>
            <w:cnfStyle w:val="001000000000" w:firstRow="0" w:lastRow="0" w:firstColumn="1" w:lastColumn="0" w:oddVBand="0" w:evenVBand="0" w:oddHBand="0" w:evenHBand="0" w:firstRowFirstColumn="0" w:firstRowLastColumn="0" w:lastRowFirstColumn="0" w:lastRowLastColumn="0"/>
            <w:tcW w:w="3693" w:type="dxa"/>
            <w:vMerge w:val="restart"/>
            <w:vAlign w:val="center"/>
          </w:tcPr>
          <w:p w:rsidR="00EF3AC6" w:rsidRPr="009E74F1" w:rsidRDefault="00EF3AC6" w:rsidP="00EF3AC6">
            <w:pPr>
              <w:spacing w:after="0"/>
              <w:jc w:val="center"/>
              <w:rPr>
                <w:b/>
              </w:rPr>
            </w:pPr>
            <w:r w:rsidRPr="009E74F1">
              <w:rPr>
                <w:b/>
              </w:rPr>
              <w:t>Ratingová kategorie</w:t>
            </w:r>
          </w:p>
        </w:tc>
        <w:tc>
          <w:tcPr>
            <w:tcW w:w="5433" w:type="dxa"/>
            <w:gridSpan w:val="3"/>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rPr>
                <w:b/>
              </w:rPr>
            </w:pPr>
            <w:r w:rsidRPr="009E74F1">
              <w:rPr>
                <w:b/>
              </w:rPr>
              <w:t>Zajištění</w:t>
            </w:r>
          </w:p>
        </w:tc>
      </w:tr>
      <w:tr w:rsidR="00EF3AC6" w:rsidRPr="009E74F1" w:rsidTr="004F021B">
        <w:tc>
          <w:tcPr>
            <w:cnfStyle w:val="001000000000" w:firstRow="0" w:lastRow="0" w:firstColumn="1" w:lastColumn="0" w:oddVBand="0" w:evenVBand="0" w:oddHBand="0" w:evenHBand="0" w:firstRowFirstColumn="0" w:firstRowLastColumn="0" w:lastRowFirstColumn="0" w:lastRowLastColumn="0"/>
            <w:tcW w:w="3693" w:type="dxa"/>
            <w:vMerge/>
            <w:vAlign w:val="center"/>
          </w:tcPr>
          <w:p w:rsidR="00EF3AC6" w:rsidRPr="009E74F1" w:rsidRDefault="00EF3AC6" w:rsidP="00EF3AC6">
            <w:pPr>
              <w:spacing w:after="0"/>
              <w:jc w:val="center"/>
              <w:rPr>
                <w:b/>
              </w:rPr>
            </w:pPr>
          </w:p>
        </w:tc>
        <w:tc>
          <w:tcPr>
            <w:tcW w:w="1814"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rPr>
                <w:b/>
              </w:rPr>
            </w:pPr>
            <w:r w:rsidRPr="009E74F1">
              <w:rPr>
                <w:b/>
              </w:rPr>
              <w:t>Vysoké</w:t>
            </w:r>
          </w:p>
        </w:tc>
        <w:tc>
          <w:tcPr>
            <w:tcW w:w="1810"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rPr>
                <w:b/>
              </w:rPr>
            </w:pPr>
            <w:r w:rsidRPr="009E74F1">
              <w:rPr>
                <w:b/>
              </w:rPr>
              <w:t>Běžné</w:t>
            </w:r>
          </w:p>
        </w:tc>
        <w:tc>
          <w:tcPr>
            <w:tcW w:w="1809"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rPr>
                <w:b/>
              </w:rPr>
            </w:pPr>
            <w:r w:rsidRPr="009E74F1">
              <w:rPr>
                <w:b/>
              </w:rPr>
              <w:t>Nízké</w:t>
            </w:r>
          </w:p>
        </w:tc>
      </w:tr>
      <w:tr w:rsidR="00EF3AC6" w:rsidRPr="009E74F1" w:rsidTr="004F021B">
        <w:tc>
          <w:tcPr>
            <w:cnfStyle w:val="001000000000" w:firstRow="0" w:lastRow="0" w:firstColumn="1" w:lastColumn="0" w:oddVBand="0" w:evenVBand="0" w:oddHBand="0" w:evenHBand="0" w:firstRowFirstColumn="0" w:firstRowLastColumn="0" w:lastRowFirstColumn="0" w:lastRowLastColumn="0"/>
            <w:tcW w:w="3693" w:type="dxa"/>
          </w:tcPr>
          <w:p w:rsidR="00EF3AC6" w:rsidRPr="009E74F1" w:rsidRDefault="00EF3AC6" w:rsidP="00EF3AC6">
            <w:pPr>
              <w:spacing w:after="0"/>
              <w:rPr>
                <w:b/>
              </w:rPr>
            </w:pPr>
            <w:r w:rsidRPr="009E74F1">
              <w:rPr>
                <w:b/>
              </w:rPr>
              <w:t>Velmi dobrý (AAA-A)</w:t>
            </w:r>
          </w:p>
        </w:tc>
        <w:tc>
          <w:tcPr>
            <w:tcW w:w="1814"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60</w:t>
            </w:r>
          </w:p>
        </w:tc>
        <w:tc>
          <w:tcPr>
            <w:tcW w:w="1810"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75</w:t>
            </w:r>
          </w:p>
        </w:tc>
        <w:tc>
          <w:tcPr>
            <w:tcW w:w="1809"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100</w:t>
            </w:r>
          </w:p>
        </w:tc>
      </w:tr>
      <w:tr w:rsidR="00EF3AC6" w:rsidRPr="009E74F1" w:rsidTr="004F021B">
        <w:tc>
          <w:tcPr>
            <w:cnfStyle w:val="001000000000" w:firstRow="0" w:lastRow="0" w:firstColumn="1" w:lastColumn="0" w:oddVBand="0" w:evenVBand="0" w:oddHBand="0" w:evenHBand="0" w:firstRowFirstColumn="0" w:firstRowLastColumn="0" w:lastRowFirstColumn="0" w:lastRowLastColumn="0"/>
            <w:tcW w:w="3693" w:type="dxa"/>
          </w:tcPr>
          <w:p w:rsidR="00EF3AC6" w:rsidRPr="009E74F1" w:rsidRDefault="00EF3AC6" w:rsidP="00EF3AC6">
            <w:pPr>
              <w:spacing w:after="0"/>
              <w:rPr>
                <w:b/>
              </w:rPr>
            </w:pPr>
            <w:r w:rsidRPr="009E74F1">
              <w:rPr>
                <w:b/>
              </w:rPr>
              <w:t>Dobrý (BBB)</w:t>
            </w:r>
          </w:p>
        </w:tc>
        <w:tc>
          <w:tcPr>
            <w:tcW w:w="1814"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75</w:t>
            </w:r>
          </w:p>
        </w:tc>
        <w:tc>
          <w:tcPr>
            <w:tcW w:w="1810"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100</w:t>
            </w:r>
          </w:p>
        </w:tc>
        <w:tc>
          <w:tcPr>
            <w:tcW w:w="1809"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220</w:t>
            </w:r>
          </w:p>
        </w:tc>
      </w:tr>
      <w:tr w:rsidR="00EF3AC6" w:rsidRPr="009E74F1" w:rsidTr="004F021B">
        <w:tc>
          <w:tcPr>
            <w:cnfStyle w:val="001000000000" w:firstRow="0" w:lastRow="0" w:firstColumn="1" w:lastColumn="0" w:oddVBand="0" w:evenVBand="0" w:oddHBand="0" w:evenHBand="0" w:firstRowFirstColumn="0" w:firstRowLastColumn="0" w:lastRowFirstColumn="0" w:lastRowLastColumn="0"/>
            <w:tcW w:w="3693" w:type="dxa"/>
          </w:tcPr>
          <w:p w:rsidR="00EF3AC6" w:rsidRPr="009E74F1" w:rsidRDefault="00EF3AC6" w:rsidP="00EF3AC6">
            <w:pPr>
              <w:spacing w:after="0"/>
              <w:rPr>
                <w:b/>
              </w:rPr>
            </w:pPr>
            <w:r w:rsidRPr="009E74F1">
              <w:rPr>
                <w:b/>
              </w:rPr>
              <w:t>Uspokojivý (BB)</w:t>
            </w:r>
          </w:p>
        </w:tc>
        <w:tc>
          <w:tcPr>
            <w:tcW w:w="1814"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100</w:t>
            </w:r>
          </w:p>
        </w:tc>
        <w:tc>
          <w:tcPr>
            <w:tcW w:w="1810"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220</w:t>
            </w:r>
          </w:p>
        </w:tc>
        <w:tc>
          <w:tcPr>
            <w:tcW w:w="1809"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400</w:t>
            </w:r>
          </w:p>
        </w:tc>
      </w:tr>
      <w:tr w:rsidR="00EF3AC6" w:rsidRPr="009E74F1" w:rsidTr="004F021B">
        <w:tc>
          <w:tcPr>
            <w:cnfStyle w:val="001000000000" w:firstRow="0" w:lastRow="0" w:firstColumn="1" w:lastColumn="0" w:oddVBand="0" w:evenVBand="0" w:oddHBand="0" w:evenHBand="0" w:firstRowFirstColumn="0" w:firstRowLastColumn="0" w:lastRowFirstColumn="0" w:lastRowLastColumn="0"/>
            <w:tcW w:w="3693" w:type="dxa"/>
          </w:tcPr>
          <w:p w:rsidR="00EF3AC6" w:rsidRPr="009E74F1" w:rsidRDefault="00EF3AC6" w:rsidP="00EF3AC6">
            <w:pPr>
              <w:spacing w:after="0"/>
              <w:rPr>
                <w:b/>
              </w:rPr>
            </w:pPr>
            <w:r w:rsidRPr="009E74F1">
              <w:rPr>
                <w:b/>
              </w:rPr>
              <w:t>Slabý (B)</w:t>
            </w:r>
          </w:p>
        </w:tc>
        <w:tc>
          <w:tcPr>
            <w:tcW w:w="1814"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220</w:t>
            </w:r>
          </w:p>
        </w:tc>
        <w:tc>
          <w:tcPr>
            <w:tcW w:w="1810"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400</w:t>
            </w:r>
          </w:p>
        </w:tc>
        <w:tc>
          <w:tcPr>
            <w:tcW w:w="1809"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650</w:t>
            </w:r>
          </w:p>
        </w:tc>
      </w:tr>
      <w:tr w:rsidR="00EF3AC6" w:rsidRPr="009E74F1" w:rsidTr="004F021B">
        <w:tc>
          <w:tcPr>
            <w:cnfStyle w:val="001000000000" w:firstRow="0" w:lastRow="0" w:firstColumn="1" w:lastColumn="0" w:oddVBand="0" w:evenVBand="0" w:oddHBand="0" w:evenHBand="0" w:firstRowFirstColumn="0" w:firstRowLastColumn="0" w:lastRowFirstColumn="0" w:lastRowLastColumn="0"/>
            <w:tcW w:w="3693" w:type="dxa"/>
          </w:tcPr>
          <w:p w:rsidR="00EF3AC6" w:rsidRPr="009E74F1" w:rsidRDefault="00EF3AC6" w:rsidP="00EF3AC6">
            <w:pPr>
              <w:spacing w:after="0"/>
              <w:rPr>
                <w:b/>
              </w:rPr>
            </w:pPr>
            <w:r w:rsidRPr="009E74F1">
              <w:rPr>
                <w:b/>
              </w:rPr>
              <w:t>Špatný/Finanční obtíže (CCC a níže</w:t>
            </w:r>
          </w:p>
        </w:tc>
        <w:tc>
          <w:tcPr>
            <w:tcW w:w="1814"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400</w:t>
            </w:r>
          </w:p>
        </w:tc>
        <w:tc>
          <w:tcPr>
            <w:tcW w:w="1810"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650</w:t>
            </w:r>
          </w:p>
        </w:tc>
        <w:tc>
          <w:tcPr>
            <w:tcW w:w="1809"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1 000</w:t>
            </w:r>
          </w:p>
        </w:tc>
      </w:tr>
    </w:tbl>
    <w:p w:rsidR="00C23AE7" w:rsidRDefault="00EF3AC6" w:rsidP="00EF3AC6">
      <w:pPr>
        <w:pStyle w:val="Titulek"/>
      </w:pPr>
      <w:bookmarkStart w:id="146" w:name="_Toc417655512"/>
      <w:r>
        <w:t xml:space="preserve">Tabulka </w:t>
      </w:r>
      <w:r>
        <w:fldChar w:fldCharType="begin"/>
      </w:r>
      <w:r>
        <w:instrText xml:space="preserve"> SEQ Tabulka \* ARABIC </w:instrText>
      </w:r>
      <w:r>
        <w:fldChar w:fldCharType="separate"/>
      </w:r>
      <w:r w:rsidR="007813A3">
        <w:rPr>
          <w:noProof/>
        </w:rPr>
        <w:t>14</w:t>
      </w:r>
      <w:r>
        <w:fldChar w:fldCharType="end"/>
      </w:r>
      <w:r w:rsidR="00BC3BBF">
        <w:t>: Podkladová matice pro přepočet rizikové přirážky dle Sdělení komise 2008/C 14/02</w:t>
      </w:r>
      <w:bookmarkEnd w:id="146"/>
    </w:p>
    <w:p w:rsidR="004473E5" w:rsidRDefault="004473E5" w:rsidP="004473E5">
      <w:pPr>
        <w:pStyle w:val="Textkomente"/>
        <w:rPr>
          <w:bCs/>
          <w:sz w:val="19"/>
          <w:szCs w:val="19"/>
        </w:rPr>
      </w:pPr>
      <w:r>
        <w:rPr>
          <w:bCs/>
          <w:sz w:val="19"/>
          <w:szCs w:val="19"/>
        </w:rPr>
        <w:t>Jak již bylo uvedeno v návrhu parametrů úvěrového nástroje v </w:t>
      </w:r>
      <w:r w:rsidRPr="004A0B6C">
        <w:rPr>
          <w:bCs/>
          <w:sz w:val="19"/>
          <w:szCs w:val="19"/>
        </w:rPr>
        <w:t>kapitole 5.</w:t>
      </w:r>
      <w:r w:rsidR="003E5FDC">
        <w:rPr>
          <w:bCs/>
          <w:sz w:val="19"/>
          <w:szCs w:val="19"/>
        </w:rPr>
        <w:t>2.4</w:t>
      </w:r>
      <w:r>
        <w:rPr>
          <w:bCs/>
          <w:sz w:val="19"/>
          <w:szCs w:val="19"/>
        </w:rPr>
        <w:t xml:space="preserve">, dodavatel navrhuje poskytování prostředků IROP za zvýhodněné sazby 0,5 % p.a. s tím, že po zapojení zdrojů spolufinancujících subjektů a jeho poměru kofinancování je konečný příjemce adresátem úrokové míry až na 100% výše investice s tím, že horním limitem takto zvýhodněné sazby je hodnota 1,5% p.a. Pro praktickou ukázku výsledků ve vyjádření hrubým grantovým ekvivalentem se rozhodl dodavatel uvést </w:t>
      </w:r>
      <w:r w:rsidR="004E2778">
        <w:rPr>
          <w:bCs/>
          <w:sz w:val="19"/>
          <w:szCs w:val="19"/>
        </w:rPr>
        <w:t xml:space="preserve">několik </w:t>
      </w:r>
      <w:r>
        <w:rPr>
          <w:bCs/>
          <w:sz w:val="19"/>
          <w:szCs w:val="19"/>
        </w:rPr>
        <w:t>modelový</w:t>
      </w:r>
      <w:r w:rsidR="004E2778">
        <w:rPr>
          <w:bCs/>
          <w:sz w:val="19"/>
          <w:szCs w:val="19"/>
        </w:rPr>
        <w:t>ch</w:t>
      </w:r>
      <w:r>
        <w:rPr>
          <w:bCs/>
          <w:sz w:val="19"/>
          <w:szCs w:val="19"/>
        </w:rPr>
        <w:t xml:space="preserve"> příklad</w:t>
      </w:r>
      <w:r w:rsidR="004E2778">
        <w:rPr>
          <w:bCs/>
          <w:sz w:val="19"/>
          <w:szCs w:val="19"/>
        </w:rPr>
        <w:t>ů</w:t>
      </w:r>
      <w:r>
        <w:rPr>
          <w:bCs/>
          <w:sz w:val="19"/>
          <w:szCs w:val="19"/>
        </w:rPr>
        <w:t>.</w:t>
      </w:r>
    </w:p>
    <w:p w:rsidR="003E5FDC" w:rsidRDefault="003E5FDC" w:rsidP="004473E5">
      <w:pPr>
        <w:pStyle w:val="Textkomente"/>
        <w:rPr>
          <w:bCs/>
          <w:sz w:val="19"/>
          <w:szCs w:val="19"/>
        </w:rPr>
      </w:pPr>
    </w:p>
    <w:tbl>
      <w:tblPr>
        <w:tblStyle w:val="Deloittetable81"/>
        <w:tblW w:w="9100" w:type="dxa"/>
        <w:tblLook w:val="04A0" w:firstRow="1" w:lastRow="0" w:firstColumn="1" w:lastColumn="0" w:noHBand="0" w:noVBand="1"/>
      </w:tblPr>
      <w:tblGrid>
        <w:gridCol w:w="3430"/>
        <w:gridCol w:w="1418"/>
        <w:gridCol w:w="1417"/>
        <w:gridCol w:w="1418"/>
        <w:gridCol w:w="1417"/>
      </w:tblGrid>
      <w:tr w:rsidR="004E2778" w:rsidTr="00861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0" w:type="dxa"/>
            <w:shd w:val="clear" w:color="auto" w:fill="92D400" w:themeFill="accent2"/>
            <w:vAlign w:val="center"/>
          </w:tcPr>
          <w:p w:rsidR="004E2778" w:rsidRDefault="004E2778" w:rsidP="008616DD">
            <w:pPr>
              <w:spacing w:after="0"/>
              <w:jc w:val="center"/>
            </w:pPr>
            <w:r>
              <w:t>Sledovaná proměnná</w:t>
            </w:r>
          </w:p>
        </w:tc>
        <w:tc>
          <w:tcPr>
            <w:tcW w:w="1418" w:type="dxa"/>
            <w:shd w:val="clear" w:color="auto" w:fill="92D400" w:themeFill="accent2"/>
          </w:tcPr>
          <w:p w:rsidR="004E2778" w:rsidRPr="0006463D" w:rsidRDefault="004E2778" w:rsidP="008616DD">
            <w:pPr>
              <w:spacing w:after="0"/>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Menší projekt</w:t>
            </w:r>
          </w:p>
        </w:tc>
        <w:tc>
          <w:tcPr>
            <w:tcW w:w="1417" w:type="dxa"/>
            <w:shd w:val="clear" w:color="auto" w:fill="92D400" w:themeFill="accent2"/>
          </w:tcPr>
          <w:p w:rsidR="004E2778" w:rsidRPr="0006463D" w:rsidRDefault="004E2778" w:rsidP="008616DD">
            <w:pPr>
              <w:spacing w:after="0"/>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Menší s dotací</w:t>
            </w:r>
          </w:p>
        </w:tc>
        <w:tc>
          <w:tcPr>
            <w:tcW w:w="1418" w:type="dxa"/>
            <w:shd w:val="clear" w:color="auto" w:fill="92D400" w:themeFill="accent2"/>
          </w:tcPr>
          <w:p w:rsidR="004E2778" w:rsidRPr="0006463D" w:rsidRDefault="004E2778" w:rsidP="008616DD">
            <w:pPr>
              <w:spacing w:after="0"/>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Větší projekt</w:t>
            </w:r>
          </w:p>
        </w:tc>
        <w:tc>
          <w:tcPr>
            <w:tcW w:w="1417" w:type="dxa"/>
            <w:shd w:val="clear" w:color="auto" w:fill="92D400" w:themeFill="accent2"/>
          </w:tcPr>
          <w:p w:rsidR="004E2778" w:rsidRPr="0006463D" w:rsidRDefault="004E2778" w:rsidP="008616DD">
            <w:pPr>
              <w:spacing w:after="0"/>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Větší s dotací</w:t>
            </w:r>
          </w:p>
        </w:tc>
      </w:tr>
      <w:tr w:rsidR="00742FB5"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742FB5" w:rsidRDefault="00742FB5" w:rsidP="008616DD">
            <w:pPr>
              <w:spacing w:after="0"/>
              <w:rPr>
                <w:color w:val="FFFFFF" w:themeColor="background1"/>
              </w:rPr>
            </w:pPr>
            <w:r>
              <w:rPr>
                <w:color w:val="FFFFFF" w:themeColor="background1"/>
              </w:rPr>
              <w:t>Celková způsobilá výše investice</w:t>
            </w:r>
          </w:p>
        </w:tc>
        <w:tc>
          <w:tcPr>
            <w:tcW w:w="1418"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 xml:space="preserve">5 mil. Kč </w:t>
            </w:r>
          </w:p>
        </w:tc>
        <w:tc>
          <w:tcPr>
            <w:tcW w:w="1417"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5 mil. Kč</w:t>
            </w:r>
          </w:p>
        </w:tc>
        <w:tc>
          <w:tcPr>
            <w:tcW w:w="1418"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15 mil. Kč</w:t>
            </w:r>
          </w:p>
        </w:tc>
        <w:tc>
          <w:tcPr>
            <w:tcW w:w="1417"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15 mil. Kč</w:t>
            </w:r>
          </w:p>
        </w:tc>
      </w:tr>
      <w:tr w:rsidR="00742FB5"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742FB5" w:rsidRDefault="00742FB5" w:rsidP="008616DD">
            <w:pPr>
              <w:spacing w:after="0"/>
              <w:rPr>
                <w:color w:val="FFFFFF" w:themeColor="background1"/>
              </w:rPr>
            </w:pPr>
            <w:r>
              <w:rPr>
                <w:color w:val="FFFFFF" w:themeColor="background1"/>
              </w:rPr>
              <w:t>Podíl zdrojů IROP</w:t>
            </w:r>
          </w:p>
        </w:tc>
        <w:tc>
          <w:tcPr>
            <w:tcW w:w="1418"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50 %</w:t>
            </w:r>
          </w:p>
        </w:tc>
        <w:tc>
          <w:tcPr>
            <w:tcW w:w="1417"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50 %</w:t>
            </w:r>
          </w:p>
        </w:tc>
        <w:tc>
          <w:tcPr>
            <w:tcW w:w="1418"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50 %</w:t>
            </w:r>
          </w:p>
        </w:tc>
        <w:tc>
          <w:tcPr>
            <w:tcW w:w="1417"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50 %</w:t>
            </w:r>
          </w:p>
        </w:tc>
      </w:tr>
      <w:tr w:rsidR="004E2778"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4E2778" w:rsidRPr="0006463D" w:rsidRDefault="004E2778" w:rsidP="008616DD">
            <w:pPr>
              <w:spacing w:after="0"/>
              <w:rPr>
                <w:color w:val="FFFFFF" w:themeColor="background1"/>
              </w:rPr>
            </w:pPr>
            <w:r>
              <w:rPr>
                <w:color w:val="FFFFFF" w:themeColor="background1"/>
              </w:rPr>
              <w:t>Výše úvěru</w:t>
            </w:r>
          </w:p>
        </w:tc>
        <w:tc>
          <w:tcPr>
            <w:tcW w:w="1418" w:type="dxa"/>
            <w:vAlign w:val="center"/>
          </w:tcPr>
          <w:p w:rsidR="004E2778"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2,5</w:t>
            </w:r>
            <w:r w:rsidR="004E2778" w:rsidRPr="0046431C">
              <w:t xml:space="preserve"> mil. Kč</w:t>
            </w:r>
          </w:p>
        </w:tc>
        <w:tc>
          <w:tcPr>
            <w:tcW w:w="1417" w:type="dxa"/>
            <w:vAlign w:val="center"/>
          </w:tcPr>
          <w:p w:rsidR="004E2778"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2</w:t>
            </w:r>
            <w:r w:rsidR="004E2778" w:rsidRPr="0046431C">
              <w:t>,</w:t>
            </w:r>
            <w:r>
              <w:t>2</w:t>
            </w:r>
            <w:r w:rsidR="004E2778" w:rsidRPr="0046431C">
              <w:t>5 mil. Kč</w:t>
            </w:r>
          </w:p>
        </w:tc>
        <w:tc>
          <w:tcPr>
            <w:tcW w:w="1418" w:type="dxa"/>
            <w:vAlign w:val="center"/>
          </w:tcPr>
          <w:p w:rsidR="004E2778"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7,5 mil</w:t>
            </w:r>
            <w:r w:rsidR="004E2778" w:rsidRPr="0046431C">
              <w:t>. Kč</w:t>
            </w:r>
          </w:p>
        </w:tc>
        <w:tc>
          <w:tcPr>
            <w:tcW w:w="1417" w:type="dxa"/>
            <w:vAlign w:val="center"/>
          </w:tcPr>
          <w:p w:rsidR="004E2778"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6,75</w:t>
            </w:r>
            <w:r w:rsidR="004E2778">
              <w:t xml:space="preserve"> mil. K</w:t>
            </w:r>
            <w:r w:rsidR="004E2778" w:rsidRPr="0046431C">
              <w:t>č</w:t>
            </w:r>
          </w:p>
        </w:tc>
      </w:tr>
      <w:tr w:rsidR="004E2778"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4E2778" w:rsidRDefault="004E2778" w:rsidP="008616DD">
            <w:pPr>
              <w:spacing w:after="0"/>
              <w:rPr>
                <w:color w:val="FFFFFF" w:themeColor="background1"/>
              </w:rPr>
            </w:pPr>
            <w:r>
              <w:rPr>
                <w:color w:val="FFFFFF" w:themeColor="background1"/>
              </w:rPr>
              <w:t>Výše dotace 10% celku</w:t>
            </w:r>
          </w:p>
        </w:tc>
        <w:tc>
          <w:tcPr>
            <w:tcW w:w="1418"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rsidRPr="0046431C">
              <w:t>0</w:t>
            </w:r>
          </w:p>
        </w:tc>
        <w:tc>
          <w:tcPr>
            <w:tcW w:w="1417"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rsidRPr="0046431C">
              <w:t>0,</w:t>
            </w:r>
            <w:r w:rsidR="00742FB5">
              <w:t>2</w:t>
            </w:r>
            <w:r w:rsidRPr="0046431C">
              <w:t>5 mil. Kč</w:t>
            </w:r>
          </w:p>
        </w:tc>
        <w:tc>
          <w:tcPr>
            <w:tcW w:w="1418"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rsidRPr="0046431C">
              <w:t>0</w:t>
            </w:r>
          </w:p>
        </w:tc>
        <w:tc>
          <w:tcPr>
            <w:tcW w:w="1417" w:type="dxa"/>
            <w:vAlign w:val="center"/>
          </w:tcPr>
          <w:p w:rsidR="004E2778"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0,75</w:t>
            </w:r>
            <w:r w:rsidR="004E2778" w:rsidRPr="0046431C">
              <w:t xml:space="preserve"> mil. Kč</w:t>
            </w:r>
          </w:p>
        </w:tc>
      </w:tr>
      <w:tr w:rsidR="004E2778"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4E2778" w:rsidRPr="0006463D" w:rsidRDefault="004E2778" w:rsidP="008616DD">
            <w:pPr>
              <w:spacing w:after="0"/>
              <w:rPr>
                <w:color w:val="FFFFFF" w:themeColor="background1"/>
              </w:rPr>
            </w:pPr>
            <w:r>
              <w:rPr>
                <w:color w:val="FFFFFF" w:themeColor="background1"/>
              </w:rPr>
              <w:t>Doba splatnosti</w:t>
            </w:r>
          </w:p>
        </w:tc>
        <w:tc>
          <w:tcPr>
            <w:tcW w:w="1418"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rsidRPr="0046431C">
              <w:t>10 let</w:t>
            </w:r>
          </w:p>
        </w:tc>
        <w:tc>
          <w:tcPr>
            <w:tcW w:w="1417"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rsidRPr="0046431C">
              <w:t>10 let</w:t>
            </w:r>
          </w:p>
        </w:tc>
        <w:tc>
          <w:tcPr>
            <w:tcW w:w="1418" w:type="dxa"/>
            <w:vAlign w:val="center"/>
          </w:tcPr>
          <w:p w:rsidR="004E2778" w:rsidRPr="0046431C" w:rsidRDefault="005C281A" w:rsidP="008616DD">
            <w:pPr>
              <w:spacing w:after="0"/>
              <w:jc w:val="center"/>
              <w:cnfStyle w:val="000000000000" w:firstRow="0" w:lastRow="0" w:firstColumn="0" w:lastColumn="0" w:oddVBand="0" w:evenVBand="0" w:oddHBand="0" w:evenHBand="0" w:firstRowFirstColumn="0" w:firstRowLastColumn="0" w:lastRowFirstColumn="0" w:lastRowLastColumn="0"/>
            </w:pPr>
            <w:r>
              <w:t>15</w:t>
            </w:r>
            <w:r w:rsidR="004E2778" w:rsidRPr="0046431C">
              <w:t xml:space="preserve"> let</w:t>
            </w:r>
          </w:p>
        </w:tc>
        <w:tc>
          <w:tcPr>
            <w:tcW w:w="1417" w:type="dxa"/>
            <w:vAlign w:val="center"/>
          </w:tcPr>
          <w:p w:rsidR="004E2778" w:rsidRPr="0046431C" w:rsidRDefault="004E2778" w:rsidP="005C281A">
            <w:pPr>
              <w:spacing w:after="0"/>
              <w:jc w:val="center"/>
              <w:cnfStyle w:val="000000000000" w:firstRow="0" w:lastRow="0" w:firstColumn="0" w:lastColumn="0" w:oddVBand="0" w:evenVBand="0" w:oddHBand="0" w:evenHBand="0" w:firstRowFirstColumn="0" w:firstRowLastColumn="0" w:lastRowFirstColumn="0" w:lastRowLastColumn="0"/>
            </w:pPr>
            <w:r w:rsidRPr="0046431C">
              <w:t>1</w:t>
            </w:r>
            <w:r w:rsidR="005C281A">
              <w:t>5</w:t>
            </w:r>
            <w:r w:rsidRPr="0046431C">
              <w:t xml:space="preserve"> let</w:t>
            </w:r>
          </w:p>
        </w:tc>
      </w:tr>
      <w:tr w:rsidR="004E2778"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4E2778" w:rsidRDefault="004E2778" w:rsidP="008616DD">
            <w:pPr>
              <w:spacing w:after="0"/>
              <w:rPr>
                <w:color w:val="FFFFFF" w:themeColor="background1"/>
              </w:rPr>
            </w:pPr>
            <w:r>
              <w:rPr>
                <w:color w:val="FFFFFF" w:themeColor="background1"/>
              </w:rPr>
              <w:t>Referenční sazba EU</w:t>
            </w:r>
          </w:p>
        </w:tc>
        <w:tc>
          <w:tcPr>
            <w:tcW w:w="1418"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t>0,52 %</w:t>
            </w:r>
          </w:p>
        </w:tc>
        <w:tc>
          <w:tcPr>
            <w:tcW w:w="1417"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t>0,52 %</w:t>
            </w:r>
          </w:p>
        </w:tc>
        <w:tc>
          <w:tcPr>
            <w:tcW w:w="1418"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t>0,52 %</w:t>
            </w:r>
          </w:p>
        </w:tc>
        <w:tc>
          <w:tcPr>
            <w:tcW w:w="1417"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t>0,52 %</w:t>
            </w:r>
          </w:p>
        </w:tc>
      </w:tr>
      <w:tr w:rsidR="00671382"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671382" w:rsidRDefault="00671382" w:rsidP="008616DD">
            <w:pPr>
              <w:spacing w:after="0"/>
              <w:rPr>
                <w:color w:val="FFFFFF" w:themeColor="background1"/>
              </w:rPr>
            </w:pPr>
            <w:r>
              <w:rPr>
                <w:color w:val="FFFFFF" w:themeColor="background1"/>
              </w:rPr>
              <w:t>Riziková přirážka dle Sdělení komise</w:t>
            </w:r>
          </w:p>
          <w:p w:rsidR="00671382" w:rsidRPr="005C281A" w:rsidRDefault="00671382" w:rsidP="00671382">
            <w:pPr>
              <w:spacing w:after="0"/>
              <w:rPr>
                <w:color w:val="FFFFFF" w:themeColor="background1"/>
              </w:rPr>
            </w:pPr>
            <w:r w:rsidRPr="005C281A">
              <w:rPr>
                <w:b w:val="0"/>
                <w:color w:val="FFFFFF" w:themeColor="background1"/>
              </w:rPr>
              <w:t>-</w:t>
            </w:r>
            <w:r>
              <w:rPr>
                <w:color w:val="FFFFFF" w:themeColor="background1"/>
              </w:rPr>
              <w:t xml:space="preserve"> kategorie BB, </w:t>
            </w:r>
            <w:r w:rsidR="00293A10">
              <w:rPr>
                <w:color w:val="FFFFFF" w:themeColor="background1"/>
              </w:rPr>
              <w:t>za</w:t>
            </w:r>
            <w:r>
              <w:rPr>
                <w:color w:val="FFFFFF" w:themeColor="background1"/>
              </w:rPr>
              <w:t>jištění běžné</w:t>
            </w:r>
          </w:p>
        </w:tc>
        <w:tc>
          <w:tcPr>
            <w:tcW w:w="1418"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2,2 %</w:t>
            </w:r>
          </w:p>
        </w:tc>
        <w:tc>
          <w:tcPr>
            <w:tcW w:w="1417"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2,2 %</w:t>
            </w:r>
          </w:p>
        </w:tc>
        <w:tc>
          <w:tcPr>
            <w:tcW w:w="1418"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2,2 %</w:t>
            </w:r>
          </w:p>
        </w:tc>
        <w:tc>
          <w:tcPr>
            <w:tcW w:w="1417"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2,2 %</w:t>
            </w:r>
          </w:p>
        </w:tc>
      </w:tr>
      <w:tr w:rsidR="00671382"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671382" w:rsidRDefault="00671382" w:rsidP="008616DD">
            <w:pPr>
              <w:spacing w:after="0"/>
              <w:rPr>
                <w:color w:val="FFFFFF" w:themeColor="background1"/>
              </w:rPr>
            </w:pPr>
            <w:r>
              <w:rPr>
                <w:color w:val="FFFFFF" w:themeColor="background1"/>
              </w:rPr>
              <w:t>Úroková sazba na zdrojích IROP</w:t>
            </w:r>
          </w:p>
        </w:tc>
        <w:tc>
          <w:tcPr>
            <w:tcW w:w="1418"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0,5 %</w:t>
            </w:r>
          </w:p>
        </w:tc>
        <w:tc>
          <w:tcPr>
            <w:tcW w:w="1417"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0,5 %</w:t>
            </w:r>
          </w:p>
        </w:tc>
        <w:tc>
          <w:tcPr>
            <w:tcW w:w="1418"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0,5 %</w:t>
            </w:r>
          </w:p>
        </w:tc>
        <w:tc>
          <w:tcPr>
            <w:tcW w:w="1417"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0,5 %</w:t>
            </w:r>
          </w:p>
        </w:tc>
      </w:tr>
      <w:tr w:rsidR="00671382"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671382" w:rsidRPr="0006463D" w:rsidRDefault="0096487E" w:rsidP="008616DD">
            <w:pPr>
              <w:spacing w:after="0"/>
              <w:rPr>
                <w:color w:val="FFFFFF" w:themeColor="background1"/>
              </w:rPr>
            </w:pPr>
            <w:r>
              <w:rPr>
                <w:color w:val="FFFFFF" w:themeColor="background1"/>
              </w:rPr>
              <w:t>Úroková sazba pro koneč. příjemce</w:t>
            </w:r>
          </w:p>
        </w:tc>
        <w:tc>
          <w:tcPr>
            <w:tcW w:w="1418" w:type="dxa"/>
            <w:vAlign w:val="center"/>
          </w:tcPr>
          <w:p w:rsidR="00671382" w:rsidRPr="0046431C" w:rsidRDefault="0096487E" w:rsidP="008616DD">
            <w:pPr>
              <w:spacing w:after="0"/>
              <w:jc w:val="center"/>
              <w:cnfStyle w:val="000000000000" w:firstRow="0" w:lastRow="0" w:firstColumn="0" w:lastColumn="0" w:oddVBand="0" w:evenVBand="0" w:oddHBand="0" w:evenHBand="0" w:firstRowFirstColumn="0" w:firstRowLastColumn="0" w:lastRowFirstColumn="0" w:lastRowLastColumn="0"/>
            </w:pPr>
            <w:r>
              <w:t>1,0</w:t>
            </w:r>
            <w:r w:rsidR="00671382" w:rsidRPr="0046431C">
              <w:t xml:space="preserve"> %</w:t>
            </w:r>
          </w:p>
        </w:tc>
        <w:tc>
          <w:tcPr>
            <w:tcW w:w="1417" w:type="dxa"/>
            <w:vAlign w:val="center"/>
          </w:tcPr>
          <w:p w:rsidR="00671382" w:rsidRPr="0046431C" w:rsidRDefault="0096487E" w:rsidP="0096487E">
            <w:pPr>
              <w:spacing w:after="0"/>
              <w:jc w:val="center"/>
              <w:cnfStyle w:val="000000000000" w:firstRow="0" w:lastRow="0" w:firstColumn="0" w:lastColumn="0" w:oddVBand="0" w:evenVBand="0" w:oddHBand="0" w:evenHBand="0" w:firstRowFirstColumn="0" w:firstRowLastColumn="0" w:lastRowFirstColumn="0" w:lastRowLastColumn="0"/>
            </w:pPr>
            <w:r>
              <w:t>1,0</w:t>
            </w:r>
            <w:r w:rsidR="00671382" w:rsidRPr="0046431C">
              <w:t xml:space="preserve"> %</w:t>
            </w:r>
          </w:p>
        </w:tc>
        <w:tc>
          <w:tcPr>
            <w:tcW w:w="1418" w:type="dxa"/>
            <w:vAlign w:val="center"/>
          </w:tcPr>
          <w:p w:rsidR="00671382" w:rsidRPr="0046431C" w:rsidRDefault="0096487E" w:rsidP="0096487E">
            <w:pPr>
              <w:spacing w:after="0"/>
              <w:jc w:val="center"/>
              <w:cnfStyle w:val="000000000000" w:firstRow="0" w:lastRow="0" w:firstColumn="0" w:lastColumn="0" w:oddVBand="0" w:evenVBand="0" w:oddHBand="0" w:evenHBand="0" w:firstRowFirstColumn="0" w:firstRowLastColumn="0" w:lastRowFirstColumn="0" w:lastRowLastColumn="0"/>
            </w:pPr>
            <w:r>
              <w:t>1,0</w:t>
            </w:r>
            <w:r w:rsidR="00671382" w:rsidRPr="0046431C">
              <w:t xml:space="preserve"> %</w:t>
            </w:r>
          </w:p>
        </w:tc>
        <w:tc>
          <w:tcPr>
            <w:tcW w:w="1417" w:type="dxa"/>
            <w:vAlign w:val="center"/>
          </w:tcPr>
          <w:p w:rsidR="00671382" w:rsidRPr="0046431C" w:rsidRDefault="0096487E" w:rsidP="0096487E">
            <w:pPr>
              <w:spacing w:after="0"/>
              <w:jc w:val="center"/>
              <w:cnfStyle w:val="000000000000" w:firstRow="0" w:lastRow="0" w:firstColumn="0" w:lastColumn="0" w:oddVBand="0" w:evenVBand="0" w:oddHBand="0" w:evenHBand="0" w:firstRowFirstColumn="0" w:firstRowLastColumn="0" w:lastRowFirstColumn="0" w:lastRowLastColumn="0"/>
            </w:pPr>
            <w:r>
              <w:t>1,0</w:t>
            </w:r>
            <w:r w:rsidR="00671382" w:rsidRPr="0046431C">
              <w:t xml:space="preserve"> %</w:t>
            </w:r>
          </w:p>
        </w:tc>
      </w:tr>
      <w:tr w:rsidR="00671382"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671382" w:rsidRPr="0006463D" w:rsidRDefault="00671382" w:rsidP="008616DD">
            <w:pPr>
              <w:spacing w:after="0"/>
              <w:rPr>
                <w:color w:val="FFFFFF" w:themeColor="background1"/>
              </w:rPr>
            </w:pPr>
            <w:r>
              <w:rPr>
                <w:color w:val="FFFFFF" w:themeColor="background1"/>
              </w:rPr>
              <w:t>Hrubý grantový ekvivalent</w:t>
            </w:r>
          </w:p>
        </w:tc>
        <w:tc>
          <w:tcPr>
            <w:tcW w:w="1418" w:type="dxa"/>
            <w:vAlign w:val="center"/>
          </w:tcPr>
          <w:p w:rsidR="00671382" w:rsidRPr="0046431C" w:rsidRDefault="00671382" w:rsidP="00EE6CD4">
            <w:pPr>
              <w:spacing w:after="0"/>
              <w:jc w:val="center"/>
              <w:cnfStyle w:val="000000000000" w:firstRow="0" w:lastRow="0" w:firstColumn="0" w:lastColumn="0" w:oddVBand="0" w:evenVBand="0" w:oddHBand="0" w:evenHBand="0" w:firstRowFirstColumn="0" w:firstRowLastColumn="0" w:lastRowFirstColumn="0" w:lastRowLastColumn="0"/>
              <w:rPr>
                <w:b/>
              </w:rPr>
            </w:pPr>
            <w:r w:rsidRPr="0046431C">
              <w:rPr>
                <w:b/>
              </w:rPr>
              <w:t>0,</w:t>
            </w:r>
            <w:r w:rsidR="00EE6CD4">
              <w:rPr>
                <w:b/>
              </w:rPr>
              <w:t>44</w:t>
            </w:r>
            <w:r w:rsidRPr="0046431C">
              <w:rPr>
                <w:b/>
              </w:rPr>
              <w:t xml:space="preserve"> mil. Kč</w:t>
            </w:r>
          </w:p>
        </w:tc>
        <w:tc>
          <w:tcPr>
            <w:tcW w:w="1417" w:type="dxa"/>
            <w:vAlign w:val="center"/>
          </w:tcPr>
          <w:p w:rsidR="00671382" w:rsidRPr="0046431C" w:rsidRDefault="003826CD" w:rsidP="003826CD">
            <w:pPr>
              <w:spacing w:after="0"/>
              <w:jc w:val="center"/>
              <w:cnfStyle w:val="000000000000" w:firstRow="0" w:lastRow="0" w:firstColumn="0" w:lastColumn="0" w:oddVBand="0" w:evenVBand="0" w:oddHBand="0" w:evenHBand="0" w:firstRowFirstColumn="0" w:firstRowLastColumn="0" w:lastRowFirstColumn="0" w:lastRowLastColumn="0"/>
              <w:rPr>
                <w:b/>
              </w:rPr>
            </w:pPr>
            <w:r>
              <w:rPr>
                <w:b/>
              </w:rPr>
              <w:t>0,</w:t>
            </w:r>
            <w:r w:rsidR="00EE6CD4">
              <w:rPr>
                <w:b/>
              </w:rPr>
              <w:t>66</w:t>
            </w:r>
            <w:r w:rsidR="00671382" w:rsidRPr="0046431C">
              <w:rPr>
                <w:b/>
              </w:rPr>
              <w:t xml:space="preserve"> mil. Kč</w:t>
            </w:r>
          </w:p>
        </w:tc>
        <w:tc>
          <w:tcPr>
            <w:tcW w:w="1418" w:type="dxa"/>
            <w:vAlign w:val="center"/>
          </w:tcPr>
          <w:p w:rsidR="00671382" w:rsidRPr="0046431C" w:rsidRDefault="005F7B9D" w:rsidP="008616DD">
            <w:pPr>
              <w:spacing w:after="0"/>
              <w:jc w:val="center"/>
              <w:cnfStyle w:val="000000000000" w:firstRow="0" w:lastRow="0" w:firstColumn="0" w:lastColumn="0" w:oddVBand="0" w:evenVBand="0" w:oddHBand="0" w:evenHBand="0" w:firstRowFirstColumn="0" w:firstRowLastColumn="0" w:lastRowFirstColumn="0" w:lastRowLastColumn="0"/>
              <w:rPr>
                <w:b/>
              </w:rPr>
            </w:pPr>
            <w:r>
              <w:rPr>
                <w:b/>
              </w:rPr>
              <w:t>1,</w:t>
            </w:r>
            <w:r w:rsidR="00EE6CD4">
              <w:rPr>
                <w:b/>
              </w:rPr>
              <w:t>92</w:t>
            </w:r>
            <w:r w:rsidR="00671382" w:rsidRPr="0046431C">
              <w:rPr>
                <w:b/>
              </w:rPr>
              <w:t xml:space="preserve"> mil. Kč</w:t>
            </w:r>
          </w:p>
        </w:tc>
        <w:tc>
          <w:tcPr>
            <w:tcW w:w="1417" w:type="dxa"/>
            <w:vAlign w:val="center"/>
          </w:tcPr>
          <w:p w:rsidR="00671382" w:rsidRPr="0046431C" w:rsidRDefault="00EE6CD4" w:rsidP="00EE6CD4">
            <w:pPr>
              <w:spacing w:after="0"/>
              <w:jc w:val="center"/>
              <w:cnfStyle w:val="000000000000" w:firstRow="0" w:lastRow="0" w:firstColumn="0" w:lastColumn="0" w:oddVBand="0" w:evenVBand="0" w:oddHBand="0" w:evenHBand="0" w:firstRowFirstColumn="0" w:firstRowLastColumn="0" w:lastRowFirstColumn="0" w:lastRowLastColumn="0"/>
              <w:rPr>
                <w:b/>
              </w:rPr>
            </w:pPr>
            <w:r>
              <w:rPr>
                <w:b/>
              </w:rPr>
              <w:t>2,58</w:t>
            </w:r>
            <w:r w:rsidR="00671382" w:rsidRPr="0046431C">
              <w:rPr>
                <w:b/>
              </w:rPr>
              <w:t xml:space="preserve"> mil. Kč</w:t>
            </w:r>
          </w:p>
        </w:tc>
      </w:tr>
      <w:tr w:rsidR="00671382"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671382" w:rsidRDefault="00671382" w:rsidP="008616DD">
            <w:pPr>
              <w:spacing w:after="0"/>
              <w:rPr>
                <w:color w:val="FFFFFF" w:themeColor="background1"/>
              </w:rPr>
            </w:pPr>
            <w:r>
              <w:rPr>
                <w:color w:val="FFFFFF" w:themeColor="background1"/>
              </w:rPr>
              <w:t>HGE jako % podíl celkové investice</w:t>
            </w:r>
          </w:p>
        </w:tc>
        <w:tc>
          <w:tcPr>
            <w:tcW w:w="1418" w:type="dxa"/>
            <w:vAlign w:val="center"/>
          </w:tcPr>
          <w:p w:rsidR="00671382" w:rsidRPr="0046431C" w:rsidRDefault="00EE6CD4" w:rsidP="008616DD">
            <w:pPr>
              <w:spacing w:after="0"/>
              <w:jc w:val="center"/>
              <w:cnfStyle w:val="000000000000" w:firstRow="0" w:lastRow="0" w:firstColumn="0" w:lastColumn="0" w:oddVBand="0" w:evenVBand="0" w:oddHBand="0" w:evenHBand="0" w:firstRowFirstColumn="0" w:firstRowLastColumn="0" w:lastRowFirstColumn="0" w:lastRowLastColumn="0"/>
              <w:rPr>
                <w:b/>
              </w:rPr>
            </w:pPr>
            <w:r>
              <w:rPr>
                <w:b/>
              </w:rPr>
              <w:t>8,8</w:t>
            </w:r>
            <w:r w:rsidR="00671382">
              <w:rPr>
                <w:b/>
              </w:rPr>
              <w:t xml:space="preserve"> %</w:t>
            </w:r>
          </w:p>
        </w:tc>
        <w:tc>
          <w:tcPr>
            <w:tcW w:w="1417" w:type="dxa"/>
            <w:vAlign w:val="center"/>
          </w:tcPr>
          <w:p w:rsidR="00671382" w:rsidRPr="0046431C" w:rsidRDefault="003826CD" w:rsidP="00EE6CD4">
            <w:pPr>
              <w:spacing w:after="0"/>
              <w:jc w:val="center"/>
              <w:cnfStyle w:val="000000000000" w:firstRow="0" w:lastRow="0" w:firstColumn="0" w:lastColumn="0" w:oddVBand="0" w:evenVBand="0" w:oddHBand="0" w:evenHBand="0" w:firstRowFirstColumn="0" w:firstRowLastColumn="0" w:lastRowFirstColumn="0" w:lastRowLastColumn="0"/>
              <w:rPr>
                <w:b/>
              </w:rPr>
            </w:pPr>
            <w:r>
              <w:rPr>
                <w:b/>
              </w:rPr>
              <w:t>1</w:t>
            </w:r>
            <w:r w:rsidR="00EE6CD4">
              <w:rPr>
                <w:b/>
              </w:rPr>
              <w:t>3</w:t>
            </w:r>
            <w:r>
              <w:rPr>
                <w:b/>
              </w:rPr>
              <w:t xml:space="preserve">,2 </w:t>
            </w:r>
            <w:r w:rsidR="00671382">
              <w:rPr>
                <w:b/>
              </w:rPr>
              <w:t>%</w:t>
            </w:r>
          </w:p>
        </w:tc>
        <w:tc>
          <w:tcPr>
            <w:tcW w:w="1418" w:type="dxa"/>
            <w:vAlign w:val="center"/>
          </w:tcPr>
          <w:p w:rsidR="00671382" w:rsidRPr="0046431C" w:rsidRDefault="00EE6CD4" w:rsidP="00EE6CD4">
            <w:pPr>
              <w:spacing w:after="0"/>
              <w:jc w:val="center"/>
              <w:cnfStyle w:val="000000000000" w:firstRow="0" w:lastRow="0" w:firstColumn="0" w:lastColumn="0" w:oddVBand="0" w:evenVBand="0" w:oddHBand="0" w:evenHBand="0" w:firstRowFirstColumn="0" w:firstRowLastColumn="0" w:lastRowFirstColumn="0" w:lastRowLastColumn="0"/>
              <w:rPr>
                <w:b/>
              </w:rPr>
            </w:pPr>
            <w:r>
              <w:rPr>
                <w:b/>
              </w:rPr>
              <w:t>12</w:t>
            </w:r>
            <w:r w:rsidR="00671382">
              <w:rPr>
                <w:b/>
              </w:rPr>
              <w:t>,</w:t>
            </w:r>
            <w:r>
              <w:rPr>
                <w:b/>
              </w:rPr>
              <w:t>8</w:t>
            </w:r>
            <w:r w:rsidR="00671382">
              <w:rPr>
                <w:b/>
              </w:rPr>
              <w:t xml:space="preserve"> %</w:t>
            </w:r>
          </w:p>
        </w:tc>
        <w:tc>
          <w:tcPr>
            <w:tcW w:w="1417" w:type="dxa"/>
            <w:vAlign w:val="center"/>
          </w:tcPr>
          <w:p w:rsidR="00671382" w:rsidRPr="0046431C" w:rsidRDefault="00182BAA" w:rsidP="00EE6CD4">
            <w:pPr>
              <w:spacing w:after="0"/>
              <w:jc w:val="center"/>
              <w:cnfStyle w:val="000000000000" w:firstRow="0" w:lastRow="0" w:firstColumn="0" w:lastColumn="0" w:oddVBand="0" w:evenVBand="0" w:oddHBand="0" w:evenHBand="0" w:firstRowFirstColumn="0" w:firstRowLastColumn="0" w:lastRowFirstColumn="0" w:lastRowLastColumn="0"/>
              <w:rPr>
                <w:b/>
              </w:rPr>
            </w:pPr>
            <w:r>
              <w:rPr>
                <w:b/>
              </w:rPr>
              <w:t>1</w:t>
            </w:r>
            <w:r w:rsidR="00EE6CD4">
              <w:rPr>
                <w:b/>
              </w:rPr>
              <w:t>7</w:t>
            </w:r>
            <w:r>
              <w:rPr>
                <w:b/>
              </w:rPr>
              <w:t>,</w:t>
            </w:r>
            <w:r w:rsidR="00EE6CD4">
              <w:rPr>
                <w:b/>
              </w:rPr>
              <w:t>2</w:t>
            </w:r>
            <w:r w:rsidR="00671382">
              <w:rPr>
                <w:b/>
              </w:rPr>
              <w:t xml:space="preserve"> %</w:t>
            </w:r>
          </w:p>
        </w:tc>
      </w:tr>
    </w:tbl>
    <w:p w:rsidR="004E2778" w:rsidRDefault="00742FB5" w:rsidP="00742FB5">
      <w:pPr>
        <w:pStyle w:val="Titulek"/>
        <w:rPr>
          <w:bCs w:val="0"/>
          <w:sz w:val="19"/>
          <w:szCs w:val="19"/>
        </w:rPr>
      </w:pPr>
      <w:bookmarkStart w:id="147" w:name="_Toc417655513"/>
      <w:r>
        <w:t xml:space="preserve">Tabulka </w:t>
      </w:r>
      <w:r>
        <w:fldChar w:fldCharType="begin"/>
      </w:r>
      <w:r>
        <w:instrText xml:space="preserve"> SEQ Tabulka \* ARABIC </w:instrText>
      </w:r>
      <w:r>
        <w:fldChar w:fldCharType="separate"/>
      </w:r>
      <w:r w:rsidR="007813A3">
        <w:rPr>
          <w:noProof/>
        </w:rPr>
        <w:t>15</w:t>
      </w:r>
      <w:r>
        <w:fldChar w:fldCharType="end"/>
      </w:r>
      <w:r>
        <w:t xml:space="preserve">: Výpočet hrubého grantového ekvivalentu u </w:t>
      </w:r>
      <w:r w:rsidR="00293A10">
        <w:t>modelových</w:t>
      </w:r>
      <w:r>
        <w:t xml:space="preserve"> projektů</w:t>
      </w:r>
      <w:bookmarkEnd w:id="147"/>
    </w:p>
    <w:p w:rsidR="00742FB5" w:rsidRDefault="00742FB5" w:rsidP="005C281A">
      <w:pPr>
        <w:pStyle w:val="Textkomente"/>
        <w:rPr>
          <w:bCs/>
          <w:sz w:val="19"/>
          <w:szCs w:val="19"/>
        </w:rPr>
      </w:pPr>
      <w:r>
        <w:rPr>
          <w:bCs/>
          <w:sz w:val="19"/>
          <w:szCs w:val="19"/>
        </w:rPr>
        <w:t xml:space="preserve">Pro výpočet </w:t>
      </w:r>
      <w:r w:rsidR="00293A10">
        <w:rPr>
          <w:bCs/>
          <w:sz w:val="19"/>
          <w:szCs w:val="19"/>
        </w:rPr>
        <w:t>modelových</w:t>
      </w:r>
      <w:r>
        <w:rPr>
          <w:bCs/>
          <w:sz w:val="19"/>
          <w:szCs w:val="19"/>
        </w:rPr>
        <w:t xml:space="preserve"> projektů byly zvoleny očekávané</w:t>
      </w:r>
      <w:r w:rsidR="005C281A">
        <w:rPr>
          <w:bCs/>
          <w:sz w:val="19"/>
          <w:szCs w:val="19"/>
        </w:rPr>
        <w:t xml:space="preserve"> typické </w:t>
      </w:r>
      <w:r>
        <w:rPr>
          <w:bCs/>
          <w:sz w:val="19"/>
          <w:szCs w:val="19"/>
        </w:rPr>
        <w:t>atributy projektů, které se budou ucházet o podporu IROP</w:t>
      </w:r>
      <w:r w:rsidR="00584A24">
        <w:rPr>
          <w:bCs/>
          <w:sz w:val="19"/>
          <w:szCs w:val="19"/>
        </w:rPr>
        <w:t xml:space="preserve"> ve specifickém cíli 2.5.</w:t>
      </w:r>
    </w:p>
    <w:p w:rsidR="00C23AE7" w:rsidRDefault="00C23AE7" w:rsidP="0077225E"/>
    <w:p w:rsidR="0077225E" w:rsidRDefault="0077225E" w:rsidP="0077225E">
      <w:r>
        <w:br w:type="page"/>
      </w:r>
    </w:p>
    <w:p w:rsidR="0077225E" w:rsidRPr="00FF775B" w:rsidRDefault="0077225E" w:rsidP="0077225E">
      <w:pPr>
        <w:pStyle w:val="Nadpis2"/>
      </w:pPr>
      <w:bookmarkStart w:id="148" w:name="_Toc400580864"/>
      <w:bookmarkStart w:id="149" w:name="_Toc418767171"/>
      <w:r w:rsidRPr="00A276D1">
        <w:rPr>
          <w:rFonts w:eastAsia="Arial"/>
        </w:rPr>
        <w:t>V</w:t>
      </w:r>
      <w:r w:rsidRPr="00FF775B">
        <w:t>ymezení očekávaných výsledků</w:t>
      </w:r>
      <w:bookmarkEnd w:id="148"/>
      <w:bookmarkEnd w:id="149"/>
    </w:p>
    <w:p w:rsidR="0077225E" w:rsidRDefault="0077225E" w:rsidP="0077225E">
      <w:pPr>
        <w:rPr>
          <w:rFonts w:cs="Arial"/>
          <w:color w:val="000000"/>
          <w:szCs w:val="19"/>
          <w:lang w:eastAsia="cs-CZ"/>
        </w:rPr>
      </w:pPr>
      <w:r>
        <w:rPr>
          <w:rFonts w:cs="Arial"/>
          <w:color w:val="000000"/>
          <w:szCs w:val="19"/>
          <w:lang w:eastAsia="cs-CZ"/>
        </w:rPr>
        <w:t xml:space="preserve">Dodavatel podrobil navrhovanou indikátorovou soustavu </w:t>
      </w:r>
      <w:r w:rsidR="00F5709A">
        <w:rPr>
          <w:rFonts w:cs="Arial"/>
          <w:color w:val="000000"/>
          <w:szCs w:val="19"/>
          <w:lang w:eastAsia="cs-CZ"/>
        </w:rPr>
        <w:t>IROP</w:t>
      </w:r>
      <w:r>
        <w:rPr>
          <w:rFonts w:cs="Arial"/>
          <w:color w:val="000000"/>
          <w:szCs w:val="19"/>
          <w:lang w:eastAsia="cs-CZ"/>
        </w:rPr>
        <w:t xml:space="preserve"> podrobné analýze, přičemž vycházel z poslední verze operačního programu (verze </w:t>
      </w:r>
      <w:r w:rsidR="0039728C">
        <w:rPr>
          <w:rFonts w:cs="Arial"/>
          <w:color w:val="000000"/>
          <w:szCs w:val="19"/>
          <w:lang w:eastAsia="cs-CZ"/>
        </w:rPr>
        <w:t>k 15.12.2014</w:t>
      </w:r>
      <w:r>
        <w:rPr>
          <w:rFonts w:cs="Arial"/>
          <w:color w:val="000000"/>
          <w:szCs w:val="19"/>
          <w:lang w:eastAsia="cs-CZ"/>
        </w:rPr>
        <w:t xml:space="preserve">). </w:t>
      </w:r>
    </w:p>
    <w:p w:rsidR="0077225E" w:rsidRDefault="0077225E" w:rsidP="0077225E">
      <w:pPr>
        <w:pStyle w:val="Nadpis3"/>
      </w:pPr>
      <w:bookmarkStart w:id="150" w:name="_Toc400580865"/>
      <w:bookmarkStart w:id="151" w:name="_Toc418767172"/>
      <w:r>
        <w:t>Návrh indikátorů</w:t>
      </w:r>
      <w:bookmarkEnd w:id="150"/>
      <w:bookmarkEnd w:id="151"/>
    </w:p>
    <w:p w:rsidR="0077225E" w:rsidRDefault="0077225E" w:rsidP="0077225E">
      <w:pPr>
        <w:rPr>
          <w:szCs w:val="19"/>
        </w:rPr>
      </w:pPr>
      <w:r>
        <w:rPr>
          <w:szCs w:val="19"/>
        </w:rPr>
        <w:t xml:space="preserve">Dodavatel neposuzoval relevanci navrhované soustavy výsledkových a výstupových indikátorů, neboť nastavení funkční soustavy je v gesci Řídícího orgánu – dodavatel nepředpokládá potřebu změny sledovaných indikátorů v důsledku přeměny dotačního schéma na podporu realizovanou za využití finančních nástrojů u </w:t>
      </w:r>
      <w:r w:rsidR="008616DD">
        <w:rPr>
          <w:szCs w:val="19"/>
        </w:rPr>
        <w:t>specifického cíle 2.5</w:t>
      </w:r>
      <w:r>
        <w:rPr>
          <w:szCs w:val="19"/>
        </w:rPr>
        <w:t xml:space="preserve">, potřebnou změnou musí pouze projít nastavení milníkových a cílových hodnot. </w:t>
      </w:r>
    </w:p>
    <w:p w:rsidR="0077225E" w:rsidRDefault="0077225E" w:rsidP="0077225E">
      <w:pPr>
        <w:pStyle w:val="Nadpis3"/>
      </w:pPr>
      <w:bookmarkStart w:id="152" w:name="_Toc400580866"/>
      <w:bookmarkStart w:id="153" w:name="_Toc418767173"/>
      <w:r>
        <w:t>Hlavní faktory k zohlednění při revizi hodnot indikátorů</w:t>
      </w:r>
      <w:bookmarkEnd w:id="152"/>
      <w:bookmarkEnd w:id="153"/>
    </w:p>
    <w:p w:rsidR="0077225E" w:rsidRDefault="0077225E" w:rsidP="0077225E">
      <w:pPr>
        <w:rPr>
          <w:szCs w:val="19"/>
        </w:rPr>
      </w:pPr>
      <w:r>
        <w:rPr>
          <w:szCs w:val="19"/>
        </w:rPr>
        <w:t>Nastavení milníkových a cílových hodnot indikátorové soustavy je velmi úzce spjato s volbou konkrétní konečné podoby jednotlivých finančních nástrojů, jejich parametrů, musí vycházet ze znalosti konkrétních omezení, musí reflektovat vyjasnění zbylých otevřených otázek</w:t>
      </w:r>
      <w:r w:rsidR="008616DD">
        <w:rPr>
          <w:szCs w:val="19"/>
        </w:rPr>
        <w:t xml:space="preserve"> a rizik</w:t>
      </w:r>
      <w:r>
        <w:rPr>
          <w:szCs w:val="19"/>
        </w:rPr>
        <w:t xml:space="preserve"> – z uvedených důvodů </w:t>
      </w:r>
      <w:r w:rsidRPr="002033B3">
        <w:rPr>
          <w:b/>
          <w:szCs w:val="19"/>
        </w:rPr>
        <w:t>dodavatel nemůže navrhovat konkrétní nové hodnoty, na které by existující sledované indikátory měly být přepočteny</w:t>
      </w:r>
      <w:r>
        <w:rPr>
          <w:szCs w:val="19"/>
        </w:rPr>
        <w:t xml:space="preserve">. </w:t>
      </w:r>
    </w:p>
    <w:p w:rsidR="0077225E" w:rsidRDefault="0077225E" w:rsidP="0077225E">
      <w:pPr>
        <w:rPr>
          <w:szCs w:val="19"/>
        </w:rPr>
      </w:pPr>
      <w:r>
        <w:rPr>
          <w:szCs w:val="19"/>
        </w:rPr>
        <w:t>Lze identifikovat čtyři klíčové faktory, které v případě změny formy podpory z dotační na finanční nástroje mohou mít podstatný vliv na adekvátnost nastavení hodnot indikátorů, resp. mohou vyžadovat přepočet nyní navrhovaných hodnot:</w:t>
      </w:r>
    </w:p>
    <w:p w:rsidR="0077225E" w:rsidRPr="003C39CF" w:rsidRDefault="0077225E" w:rsidP="002D2639">
      <w:pPr>
        <w:pStyle w:val="Odstavecseseznamem"/>
        <w:numPr>
          <w:ilvl w:val="0"/>
          <w:numId w:val="30"/>
        </w:numPr>
        <w:rPr>
          <w:szCs w:val="19"/>
        </w:rPr>
      </w:pPr>
      <w:r w:rsidRPr="003C39CF">
        <w:rPr>
          <w:b/>
          <w:szCs w:val="19"/>
        </w:rPr>
        <w:t>Parametry finančních nástrojů</w:t>
      </w:r>
      <w:r>
        <w:rPr>
          <w:szCs w:val="19"/>
        </w:rPr>
        <w:t xml:space="preserve"> – volba konečné podoby finančního nástroje, především intenzita poskytované podpory (může se lišit projekt od projektu </w:t>
      </w:r>
      <w:r w:rsidR="008616DD">
        <w:rPr>
          <w:szCs w:val="19"/>
        </w:rPr>
        <w:t xml:space="preserve">především v závislosti na výsledku risk skóringu žadatele, </w:t>
      </w:r>
      <w:r>
        <w:rPr>
          <w:szCs w:val="19"/>
        </w:rPr>
        <w:t xml:space="preserve">dle zvoleného režimu veřejné podpory), míra využití preferenčního odměňování a schopnost zabezpečit adekvátní zdroje spolufinancování (především </w:t>
      </w:r>
      <w:r w:rsidR="008616DD">
        <w:rPr>
          <w:szCs w:val="19"/>
        </w:rPr>
        <w:t>míra kofinancování a důsledky</w:t>
      </w:r>
      <w:r>
        <w:rPr>
          <w:szCs w:val="19"/>
        </w:rPr>
        <w:t xml:space="preserve"> nastavení </w:t>
      </w:r>
      <w:r w:rsidRPr="001D156F">
        <w:rPr>
          <w:i/>
          <w:szCs w:val="19"/>
        </w:rPr>
        <w:t>míry sdílení rizik</w:t>
      </w:r>
      <w:r>
        <w:rPr>
          <w:szCs w:val="19"/>
        </w:rPr>
        <w:t xml:space="preserve">), podíl </w:t>
      </w:r>
      <w:r w:rsidR="00B5627D">
        <w:rPr>
          <w:szCs w:val="19"/>
        </w:rPr>
        <w:t>dotační složky v rámci nástroje</w:t>
      </w:r>
      <w:r>
        <w:rPr>
          <w:szCs w:val="19"/>
        </w:rPr>
        <w:t>.</w:t>
      </w:r>
    </w:p>
    <w:p w:rsidR="0077225E" w:rsidRDefault="0077225E" w:rsidP="002D2639">
      <w:pPr>
        <w:pStyle w:val="Odstavecseseznamem"/>
        <w:numPr>
          <w:ilvl w:val="0"/>
          <w:numId w:val="30"/>
        </w:numPr>
        <w:rPr>
          <w:szCs w:val="19"/>
        </w:rPr>
      </w:pPr>
      <w:r w:rsidRPr="001C62CA">
        <w:rPr>
          <w:b/>
          <w:szCs w:val="19"/>
        </w:rPr>
        <w:t>Časové zpoždění</w:t>
      </w:r>
      <w:r>
        <w:rPr>
          <w:szCs w:val="19"/>
        </w:rPr>
        <w:t xml:space="preserve"> - Plán vyhlašování prvních výzev (a vztažně současně nastavené indikátory) počítají s možnosti spuštění prvních výzev v některých oblastech již v 2Q 2015, nicméně spuštění finančních nástrojů nebude možné dříve, než v 1Q 2016 (</w:t>
      </w:r>
      <w:r w:rsidRPr="002E6626">
        <w:rPr>
          <w:szCs w:val="19"/>
        </w:rPr>
        <w:t xml:space="preserve">viz závěry kapitoly </w:t>
      </w:r>
      <w:r w:rsidR="00B5627D">
        <w:rPr>
          <w:szCs w:val="19"/>
        </w:rPr>
        <w:t>5</w:t>
      </w:r>
      <w:r w:rsidR="002E6626" w:rsidRPr="002E6626">
        <w:rPr>
          <w:szCs w:val="19"/>
        </w:rPr>
        <w:t>.2.</w:t>
      </w:r>
      <w:r w:rsidR="00B5627D">
        <w:rPr>
          <w:szCs w:val="19"/>
        </w:rPr>
        <w:t>9</w:t>
      </w:r>
      <w:r w:rsidRPr="002E6626">
        <w:rPr>
          <w:szCs w:val="19"/>
        </w:rPr>
        <w:t xml:space="preserve"> Akční plán</w:t>
      </w:r>
      <w:r>
        <w:rPr>
          <w:szCs w:val="19"/>
        </w:rPr>
        <w:t>).</w:t>
      </w:r>
    </w:p>
    <w:p w:rsidR="0077225E" w:rsidRPr="002033B3" w:rsidRDefault="0077225E" w:rsidP="002D2639">
      <w:pPr>
        <w:pStyle w:val="Odstavecseseznamem"/>
        <w:numPr>
          <w:ilvl w:val="0"/>
          <w:numId w:val="30"/>
        </w:numPr>
        <w:rPr>
          <w:szCs w:val="19"/>
        </w:rPr>
      </w:pPr>
      <w:r>
        <w:rPr>
          <w:b/>
          <w:szCs w:val="19"/>
        </w:rPr>
        <w:t>Dočasné n</w:t>
      </w:r>
      <w:r w:rsidRPr="001C62CA">
        <w:rPr>
          <w:b/>
          <w:szCs w:val="19"/>
        </w:rPr>
        <w:t>ižší tempo zájmu</w:t>
      </w:r>
      <w:r>
        <w:rPr>
          <w:szCs w:val="19"/>
        </w:rPr>
        <w:t xml:space="preserve"> – Dle dostupných zkušeností s nástroji JESSICA a dalšími, které byly v ČR již využity, dochází k počátečnímu pomalejšímu tempu zájmu o nové nástroje – efekt neznámého, nevyzkoušeného. Opět na základě zkušenosti lze očekávat postupné zlepšení situace, jakmile bude šířeji a komplexněji vnímán efekt komunikační kampaní (tuto doporučujeme zahájit bezodkladně a v širším měřítku) a budou reflektovány (pozitivní) konkrétní zkušenosti žadatelů. Možný</w:t>
      </w:r>
      <w:r w:rsidR="00B5627D">
        <w:rPr>
          <w:szCs w:val="19"/>
        </w:rPr>
        <w:t xml:space="preserve"> negativní</w:t>
      </w:r>
      <w:r>
        <w:rPr>
          <w:szCs w:val="19"/>
        </w:rPr>
        <w:t xml:space="preserve"> efekt působení tohoto faktoru </w:t>
      </w:r>
      <w:r w:rsidR="00B5627D">
        <w:rPr>
          <w:szCs w:val="19"/>
        </w:rPr>
        <w:t>může</w:t>
      </w:r>
      <w:r>
        <w:rPr>
          <w:szCs w:val="19"/>
        </w:rPr>
        <w:t xml:space="preserve"> adekvátně </w:t>
      </w:r>
      <w:r w:rsidR="00B5627D">
        <w:rPr>
          <w:szCs w:val="19"/>
        </w:rPr>
        <w:t xml:space="preserve">pozitivně vyváížit efekt </w:t>
      </w:r>
      <w:r>
        <w:rPr>
          <w:szCs w:val="19"/>
        </w:rPr>
        <w:t>očekávání rychlejšího uvolňování prostředků projektům podpořeným skrze finanční nástroje – díky okamžité certifikaci tranše prostředků v okamžiku schválení nástroje a díky nižší administrativní náročnosti na vyřízení žádosti o podporu a vydání rozhodnutí o poskytnutí podpory.</w:t>
      </w:r>
    </w:p>
    <w:p w:rsidR="0077225E" w:rsidRDefault="0077225E" w:rsidP="002D2639">
      <w:pPr>
        <w:pStyle w:val="Odstavecseseznamem"/>
        <w:numPr>
          <w:ilvl w:val="0"/>
          <w:numId w:val="30"/>
        </w:numPr>
        <w:rPr>
          <w:szCs w:val="19"/>
        </w:rPr>
      </w:pPr>
      <w:r w:rsidRPr="001C62CA">
        <w:rPr>
          <w:b/>
          <w:szCs w:val="19"/>
        </w:rPr>
        <w:t>Započtení multiplikačního efektu</w:t>
      </w:r>
      <w:r>
        <w:rPr>
          <w:szCs w:val="19"/>
        </w:rPr>
        <w:t xml:space="preserve"> – Do výpočtu indikátorové soustavy je nutné započítat revolvingový efekt navrhovaných finančních nástrojů, a to ve dvou základních rovinách:</w:t>
      </w:r>
    </w:p>
    <w:p w:rsidR="0077225E" w:rsidRDefault="0077225E" w:rsidP="002D2639">
      <w:pPr>
        <w:pStyle w:val="Odstavecseseznamem"/>
        <w:numPr>
          <w:ilvl w:val="1"/>
          <w:numId w:val="30"/>
        </w:numPr>
        <w:ind w:left="993"/>
        <w:rPr>
          <w:szCs w:val="19"/>
        </w:rPr>
      </w:pPr>
      <w:r>
        <w:rPr>
          <w:szCs w:val="19"/>
        </w:rPr>
        <w:t>v rovině možnosti znovuvyužití vracejících se prostředků zřízeným fondem (splátka</w:t>
      </w:r>
      <w:r w:rsidR="00B5627D">
        <w:rPr>
          <w:szCs w:val="19"/>
        </w:rPr>
        <w:t xml:space="preserve"> jistiny úvěru, splátka úroku)</w:t>
      </w:r>
      <w:r>
        <w:rPr>
          <w:szCs w:val="19"/>
        </w:rPr>
        <w:t xml:space="preserve"> a jejich opětovném investování (vliv na výsledkové i výstupové indikátory);</w:t>
      </w:r>
    </w:p>
    <w:p w:rsidR="0077225E" w:rsidRDefault="0077225E" w:rsidP="002D2639">
      <w:pPr>
        <w:pStyle w:val="Odstavecseseznamem"/>
        <w:numPr>
          <w:ilvl w:val="1"/>
          <w:numId w:val="30"/>
        </w:numPr>
        <w:ind w:left="993"/>
        <w:rPr>
          <w:szCs w:val="19"/>
        </w:rPr>
      </w:pPr>
      <w:r>
        <w:rPr>
          <w:szCs w:val="19"/>
        </w:rPr>
        <w:t xml:space="preserve">v rovině pákového efektu, kdy je možné využít vyšší míry zapojení spolufinancujících subjektů do podpory projektů, resp. podporu projektů až do výše 100% způsobilých investičních nákladů s omezeným zapojením zdrojů </w:t>
      </w:r>
      <w:r w:rsidR="00F5709A">
        <w:rPr>
          <w:szCs w:val="19"/>
        </w:rPr>
        <w:t>IROP</w:t>
      </w:r>
      <w:r>
        <w:rPr>
          <w:szCs w:val="19"/>
        </w:rPr>
        <w:t xml:space="preserve"> (vliv na výsledkové i výstupové indikátory);</w:t>
      </w:r>
    </w:p>
    <w:p w:rsidR="0077225E" w:rsidRDefault="0077225E" w:rsidP="002D2639">
      <w:pPr>
        <w:pStyle w:val="Odstavecseseznamem"/>
        <w:numPr>
          <w:ilvl w:val="1"/>
          <w:numId w:val="30"/>
        </w:numPr>
        <w:ind w:left="993"/>
        <w:rPr>
          <w:szCs w:val="19"/>
        </w:rPr>
      </w:pPr>
      <w:r>
        <w:rPr>
          <w:szCs w:val="19"/>
        </w:rPr>
        <w:t xml:space="preserve">mezi nepřímé dopady zavedení finančních nástrojů lze započítat i pozitivní efekt ve věci zvýšení </w:t>
      </w:r>
      <w:r>
        <w:rPr>
          <w:szCs w:val="16"/>
        </w:rPr>
        <w:t>hospodárnosti</w:t>
      </w:r>
      <w:r w:rsidRPr="00CB5ED7">
        <w:rPr>
          <w:szCs w:val="16"/>
        </w:rPr>
        <w:t xml:space="preserve"> vynakládání prostředků</w:t>
      </w:r>
      <w:r>
        <w:rPr>
          <w:szCs w:val="16"/>
        </w:rPr>
        <w:t xml:space="preserve"> ESIF - </w:t>
      </w:r>
      <w:r w:rsidRPr="00AC689E">
        <w:rPr>
          <w:szCs w:val="16"/>
        </w:rPr>
        <w:t>návratný zdro</w:t>
      </w:r>
      <w:r>
        <w:rPr>
          <w:szCs w:val="16"/>
        </w:rPr>
        <w:t>j</w:t>
      </w:r>
      <w:r w:rsidRPr="00AC689E">
        <w:rPr>
          <w:szCs w:val="16"/>
        </w:rPr>
        <w:t xml:space="preserve"> stimuluje konečné příjemce k mi</w:t>
      </w:r>
      <w:r>
        <w:rPr>
          <w:szCs w:val="16"/>
        </w:rPr>
        <w:t>nimalizaci nákladů a ekonomičtějšímu uvažování v případě rozhodování o investicích.</w:t>
      </w:r>
    </w:p>
    <w:p w:rsidR="0077225E" w:rsidRDefault="0077225E" w:rsidP="0077225E">
      <w:pPr>
        <w:rPr>
          <w:szCs w:val="19"/>
        </w:rPr>
      </w:pPr>
      <w:r w:rsidRPr="008C138B">
        <w:rPr>
          <w:b/>
          <w:szCs w:val="19"/>
        </w:rPr>
        <w:t>V současném okamžiku probíhající ex-ante analýzy</w:t>
      </w:r>
      <w:r>
        <w:rPr>
          <w:szCs w:val="19"/>
        </w:rPr>
        <w:t xml:space="preserve">, která bude teprve po dokončení jedním z podkladů pro rozhodování ministerstva jako řídícího orgánu o využití finančních nástrojů v novém operačním programu, </w:t>
      </w:r>
      <w:r w:rsidRPr="00132973">
        <w:rPr>
          <w:b/>
          <w:szCs w:val="19"/>
        </w:rPr>
        <w:t xml:space="preserve">není možné zcela jasně kvantifikovat </w:t>
      </w:r>
      <w:r>
        <w:rPr>
          <w:b/>
          <w:szCs w:val="19"/>
        </w:rPr>
        <w:t xml:space="preserve">očekávané </w:t>
      </w:r>
      <w:r w:rsidRPr="00132973">
        <w:rPr>
          <w:b/>
          <w:szCs w:val="19"/>
        </w:rPr>
        <w:t>dopady uvedených faktorů na hodnověrnost a spolehlivost současného nastavení indikátorové soustavy</w:t>
      </w:r>
      <w:r>
        <w:rPr>
          <w:szCs w:val="19"/>
        </w:rPr>
        <w:t xml:space="preserve">. Dodavatel navrhnul rámcový způsob, jakým lze tyto čtyři klíčové faktory promítnout do přípravy indikátorů – tyto jsou popsány v následujících dílčích podkapitolách zprávy. Dodavatel nicméně doporučuje, aby zástupci </w:t>
      </w:r>
      <w:r w:rsidR="00610753">
        <w:rPr>
          <w:szCs w:val="19"/>
        </w:rPr>
        <w:t>vedení projektu MMR</w:t>
      </w:r>
      <w:r>
        <w:rPr>
          <w:szCs w:val="19"/>
        </w:rPr>
        <w:t xml:space="preserve"> dále extensivně a pravidelně komunikovali s gestory zodpovědnými za nastavení indikátorů a průběžně závěry výpočtů a zohlednění uváděných doporučení aktualizovali, v závislosti na vývoji implementace nástrojů do </w:t>
      </w:r>
      <w:r w:rsidR="00F5709A">
        <w:rPr>
          <w:szCs w:val="19"/>
        </w:rPr>
        <w:t>IROP</w:t>
      </w:r>
      <w:r>
        <w:rPr>
          <w:szCs w:val="19"/>
        </w:rPr>
        <w:t xml:space="preserve"> 2014-2020.</w:t>
      </w:r>
    </w:p>
    <w:p w:rsidR="0077225E" w:rsidRDefault="0077225E" w:rsidP="0077225E">
      <w:pPr>
        <w:pStyle w:val="CaptionIntroductionparagraph"/>
      </w:pPr>
      <w:r>
        <w:t>Parametry finanční nástrojů</w:t>
      </w:r>
    </w:p>
    <w:p w:rsidR="0077225E" w:rsidRDefault="0077225E" w:rsidP="0077225E">
      <w:r>
        <w:t>Dodavatel navrhuje, aby po konečném odsouhlasení pod</w:t>
      </w:r>
      <w:r w:rsidR="00EE42D2">
        <w:t>oby finančních nástrojů došlo k</w:t>
      </w:r>
      <w:r>
        <w:t xml:space="preserve"> převzetí těchto klíčových atributů a tyto údaje porovnat s návrhem současné podoby dotační podpory. Identifikované rozdíly by měly být předány gestorovy </w:t>
      </w:r>
      <w:r w:rsidR="00EE42D2">
        <w:t xml:space="preserve">k </w:t>
      </w:r>
      <w:r>
        <w:t>výpočtu souvisejících indikátorů dané oblasti podpory s tím, že gestor nové údaje zahrne do současného výpočtového vzorce, který využíval pro návrh milníkových a cílových indikátorů během příprav programového dokumentu. Krom tohoto postupu může být stejně dobře adekvátním vodítkem vložení konečně platných atributů do modelovacího nástroje multiplikačních efektů, který je přílohou ex-ante analýzy, a dopočtení efektu zvýšeného počtu podpořených projektů na hodnoty sledovaných indikátorů.</w:t>
      </w:r>
    </w:p>
    <w:p w:rsidR="0077225E" w:rsidRDefault="0077225E" w:rsidP="0077225E">
      <w:r>
        <w:t xml:space="preserve">Velmi důležitým prvkem, který může významně vychýlit nastavení indikátorové soustavy, je potenciální zapojení dluhopisového financování, generující významný objem podpořených projektů, mimo původní modelované multiplikační efekty (spojené s vyčíslením dopadů revolvingového charakteru nástrojů). </w:t>
      </w:r>
    </w:p>
    <w:p w:rsidR="0077225E" w:rsidRDefault="0077225E" w:rsidP="0077225E">
      <w:pPr>
        <w:pStyle w:val="CaptionIntroductionparagraph"/>
      </w:pPr>
      <w:r>
        <w:t>Časové zpoždění</w:t>
      </w:r>
    </w:p>
    <w:p w:rsidR="0077225E" w:rsidRDefault="0077225E" w:rsidP="0077225E">
      <w:r>
        <w:t>Současný modelovací nástroj multiplikačního efektu (příloha ex-ante analýzy), který je jedním z klíčových podkladů pro možnost zpřesnění nastavení hodnot indikátorů po zavedení finančních nástrojů, je nastaven v souladu s předpokladem zahájení čerpání tak, jak jej předpokládá akční harmonogram, uváděný v druhé průběžné zprávě. V případě, že dojde k odchýlení se od plánu, případně budou nyní využívané parametry nastavení modelování zadavatelem považovány za neodpovídající, je možné upravit nástroj, aby poskytl přesnější a relevantnější závěry, vstupy do úpravy indikátorů.</w:t>
      </w:r>
    </w:p>
    <w:p w:rsidR="0077225E" w:rsidRDefault="0077225E" w:rsidP="0077225E">
      <w:r>
        <w:t>Pokud by došlo k rozhodnutí o spuštění prvního kola dotačních výzev s tím, že finanční nástroje dotační financování nahradí v „druhém kole“, tzn. po jejich dořešení a schválení relevantními národními i evropskými orgány, je nutné tyto předpoklady zahrnout do modelu (změny dostupné alokace) a souvztažně do výpočtového vzorce, navazujícího na závěry modelování.</w:t>
      </w:r>
    </w:p>
    <w:p w:rsidR="0077225E" w:rsidRDefault="0077225E" w:rsidP="0077225E">
      <w:pPr>
        <w:pStyle w:val="CaptionIntroductionparagraph"/>
      </w:pPr>
      <w:r>
        <w:t>Dočasné nižší tempo zájmu</w:t>
      </w:r>
    </w:p>
    <w:p w:rsidR="0077225E" w:rsidRDefault="0077225E" w:rsidP="0077225E">
      <w:r>
        <w:t xml:space="preserve">Dodavatel nastavil </w:t>
      </w:r>
      <w:r w:rsidR="00EE42D2">
        <w:t>rovnoměrné tempo čerpání původní alokace specifického cíle 2.5 na pět let (tzn. čerpání 20% alokace v letech 2016 – 2020),</w:t>
      </w:r>
      <w:r>
        <w:t xml:space="preserve"> které pramení z následujících předpokladů:</w:t>
      </w:r>
    </w:p>
    <w:p w:rsidR="0077225E" w:rsidRDefault="0077225E" w:rsidP="002D2639">
      <w:pPr>
        <w:pStyle w:val="Odstavecseseznamem"/>
        <w:numPr>
          <w:ilvl w:val="0"/>
          <w:numId w:val="31"/>
        </w:numPr>
      </w:pPr>
      <w:r>
        <w:t>V okamžiku projednání materiálu ministerstva financí k nastavení národní strategie vůči využití finančních nástrojů vládou ČR (předpoklad únor 2015) zaujme problematika více prostoru ve veřejné debatě, která umožní úvodní seznámení se potenciálních žadatelů s připravovanými změnami rozdělování ESIF zdrojů.</w:t>
      </w:r>
    </w:p>
    <w:p w:rsidR="0077225E" w:rsidRDefault="0077225E" w:rsidP="002D2639">
      <w:pPr>
        <w:pStyle w:val="Odstavecseseznamem"/>
        <w:numPr>
          <w:ilvl w:val="0"/>
          <w:numId w:val="31"/>
        </w:numPr>
      </w:pPr>
      <w:r>
        <w:t xml:space="preserve">Po rozhodnutí vlády o podpoře zakomponování finančních nástrojů do operačních programů a následně s kladným rozhodnutím </w:t>
      </w:r>
      <w:r w:rsidR="00EE42D2">
        <w:t>MMR</w:t>
      </w:r>
      <w:r>
        <w:t xml:space="preserve"> a ostatních ministerstev o zapojení finančních nástrojů v jejich programech bude zahájena komplexní informační kampaň, která bude potenciálním žadatelům vysvětlovat přínosy překlopení vybraných oblastí do finančních nástrojů (viz </w:t>
      </w:r>
      <w:r w:rsidR="00EE42D2">
        <w:t>kapitola 3</w:t>
      </w:r>
      <w:r>
        <w:t xml:space="preserve">, dále pak potenciálně vyšší intenzita podpory oproti trendu jejího poklesu pro nové období), bude vysvětlovat změny (zjednodušení) </w:t>
      </w:r>
      <w:r w:rsidR="00EE42D2">
        <w:t xml:space="preserve">v mechanismu fungování procesu </w:t>
      </w:r>
      <w:r>
        <w:t>od žádosti po realizaci, bude vyzdvihovat úspěšné stránky fungování dostupných finančních nástrojů (JESSICA, PANEL).</w:t>
      </w:r>
    </w:p>
    <w:p w:rsidR="0077225E" w:rsidRDefault="0077225E" w:rsidP="002D2639">
      <w:pPr>
        <w:pStyle w:val="Odstavecseseznamem"/>
        <w:numPr>
          <w:ilvl w:val="0"/>
          <w:numId w:val="31"/>
        </w:numPr>
      </w:pPr>
      <w:r>
        <w:t xml:space="preserve">Potenciální nižší tempo zájmu o čerpání z finančních nástrojů bude do určité míry vykompenzováno zrychlením procesu přidělování podpory (prostředky jsou certifikovány předem) a současně tím, že se do výpočtů indikátorů započítávají ihned po převedení z fondu fondů do účelových fondů </w:t>
      </w:r>
      <w:r w:rsidR="00EE42D2">
        <w:t>MMR</w:t>
      </w:r>
      <w:r>
        <w:t xml:space="preserve"> (plnění finančních indikátorů).</w:t>
      </w:r>
    </w:p>
    <w:p w:rsidR="0077225E" w:rsidRDefault="0077225E" w:rsidP="0077225E">
      <w:pPr>
        <w:pStyle w:val="CaptionIntroductionparagraph"/>
      </w:pPr>
      <w:r>
        <w:t>Započtení multiplikačního efektu</w:t>
      </w:r>
    </w:p>
    <w:p w:rsidR="0077225E" w:rsidRDefault="0077225E" w:rsidP="0077225E">
      <w:r>
        <w:t>Pro zohlednění prvních dvou uvedených efektů je možné využít závěry modelování multiplikace dle přílohy ex-ante analýzy, třetí efekt je možné započítat pouze za využití konzervativního expertního odhadu. U výsledkových (celorepublikových) indikátorů je nutné obnovit koordinační aktivity s ostatními řídícími orgány, především s těmi, které shodně uvažují o možném zavedení finančních nástrojů v oblastech, které jsou měřeny přes sdílený indikátor.</w:t>
      </w:r>
    </w:p>
    <w:p w:rsidR="0077225E" w:rsidRDefault="0077225E" w:rsidP="0077225E">
      <w:pPr>
        <w:pStyle w:val="Nadpis3"/>
      </w:pPr>
      <w:bookmarkStart w:id="154" w:name="_Toc418767174"/>
      <w:r>
        <w:t>Vzorový výpočet indikátoru – počet podpořených projektů</w:t>
      </w:r>
      <w:bookmarkEnd w:id="154"/>
    </w:p>
    <w:p w:rsidR="0077225E" w:rsidRDefault="0077225E" w:rsidP="0077225E">
      <w:pPr>
        <w:rPr>
          <w:szCs w:val="19"/>
        </w:rPr>
      </w:pPr>
      <w:r>
        <w:rPr>
          <w:szCs w:val="19"/>
        </w:rPr>
        <w:t>Dle dostupných informací je současnou praxí nejčastěji indikátor stanovován přepočtem alokace proti nákladům na typický projekt (případně v členění na několik skupin typických projektů dle objemu investice a odhadů zájmu o tyto jednotlivé skupiny projektů) a následně známý počet podpořených projektů je dále přepočten proti typickým atributům sledovaného indikátoru (</w:t>
      </w:r>
      <w:r w:rsidR="004F6C18" w:rsidRPr="004F6C18">
        <w:rPr>
          <w:szCs w:val="19"/>
        </w:rPr>
        <w:t>roční snížení emisí</w:t>
      </w:r>
      <w:r w:rsidR="004F6C18" w:rsidRPr="004F6C18">
        <w:t xml:space="preserve"> </w:t>
      </w:r>
      <w:r w:rsidR="004F6C18" w:rsidRPr="004F6C18">
        <w:rPr>
          <w:szCs w:val="19"/>
        </w:rPr>
        <w:t>skleníkových plynů</w:t>
      </w:r>
      <w:r w:rsidR="004F6C18">
        <w:rPr>
          <w:szCs w:val="19"/>
        </w:rPr>
        <w:t xml:space="preserve">, </w:t>
      </w:r>
      <w:r w:rsidR="008A309F">
        <w:rPr>
          <w:szCs w:val="19"/>
        </w:rPr>
        <w:t>s</w:t>
      </w:r>
      <w:r w:rsidR="004F6C18" w:rsidRPr="004F6C18">
        <w:rPr>
          <w:szCs w:val="19"/>
        </w:rPr>
        <w:t>nížení konečné spotřeby energie</w:t>
      </w:r>
      <w:r>
        <w:rPr>
          <w:szCs w:val="19"/>
        </w:rPr>
        <w:t>, apod.). Obdobně je možné postupovat i v případě finančních nástrojů s tím rozdílem, že je připočten očekávaný multiplikační efekt, zvyšující hodnotu počtu podpořených projektů.</w:t>
      </w:r>
    </w:p>
    <w:p w:rsidR="006C0793" w:rsidRDefault="006C0793" w:rsidP="006C0793">
      <w:pPr>
        <w:rPr>
          <w:szCs w:val="19"/>
        </w:rPr>
      </w:pPr>
      <w:r>
        <w:rPr>
          <w:szCs w:val="19"/>
        </w:rPr>
        <w:t xml:space="preserve">Dodavatel nepředpokládá, že by bylo nutné jakkoliv měnit indikátorovou soustavu, resp. hodnoty uváděné do výkonnostního rámce. Přestože příprava finančních nástrojů povede ke zpoždění zahájení čerpání ve vybraných oblastech IROP, tento nedostatek bude kompenzován rychlejší certifikací, tedy </w:t>
      </w:r>
      <w:r w:rsidRPr="00BA31AB">
        <w:rPr>
          <w:b/>
          <w:szCs w:val="19"/>
        </w:rPr>
        <w:t>není nutné měnit hodnotu uváděného milníku pro rok 2018</w:t>
      </w:r>
      <w:r>
        <w:rPr>
          <w:szCs w:val="19"/>
        </w:rPr>
        <w:t xml:space="preserve">. Přestože lze očekávat, že díky opětovnému zapojení relvovingem či jinak navrácených zdrojů již během programového období dojde k navýšení čerpání (viz odhady možného navýšení níže), </w:t>
      </w:r>
      <w:r w:rsidRPr="00A650EB">
        <w:rPr>
          <w:b/>
          <w:szCs w:val="19"/>
        </w:rPr>
        <w:t>dodavatel nedoporučuje měnit hodnotu uváděné cílové hodnoty indikátorů, vztažených k roku 2023</w:t>
      </w:r>
      <w:r>
        <w:rPr>
          <w:szCs w:val="19"/>
        </w:rPr>
        <w:t>. Z důvodu obezřetnosti navrhuje dodavatel ponechat současně nastavené hodnoty v rámci indikátorové soustavy IROP s tím, že tyto budou pravděpodobně v roce 2023 přečerpány. Obezřetnost dodavatel navrhuje především s ohledem na skutečnost, že existuje řada vlivů, které mohou uváděné predikce čerpání vychýlit, resp. proto, že model předpokládaného čerpání je postaven na řadě předpokladů a zjednodušení, které bylo nutné ve fázi ex-ante učinit. Řada ze zmiňovaných rizik a omezení je uvedena v rámci navazující podkapitoly 5.5.4.</w:t>
      </w:r>
    </w:p>
    <w:p w:rsidR="007813A3" w:rsidRDefault="007813A3" w:rsidP="007813A3">
      <w:pPr>
        <w:rPr>
          <w:szCs w:val="19"/>
        </w:rPr>
      </w:pPr>
      <w:r>
        <w:rPr>
          <w:szCs w:val="19"/>
        </w:rPr>
        <w:t>Dle výsledků modelace multiplikace (viz příloha č. 2 závěrečné zprávy) je možné učinit následující závěry:</w:t>
      </w:r>
    </w:p>
    <w:p w:rsidR="007813A3" w:rsidRDefault="007813A3" w:rsidP="007813A3">
      <w:pPr>
        <w:pStyle w:val="Odstavecseseznamem"/>
        <w:numPr>
          <w:ilvl w:val="0"/>
          <w:numId w:val="63"/>
        </w:numPr>
      </w:pPr>
      <w:r>
        <w:t xml:space="preserve">V případě podpory </w:t>
      </w:r>
      <w:r w:rsidRPr="003B7B61">
        <w:rPr>
          <w:b/>
        </w:rPr>
        <w:t xml:space="preserve">projektům </w:t>
      </w:r>
      <w:r>
        <w:rPr>
          <w:b/>
        </w:rPr>
        <w:t>specifického cíle 2.5</w:t>
      </w:r>
      <w:r>
        <w:t xml:space="preserve"> je možné dle závěrů modelace multiplikačních efektů dovodit, že případné nové zapojení revolvingem navrácených prostředků do investičního cyklu je schopno ještě během programového období generovat dodatečné čerpání celkem 3,986 mld. Kč, což znamená navýšení čerpání o</w:t>
      </w:r>
      <w:r w:rsidRPr="003B7B61">
        <w:rPr>
          <w:b/>
        </w:rPr>
        <w:t xml:space="preserve"> </w:t>
      </w:r>
      <w:r>
        <w:rPr>
          <w:b/>
        </w:rPr>
        <w:t>23,7</w:t>
      </w:r>
      <w:r w:rsidRPr="003B7B61">
        <w:rPr>
          <w:b/>
        </w:rPr>
        <w:t xml:space="preserve"> % původní alokace</w:t>
      </w:r>
    </w:p>
    <w:p w:rsidR="007813A3" w:rsidRDefault="007813A3" w:rsidP="007813A3">
      <w:pPr>
        <w:pStyle w:val="Odstavecseseznamem"/>
        <w:numPr>
          <w:ilvl w:val="0"/>
          <w:numId w:val="63"/>
        </w:numPr>
      </w:pPr>
      <w:r w:rsidRPr="002129AE">
        <w:rPr>
          <w:b/>
        </w:rPr>
        <w:t>Přestože se jedná o potenciálně významné vychýlení nyní nastavených hodnot indikátorové soustavy, dodavatel z důvodu obezřetnosti nepovažuje za vhodné a žádoucí provést navýšení indikátorů</w:t>
      </w:r>
      <w:r>
        <w:t>.</w:t>
      </w:r>
    </w:p>
    <w:p w:rsidR="007813A3" w:rsidRDefault="007813A3" w:rsidP="007813A3">
      <w:r w:rsidRPr="002129AE">
        <w:t>Pokud dodavatel vychází z předpokladů zohledněných v modelu a ze zjištění dotazníkového šetření, pak dochází k závěru, že zapojením celé alokace IROP formou zvýhodněného úvěru je možné</w:t>
      </w:r>
      <w:r>
        <w:t xml:space="preserve"> docílit následujících změn, co se indikátorů týče:</w:t>
      </w:r>
    </w:p>
    <w:tbl>
      <w:tblPr>
        <w:tblStyle w:val="Deloittetable1"/>
        <w:tblW w:w="0" w:type="auto"/>
        <w:tblLook w:val="04A0" w:firstRow="1" w:lastRow="0" w:firstColumn="1" w:lastColumn="0" w:noHBand="0" w:noVBand="1"/>
      </w:tblPr>
      <w:tblGrid>
        <w:gridCol w:w="1994"/>
        <w:gridCol w:w="1659"/>
        <w:gridCol w:w="1932"/>
        <w:gridCol w:w="1662"/>
        <w:gridCol w:w="1879"/>
      </w:tblGrid>
      <w:tr w:rsidR="007813A3" w:rsidTr="002C5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tcPr>
          <w:p w:rsidR="007813A3" w:rsidRDefault="007813A3" w:rsidP="002C53C4">
            <w:pPr>
              <w:spacing w:after="0"/>
            </w:pPr>
            <w:r w:rsidRPr="002129AE">
              <w:t xml:space="preserve"> </w:t>
            </w:r>
            <w:r>
              <w:t>Indikátor</w:t>
            </w:r>
          </w:p>
        </w:tc>
        <w:tc>
          <w:tcPr>
            <w:tcW w:w="1675" w:type="dxa"/>
          </w:tcPr>
          <w:p w:rsidR="007813A3" w:rsidRDefault="007813A3" w:rsidP="002C53C4">
            <w:pPr>
              <w:spacing w:after="0"/>
              <w:jc w:val="left"/>
              <w:cnfStyle w:val="100000000000" w:firstRow="1" w:lastRow="0" w:firstColumn="0" w:lastColumn="0" w:oddVBand="0" w:evenVBand="0" w:oddHBand="0" w:evenHBand="0" w:firstRowFirstColumn="0" w:firstRowLastColumn="0" w:lastRowFirstColumn="0" w:lastRowLastColumn="0"/>
            </w:pPr>
            <w:r>
              <w:t xml:space="preserve">Současný milník </w:t>
            </w:r>
            <w:r>
              <w:br/>
              <w:t>pro rok 2018</w:t>
            </w:r>
          </w:p>
        </w:tc>
        <w:tc>
          <w:tcPr>
            <w:tcW w:w="1952" w:type="dxa"/>
          </w:tcPr>
          <w:p w:rsidR="007813A3" w:rsidRDefault="007813A3" w:rsidP="002C53C4">
            <w:pPr>
              <w:spacing w:after="0"/>
              <w:jc w:val="left"/>
              <w:cnfStyle w:val="100000000000" w:firstRow="1" w:lastRow="0" w:firstColumn="0" w:lastColumn="0" w:oddVBand="0" w:evenVBand="0" w:oddHBand="0" w:evenHBand="0" w:firstRowFirstColumn="0" w:firstRowLastColumn="0" w:lastRowFirstColumn="0" w:lastRowLastColumn="0"/>
            </w:pPr>
            <w:r>
              <w:t>Potenciální změna pro milník 2018</w:t>
            </w:r>
          </w:p>
        </w:tc>
        <w:tc>
          <w:tcPr>
            <w:tcW w:w="1678" w:type="dxa"/>
          </w:tcPr>
          <w:p w:rsidR="007813A3" w:rsidRDefault="007813A3" w:rsidP="002C53C4">
            <w:pPr>
              <w:spacing w:after="0"/>
              <w:jc w:val="left"/>
              <w:cnfStyle w:val="100000000000" w:firstRow="1" w:lastRow="0" w:firstColumn="0" w:lastColumn="0" w:oddVBand="0" w:evenVBand="0" w:oddHBand="0" w:evenHBand="0" w:firstRowFirstColumn="0" w:firstRowLastColumn="0" w:lastRowFirstColumn="0" w:lastRowLastColumn="0"/>
            </w:pPr>
            <w:r>
              <w:t xml:space="preserve">Současný cíl </w:t>
            </w:r>
            <w:r>
              <w:br/>
              <w:t>pro rok 2023</w:t>
            </w:r>
          </w:p>
        </w:tc>
        <w:tc>
          <w:tcPr>
            <w:tcW w:w="1898" w:type="dxa"/>
          </w:tcPr>
          <w:p w:rsidR="007813A3" w:rsidRDefault="007813A3" w:rsidP="002C53C4">
            <w:pPr>
              <w:spacing w:after="0"/>
              <w:jc w:val="left"/>
              <w:cnfStyle w:val="100000000000" w:firstRow="1" w:lastRow="0" w:firstColumn="0" w:lastColumn="0" w:oddVBand="0" w:evenVBand="0" w:oddHBand="0" w:evenHBand="0" w:firstRowFirstColumn="0" w:firstRowLastColumn="0" w:lastRowFirstColumn="0" w:lastRowLastColumn="0"/>
            </w:pPr>
            <w:r>
              <w:t>Potenciální změna pro cíl 2023</w:t>
            </w:r>
          </w:p>
        </w:tc>
      </w:tr>
      <w:tr w:rsidR="007813A3" w:rsidTr="002C53C4">
        <w:tc>
          <w:tcPr>
            <w:cnfStyle w:val="001000000000" w:firstRow="0" w:lastRow="0" w:firstColumn="1" w:lastColumn="0" w:oddVBand="0" w:evenVBand="0" w:oddHBand="0" w:evenHBand="0" w:firstRowFirstColumn="0" w:firstRowLastColumn="0" w:lastRowFirstColumn="0" w:lastRowLastColumn="0"/>
            <w:tcW w:w="2013" w:type="dxa"/>
            <w:vAlign w:val="center"/>
          </w:tcPr>
          <w:p w:rsidR="007813A3" w:rsidRDefault="007813A3" w:rsidP="002C53C4">
            <w:pPr>
              <w:spacing w:after="0"/>
              <w:jc w:val="left"/>
            </w:pPr>
            <w:r w:rsidRPr="000A19DF">
              <w:t>Snížení konečné spotřeby energie domácností v</w:t>
            </w:r>
            <w:r>
              <w:t> </w:t>
            </w:r>
            <w:r w:rsidRPr="000A19DF">
              <w:t>ČR</w:t>
            </w:r>
            <w:r>
              <w:t xml:space="preserve"> (</w:t>
            </w:r>
            <w:r w:rsidRPr="000A19DF">
              <w:t>MWh/rok</w:t>
            </w:r>
            <w:r>
              <w:t>)</w:t>
            </w:r>
          </w:p>
        </w:tc>
        <w:tc>
          <w:tcPr>
            <w:tcW w:w="1675"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1952"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167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0A19DF">
              <w:t>64 583 333</w:t>
            </w:r>
          </w:p>
        </w:tc>
        <w:tc>
          <w:tcPr>
            <w:tcW w:w="189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F81BA9">
              <w:t>63</w:t>
            </w:r>
            <w:r>
              <w:t> </w:t>
            </w:r>
            <w:r w:rsidRPr="00F81BA9">
              <w:t>293</w:t>
            </w:r>
            <w:r>
              <w:t xml:space="preserve"> </w:t>
            </w:r>
            <w:r w:rsidRPr="00F81BA9">
              <w:t>000</w:t>
            </w:r>
          </w:p>
        </w:tc>
      </w:tr>
      <w:tr w:rsidR="007813A3" w:rsidTr="002C53C4">
        <w:tc>
          <w:tcPr>
            <w:cnfStyle w:val="001000000000" w:firstRow="0" w:lastRow="0" w:firstColumn="1" w:lastColumn="0" w:oddVBand="0" w:evenVBand="0" w:oddHBand="0" w:evenHBand="0" w:firstRowFirstColumn="0" w:firstRowLastColumn="0" w:lastRowFirstColumn="0" w:lastRowLastColumn="0"/>
            <w:tcW w:w="2013" w:type="dxa"/>
            <w:vAlign w:val="center"/>
          </w:tcPr>
          <w:p w:rsidR="007813A3" w:rsidRDefault="007813A3" w:rsidP="002C53C4">
            <w:pPr>
              <w:spacing w:after="0"/>
              <w:jc w:val="left"/>
            </w:pPr>
            <w:r w:rsidRPr="000D46F6">
              <w:t>Počet domácností s lepší klasifikací spotřeby energie</w:t>
            </w:r>
          </w:p>
        </w:tc>
        <w:tc>
          <w:tcPr>
            <w:tcW w:w="1675"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BD7FA3">
              <w:t>33 484</w:t>
            </w:r>
          </w:p>
        </w:tc>
        <w:tc>
          <w:tcPr>
            <w:tcW w:w="1952" w:type="dxa"/>
            <w:vAlign w:val="center"/>
          </w:tcPr>
          <w:p w:rsidR="007813A3" w:rsidRDefault="002C53C4" w:rsidP="002C53C4">
            <w:pPr>
              <w:spacing w:after="0"/>
              <w:jc w:val="center"/>
              <w:cnfStyle w:val="000000000000" w:firstRow="0" w:lastRow="0" w:firstColumn="0" w:lastColumn="0" w:oddVBand="0" w:evenVBand="0" w:oddHBand="0" w:evenHBand="0" w:firstRowFirstColumn="0" w:firstRowLastColumn="0" w:lastRowFirstColumn="0" w:lastRowLastColumn="0"/>
            </w:pPr>
            <w:r>
              <w:t> Beze změny</w:t>
            </w:r>
            <w:r w:rsidR="00C84296">
              <w:t xml:space="preserve"> </w:t>
            </w:r>
            <w:r w:rsidR="00C84296">
              <w:br/>
              <w:t>– 33 484</w:t>
            </w:r>
            <w:r>
              <w:rPr>
                <w:rStyle w:val="Znakapoznpodarou"/>
              </w:rPr>
              <w:footnoteReference w:id="22"/>
            </w:r>
          </w:p>
        </w:tc>
        <w:tc>
          <w:tcPr>
            <w:tcW w:w="167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BD7FA3">
              <w:t>75 338</w:t>
            </w:r>
          </w:p>
        </w:tc>
        <w:tc>
          <w:tcPr>
            <w:tcW w:w="189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B86C54">
              <w:t>93</w:t>
            </w:r>
            <w:r>
              <w:t xml:space="preserve"> </w:t>
            </w:r>
            <w:r w:rsidRPr="00B86C54">
              <w:t>193</w:t>
            </w:r>
          </w:p>
        </w:tc>
      </w:tr>
      <w:tr w:rsidR="007813A3" w:rsidTr="002C53C4">
        <w:tc>
          <w:tcPr>
            <w:cnfStyle w:val="001000000000" w:firstRow="0" w:lastRow="0" w:firstColumn="1" w:lastColumn="0" w:oddVBand="0" w:evenVBand="0" w:oddHBand="0" w:evenHBand="0" w:firstRowFirstColumn="0" w:firstRowLastColumn="0" w:lastRowFirstColumn="0" w:lastRowLastColumn="0"/>
            <w:tcW w:w="2013" w:type="dxa"/>
            <w:vAlign w:val="center"/>
          </w:tcPr>
          <w:p w:rsidR="007813A3" w:rsidRDefault="007813A3" w:rsidP="002C53C4">
            <w:pPr>
              <w:spacing w:after="0"/>
              <w:jc w:val="left"/>
            </w:pPr>
            <w:r w:rsidRPr="000D46F6">
              <w:t>Počet domácností se sníženou spotřebou energie bez zlepšení klasifikace spotřeby energie</w:t>
            </w:r>
          </w:p>
        </w:tc>
        <w:tc>
          <w:tcPr>
            <w:tcW w:w="1675"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1952"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167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BD7FA3">
              <w:t>25 000</w:t>
            </w:r>
          </w:p>
        </w:tc>
        <w:tc>
          <w:tcPr>
            <w:tcW w:w="189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B86C54">
              <w:t>30</w:t>
            </w:r>
            <w:r>
              <w:t xml:space="preserve"> </w:t>
            </w:r>
            <w:r w:rsidRPr="00B86C54">
              <w:t>925</w:t>
            </w:r>
          </w:p>
        </w:tc>
      </w:tr>
      <w:tr w:rsidR="007813A3" w:rsidTr="002C53C4">
        <w:tc>
          <w:tcPr>
            <w:cnfStyle w:val="001000000000" w:firstRow="0" w:lastRow="0" w:firstColumn="1" w:lastColumn="0" w:oddVBand="0" w:evenVBand="0" w:oddHBand="0" w:evenHBand="0" w:firstRowFirstColumn="0" w:firstRowLastColumn="0" w:lastRowFirstColumn="0" w:lastRowLastColumn="0"/>
            <w:tcW w:w="2013" w:type="dxa"/>
            <w:vAlign w:val="center"/>
          </w:tcPr>
          <w:p w:rsidR="007813A3" w:rsidRDefault="007813A3" w:rsidP="002C53C4">
            <w:pPr>
              <w:spacing w:after="0"/>
              <w:jc w:val="left"/>
            </w:pPr>
            <w:r w:rsidRPr="000D46F6">
              <w:t>Odhadované roční snížení emisí skleníkových plynů</w:t>
            </w:r>
            <w:r>
              <w:t xml:space="preserve"> (t</w:t>
            </w:r>
            <w:r w:rsidRPr="000D46F6">
              <w:t>uny ekvivalentu CO</w:t>
            </w:r>
            <w:r w:rsidRPr="000D46F6">
              <w:rPr>
                <w:vertAlign w:val="subscript"/>
              </w:rPr>
              <w:t>2</w:t>
            </w:r>
            <w:r>
              <w:t>)</w:t>
            </w:r>
          </w:p>
        </w:tc>
        <w:tc>
          <w:tcPr>
            <w:tcW w:w="1675"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1952"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167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BD7FA3">
              <w:t>205 221</w:t>
            </w:r>
          </w:p>
        </w:tc>
        <w:tc>
          <w:tcPr>
            <w:tcW w:w="189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B86C54">
              <w:t>253</w:t>
            </w:r>
            <w:r>
              <w:t xml:space="preserve"> </w:t>
            </w:r>
            <w:r w:rsidRPr="00B86C54">
              <w:t>858</w:t>
            </w:r>
          </w:p>
        </w:tc>
      </w:tr>
    </w:tbl>
    <w:p w:rsidR="007813A3" w:rsidRDefault="007813A3" w:rsidP="00011767">
      <w:pPr>
        <w:pStyle w:val="Titulek"/>
        <w:rPr>
          <w:szCs w:val="19"/>
        </w:rPr>
      </w:pPr>
      <w:bookmarkStart w:id="155" w:name="_Toc417655514"/>
      <w:r>
        <w:t xml:space="preserve">Tabulka </w:t>
      </w:r>
      <w:r>
        <w:fldChar w:fldCharType="begin"/>
      </w:r>
      <w:r>
        <w:instrText xml:space="preserve"> SEQ Tabulka \* ARABIC </w:instrText>
      </w:r>
      <w:r>
        <w:fldChar w:fldCharType="separate"/>
      </w:r>
      <w:r>
        <w:rPr>
          <w:noProof/>
        </w:rPr>
        <w:t>16</w:t>
      </w:r>
      <w:r>
        <w:fldChar w:fldCharType="end"/>
      </w:r>
      <w:r>
        <w:t>: Zhodnocení efektu multiplikace ve vazbě na navržené hodnoty indikátorů</w:t>
      </w:r>
      <w:bookmarkEnd w:id="155"/>
    </w:p>
    <w:p w:rsidR="002129AE" w:rsidRDefault="002129AE" w:rsidP="002129AE">
      <w:pPr>
        <w:rPr>
          <w:szCs w:val="19"/>
        </w:rPr>
      </w:pPr>
      <w:r>
        <w:rPr>
          <w:szCs w:val="19"/>
        </w:rPr>
        <w:t>Dle zhodnocení zástupců vedení projektu za Zadavatele je přes doporučení dodavatele zachování současných hodnot možné revidovat hodnoty indikátorů, nicméně kromě výše uvedených konkrétních výsledků modelace je nutné při revizi dále zohlednit další faktory (viz čtyři hlavní faktory a návrh jejich zohlednění výše), případně zohlednit další omezení standardního modelování, jak jsou specifikovány níže.</w:t>
      </w:r>
    </w:p>
    <w:p w:rsidR="0077225E" w:rsidRDefault="0077225E" w:rsidP="0077225E">
      <w:pPr>
        <w:pStyle w:val="Nadpis3"/>
      </w:pPr>
      <w:bookmarkStart w:id="156" w:name="_Toc418767175"/>
      <w:r>
        <w:t>Rizika a omezení</w:t>
      </w:r>
      <w:bookmarkEnd w:id="156"/>
    </w:p>
    <w:p w:rsidR="0077225E" w:rsidRPr="009960C8" w:rsidRDefault="0077225E" w:rsidP="0077225E">
      <w:r>
        <w:t xml:space="preserve">Níže dodavatel specifikuje další vybraná omezení a rizika modelování milníkových a cílových hodnot indikátorů, </w:t>
      </w:r>
      <w:r w:rsidR="00BE5EBB">
        <w:t>které je třeba adekvátně zohlednit při výpočtu hodnot indikátorů</w:t>
      </w:r>
      <w:r>
        <w:t>.</w:t>
      </w:r>
    </w:p>
    <w:p w:rsidR="0077225E" w:rsidRDefault="0077225E" w:rsidP="0077225E">
      <w:pPr>
        <w:pStyle w:val="Highlight2"/>
      </w:pPr>
      <w:r>
        <w:t xml:space="preserve">Zkreslení využitím pojmu „typický projekt“ </w:t>
      </w:r>
    </w:p>
    <w:p w:rsidR="0077225E" w:rsidRDefault="0077225E" w:rsidP="0077225E">
      <w:r>
        <w:t xml:space="preserve">Průměrná hodnota za projekt nebo měrnou jednotku může podléhat silnému vychýlení v případě, že se kombinují rozdílné akce do jedné rovnice – typicky pokud sledovaný indikátor agreguje přínosy za velmi různorodou skupinu podporovaných opatření (např. </w:t>
      </w:r>
      <w:r w:rsidR="007E266A" w:rsidRPr="007E266A">
        <w:rPr>
          <w:i/>
        </w:rPr>
        <w:t>projekty minimální revitalizace</w:t>
      </w:r>
      <w:r w:rsidR="007E266A">
        <w:t xml:space="preserve"> zaměřené jen na </w:t>
      </w:r>
      <w:r w:rsidR="007E266A" w:rsidRPr="007E266A">
        <w:t>zateplení obvodového pláště, st</w:t>
      </w:r>
      <w:r w:rsidR="007E266A">
        <w:t xml:space="preserve">ěnových, střešních, stropních, </w:t>
      </w:r>
      <w:r w:rsidR="007E266A" w:rsidRPr="007E266A">
        <w:t>podlahových konstrukcí</w:t>
      </w:r>
      <w:r w:rsidR="007E266A">
        <w:t xml:space="preserve"> a </w:t>
      </w:r>
      <w:r w:rsidR="007E266A" w:rsidRPr="007E266A">
        <w:rPr>
          <w:i/>
        </w:rPr>
        <w:t>projekty komplexnější</w:t>
      </w:r>
      <w:r w:rsidR="007E266A" w:rsidRPr="007E266A">
        <w:t>,</w:t>
      </w:r>
      <w:r w:rsidR="007E266A">
        <w:t xml:space="preserve"> zahrnující mj. i </w:t>
      </w:r>
      <w:r w:rsidR="007E266A" w:rsidRPr="007E266A">
        <w:t>prvky pasivního vytápění a chlazení, stínění a instalace systémů řízeného větrání s rekuperací odpadního vzduchu</w:t>
      </w:r>
      <w:r w:rsidR="007E266A">
        <w:t xml:space="preserve">, vč. instalace </w:t>
      </w:r>
      <w:r w:rsidR="007E266A" w:rsidRPr="007E266A">
        <w:t>nov</w:t>
      </w:r>
      <w:r w:rsidR="007E266A">
        <w:t>ého</w:t>
      </w:r>
      <w:r w:rsidR="007E266A" w:rsidRPr="007E266A">
        <w:t xml:space="preserve"> zdroj</w:t>
      </w:r>
      <w:r w:rsidR="007E266A">
        <w:t>e</w:t>
      </w:r>
      <w:r w:rsidR="007E266A" w:rsidRPr="007E266A">
        <w:t xml:space="preserve"> pro vytápění bytového domu</w:t>
      </w:r>
      <w:r>
        <w:t>).</w:t>
      </w:r>
    </w:p>
    <w:p w:rsidR="0077225E" w:rsidRDefault="0077225E" w:rsidP="0077225E">
      <w:pPr>
        <w:pStyle w:val="Odstavecseseznamem"/>
        <w:ind w:left="0"/>
      </w:pPr>
      <w:r>
        <w:t xml:space="preserve">Pro zpřesnění výpočtu doporučujeme buď zavést rozdělení výpočtu pro typické projekty dle </w:t>
      </w:r>
      <w:r w:rsidR="007E266A">
        <w:t>jejich rozsahu a míry komplexnosti</w:t>
      </w:r>
      <w:r>
        <w:t xml:space="preserve"> (každá rovnice bude počítat s jinou průměrnou nákladovostí) nebo</w:t>
      </w:r>
      <w:r w:rsidR="007E266A">
        <w:t xml:space="preserve"> zavést </w:t>
      </w:r>
      <w:r>
        <w:t>adekvátní expertní upravení vypočtené cílové hodnoty dle uvážení gestora.</w:t>
      </w:r>
    </w:p>
    <w:p w:rsidR="0077225E" w:rsidRDefault="0077225E" w:rsidP="0077225E">
      <w:pPr>
        <w:pStyle w:val="Highlight2"/>
      </w:pPr>
      <w:r>
        <w:t xml:space="preserve">Změny v rozvržení alokace pro jednotlivé skupiny opatření a jejich </w:t>
      </w:r>
      <w:r w:rsidR="00BE573E">
        <w:t>specifické cíle</w:t>
      </w:r>
    </w:p>
    <w:p w:rsidR="00BE573E" w:rsidRDefault="00BE573E" w:rsidP="0077225E">
      <w:r>
        <w:t>Do modelu byla doplněna</w:t>
      </w:r>
      <w:r w:rsidR="0077225E">
        <w:t xml:space="preserve"> alokace pro </w:t>
      </w:r>
      <w:r>
        <w:t>celý specifický cíl 2.5 IROP, nebyl proveden odpočet alokace, která bude čerpána</w:t>
      </w:r>
      <w:r w:rsidR="00614B55">
        <w:t xml:space="preserve"> odlišně (pravděpodobně </w:t>
      </w:r>
      <w:r>
        <w:t>dotačně</w:t>
      </w:r>
      <w:r w:rsidR="00614B55">
        <w:t>)</w:t>
      </w:r>
      <w:r>
        <w:t xml:space="preserve"> projekty z</w:t>
      </w:r>
      <w:r w:rsidR="00614B55">
        <w:t> </w:t>
      </w:r>
      <w:r>
        <w:t>území</w:t>
      </w:r>
      <w:r w:rsidR="00614B55">
        <w:t xml:space="preserve">, které plánuje IROP řešit prioritně. </w:t>
      </w:r>
      <w:r>
        <w:t>Dodavatel využil přepočtu alokace za využití aktuálně platného směnného kurzu pro CZK/EUR.</w:t>
      </w:r>
    </w:p>
    <w:p w:rsidR="0077225E" w:rsidRDefault="00BE573E" w:rsidP="0077225E">
      <w:r>
        <w:t>Dodavatel doporučuje změny spojené s uvedenými skutečnostmi (vyčlenění alokace na dotace, změny v kurzu), jakož i další obdobné změny (realokace v rámci IROP mezi specifickými cíli, apod.)</w:t>
      </w:r>
      <w:r w:rsidR="00560EB4">
        <w:t xml:space="preserve"> vždy</w:t>
      </w:r>
      <w:r>
        <w:t xml:space="preserve"> </w:t>
      </w:r>
      <w:r w:rsidR="00560EB4">
        <w:t xml:space="preserve">adekvátně </w:t>
      </w:r>
      <w:r w:rsidR="0077225E">
        <w:t>promítnout přepočtením hodnot využitím aktualizovaných údajů.</w:t>
      </w:r>
    </w:p>
    <w:p w:rsidR="0077225E" w:rsidRDefault="0077225E" w:rsidP="0077225E">
      <w:pPr>
        <w:pStyle w:val="Highlight2"/>
      </w:pPr>
      <w:r>
        <w:t>Velké projekty</w:t>
      </w:r>
    </w:p>
    <w:p w:rsidR="0077225E" w:rsidRDefault="0077225E" w:rsidP="0077225E">
      <w:r>
        <w:t xml:space="preserve">Na schopnost plnění cílových hodnot může mít podstatný vliv to, zda má řídící orgán informace o připravenosti žadatelů podávat velké projekty (myšleno významně vyšší náklady než zbytek „typických“ projektů). Pokud je vyšší či nižší pravděpodobnost, že budou podávány žádosti tzv. velkých projektů, je třeba toto gestory v plánování hodnot zohlednit adekvátní úpravou matematicky vypočtené hodnoty. </w:t>
      </w:r>
    </w:p>
    <w:p w:rsidR="0077225E" w:rsidRDefault="0077225E" w:rsidP="0077225E">
      <w:pPr>
        <w:rPr>
          <w:highlight w:val="yellow"/>
        </w:rPr>
      </w:pPr>
    </w:p>
    <w:p w:rsidR="0077225E" w:rsidRDefault="0077225E" w:rsidP="0077225E">
      <w:pPr>
        <w:spacing w:after="0"/>
        <w:jc w:val="left"/>
      </w:pPr>
      <w:r>
        <w:br w:type="page"/>
      </w:r>
    </w:p>
    <w:p w:rsidR="0077225E" w:rsidRDefault="0077225E" w:rsidP="0077225E">
      <w:pPr>
        <w:pStyle w:val="Nadpis2"/>
      </w:pPr>
      <w:bookmarkStart w:id="157" w:name="_Toc400580867"/>
      <w:bookmarkStart w:id="158" w:name="_Toc418767176"/>
      <w:r>
        <w:t>Ustanovení umožňující přezkum a aktualizaci</w:t>
      </w:r>
      <w:r w:rsidRPr="005B4971">
        <w:t xml:space="preserve"> předběžné</w:t>
      </w:r>
      <w:r>
        <w:t>ho</w:t>
      </w:r>
      <w:r w:rsidRPr="005B4971">
        <w:t xml:space="preserve"> posouzení</w:t>
      </w:r>
      <w:bookmarkEnd w:id="157"/>
      <w:bookmarkEnd w:id="158"/>
    </w:p>
    <w:p w:rsidR="00A12D6C" w:rsidRDefault="00A12D6C" w:rsidP="00A12D6C">
      <w:r w:rsidRPr="00DE5BC3">
        <w:t xml:space="preserve">V rámci realizace ex-ante analýzy přistoupil dodavatel k využití předpokladů a modelových příkladů. Tyto předpoklady je žádoucí před přistoupení k samotné implementaci </w:t>
      </w:r>
      <w:r>
        <w:t xml:space="preserve">finančního nástroje </w:t>
      </w:r>
      <w:r w:rsidRPr="00DE5BC3">
        <w:t xml:space="preserve">v rámci </w:t>
      </w:r>
      <w:r>
        <w:t>IROP</w:t>
      </w:r>
      <w:r w:rsidRPr="00DE5BC3">
        <w:t xml:space="preserve"> doplnit či aktualizovat</w:t>
      </w:r>
      <w:r>
        <w:t xml:space="preserve"> v návaznosti na další vývoj situace po ukončení prací na ex-ante posouzení</w:t>
      </w:r>
      <w:r w:rsidRPr="00DE5BC3">
        <w:t xml:space="preserve">. </w:t>
      </w:r>
      <w:r>
        <w:t>Kapitola specifikuje místa, která mohou být nejvíce náchylná ke změnám v případě změny vnějších podmínek.</w:t>
      </w:r>
    </w:p>
    <w:p w:rsidR="0077225E" w:rsidRDefault="0077225E" w:rsidP="0077225E">
      <w:pPr>
        <w:pStyle w:val="CaptionIntroductionparagraph"/>
      </w:pPr>
      <w:r>
        <w:t>Ustanovení zprávy vyžadující přezkum či doplnění před implementací nástroje</w:t>
      </w:r>
    </w:p>
    <w:p w:rsidR="0077225E" w:rsidRDefault="0077225E" w:rsidP="0077225E">
      <w:r>
        <w:t xml:space="preserve">Většina předpokladů, rizik či otevřených otázek, které mohou narušit vnitřní logiku argumentace a závěrů ex-ante analýzy je možné nalézt </w:t>
      </w:r>
      <w:r w:rsidR="00521270">
        <w:t>v rámci kapitoly 5.1.6.4</w:t>
      </w:r>
      <w:r>
        <w:t xml:space="preserve"> . Dodavatel v této části zprávy jasně popisuje sledované problémy a nejasnosti/nejistoty, kdy současně specifikuje, jaké je možné činit kroky nápravných opatření, resp. kroky prevence vzniku problémů. Dodavatel doporučuje, aby zadavatel před přistoupením k implementaci finančních nástrojů a jejich spuštění revidoval znění této kapitoly a vyvodil adekvátní závěry v případě, že dojde k významnému posílení pravděpodobnosti nebo závažnosti dopadu sledovaných faktorů, které mají značn</w:t>
      </w:r>
      <w:r w:rsidR="00681936">
        <w:t>ý vliv na závěry ex-ante analýzy</w:t>
      </w:r>
      <w:r>
        <w:t>.</w:t>
      </w:r>
    </w:p>
    <w:p w:rsidR="0077225E" w:rsidRDefault="0077225E" w:rsidP="0077225E">
      <w:r>
        <w:t>Kromě výše zmíněné kapitoly je žádoucí, aby zadavatel v adekvátně úměrné míře podrobil přezkumu platnost závěrů, uváděných v následujících kapitolách ex-ante analýzy:</w:t>
      </w:r>
    </w:p>
    <w:p w:rsidR="0077225E" w:rsidRDefault="0077225E" w:rsidP="002D2639">
      <w:pPr>
        <w:pStyle w:val="Odstavecseseznamem"/>
        <w:numPr>
          <w:ilvl w:val="0"/>
          <w:numId w:val="32"/>
        </w:numPr>
      </w:pPr>
      <w:r w:rsidRPr="00A64F67">
        <w:rPr>
          <w:b/>
        </w:rPr>
        <w:t xml:space="preserve">Analýza selhání trhu a neoptimálních investičních situací </w:t>
      </w:r>
      <w:r>
        <w:t>– závěry ohledně kvantifikace tržních selhání, resp. potenciálu pro vytěsňování tržně poskytovaného financování;</w:t>
      </w:r>
    </w:p>
    <w:p w:rsidR="0077225E" w:rsidRPr="00A64F67" w:rsidRDefault="0077225E" w:rsidP="002D2639">
      <w:pPr>
        <w:pStyle w:val="Odstavecseseznamem"/>
        <w:numPr>
          <w:ilvl w:val="0"/>
          <w:numId w:val="32"/>
        </w:numPr>
        <w:rPr>
          <w:b/>
        </w:rPr>
      </w:pPr>
      <w:r w:rsidRPr="00A64F67">
        <w:rPr>
          <w:b/>
        </w:rPr>
        <w:t>Posouzení přidané hodnoty finančních nástrojů a odhad dodatečných veřejných a soukromých zdrojů</w:t>
      </w:r>
      <w:r>
        <w:t xml:space="preserve"> – příloha ex-ante analýzy, nástroj pro modelování multiplikačních efektů, je nutné aktualizovat vždy, kdy dojde ke změně některého ze vstupních atributů;</w:t>
      </w:r>
    </w:p>
    <w:p w:rsidR="0077225E" w:rsidRPr="00A64F67" w:rsidRDefault="0077225E" w:rsidP="002D2639">
      <w:pPr>
        <w:pStyle w:val="Odstavecseseznamem"/>
        <w:numPr>
          <w:ilvl w:val="1"/>
          <w:numId w:val="32"/>
        </w:numPr>
      </w:pPr>
      <w:r w:rsidRPr="00A64F67">
        <w:t>Souvztažně je nutné v případě nutnosti upravit závěry plynoucí z návrhu investiční strategie, návrhu nastavení indikátorové soustavy</w:t>
      </w:r>
      <w:r>
        <w:t>;</w:t>
      </w:r>
    </w:p>
    <w:p w:rsidR="0077225E" w:rsidRPr="00A64F67" w:rsidRDefault="0077225E" w:rsidP="002D2639">
      <w:pPr>
        <w:pStyle w:val="Odstavecseseznamem"/>
        <w:numPr>
          <w:ilvl w:val="0"/>
          <w:numId w:val="32"/>
        </w:numPr>
        <w:rPr>
          <w:b/>
        </w:rPr>
      </w:pPr>
      <w:r w:rsidRPr="00A64F67">
        <w:rPr>
          <w:b/>
        </w:rPr>
        <w:t>Návrh investiční strategie</w:t>
      </w:r>
      <w:r>
        <w:t xml:space="preserve"> – v případě změn předpokladů, na kterých byl staven návrh finančního nástroje, případně dle zjištění generovaných na základě dodatečných analýz či výsledků jednání s klíčovými zájmovými skupinami aktualizovat závěry návrhu nastavení podoby finančního nástroje. V případě zřejmého prodlení v plnění akčního plánu tento aktualizovat a vyvodit z případného zpoždění souvztažné důsledky pro platnost závěrů ex-ante analýzy;</w:t>
      </w:r>
    </w:p>
    <w:p w:rsidR="0077225E" w:rsidRDefault="0077225E" w:rsidP="002D2639">
      <w:pPr>
        <w:pStyle w:val="Odstavecseseznamem"/>
        <w:numPr>
          <w:ilvl w:val="0"/>
          <w:numId w:val="32"/>
        </w:numPr>
      </w:pPr>
      <w:r w:rsidRPr="00431945">
        <w:rPr>
          <w:b/>
        </w:rPr>
        <w:t>Návrh implementační struktury</w:t>
      </w:r>
      <w:r>
        <w:t xml:space="preserve"> – všechny závěry jsou předběžné a mohou být změněny v závislosti na vývoji s projednávání tzv. „střešní národní struktury“</w:t>
      </w:r>
      <w:r w:rsidR="005C1647">
        <w:t xml:space="preserve"> a v souvislosti s výsledky vyjednávání o tzv. “sdílené implementační struktuře“ na úrovni finančního nástroje</w:t>
      </w:r>
      <w:r>
        <w:t>;</w:t>
      </w:r>
    </w:p>
    <w:p w:rsidR="0077225E" w:rsidRPr="00431945" w:rsidRDefault="0077225E" w:rsidP="002D2639">
      <w:pPr>
        <w:pStyle w:val="Odstavecseseznamem"/>
        <w:numPr>
          <w:ilvl w:val="0"/>
          <w:numId w:val="32"/>
        </w:numPr>
        <w:rPr>
          <w:b/>
        </w:rPr>
      </w:pPr>
      <w:r w:rsidRPr="00431945">
        <w:rPr>
          <w:b/>
        </w:rPr>
        <w:t>Posouzení slučitelnosti s pravidly o veřejné podpoře</w:t>
      </w:r>
      <w:r w:rsidR="005C1647">
        <w:t xml:space="preserve"> – </w:t>
      </w:r>
      <w:r>
        <w:t>v závislosti na zpřesňování návrhu nastavení nástrojů a v závislosti na výsledcích projednávání návrhu s EK nutné případně aktualizovat závěry této kapitoly;</w:t>
      </w:r>
    </w:p>
    <w:p w:rsidR="0077225E" w:rsidRPr="00431945" w:rsidRDefault="0077225E" w:rsidP="002D2639">
      <w:pPr>
        <w:pStyle w:val="Odstavecseseznamem"/>
        <w:numPr>
          <w:ilvl w:val="0"/>
          <w:numId w:val="32"/>
        </w:numPr>
        <w:rPr>
          <w:b/>
        </w:rPr>
      </w:pPr>
      <w:r w:rsidRPr="00431945">
        <w:rPr>
          <w:b/>
        </w:rPr>
        <w:t>Vymezení očekávaných výsledků</w:t>
      </w:r>
      <w:r>
        <w:rPr>
          <w:b/>
        </w:rPr>
        <w:t xml:space="preserve"> – </w:t>
      </w:r>
      <w:r>
        <w:t>samotná kapitola obsahuje komplexní popis korekčních mechanismů, které je potřeba vykonat v případě, že se mění některý z předpokladů modelu, který byl pro nástroje aplikován během realizace ex-ante analýzy.</w:t>
      </w:r>
    </w:p>
    <w:p w:rsidR="0077225E" w:rsidRDefault="0077225E" w:rsidP="0077225E">
      <w:pPr>
        <w:pStyle w:val="CaptionIntroductionparagraph"/>
      </w:pPr>
      <w:r>
        <w:t>Ustanovení vyžadující přezkum průběžně během programového období</w:t>
      </w:r>
    </w:p>
    <w:p w:rsidR="0077225E" w:rsidRDefault="0077225E" w:rsidP="0077225E">
      <w:r>
        <w:t>Dodavatel znovu upozorňuje, že faktory jmenované</w:t>
      </w:r>
      <w:r w:rsidRPr="00005029">
        <w:t xml:space="preserve"> </w:t>
      </w:r>
      <w:r>
        <w:t xml:space="preserve">v úvodu kapitoly </w:t>
      </w:r>
      <w:r w:rsidRPr="003C5BE8">
        <w:rPr>
          <w:b/>
        </w:rPr>
        <w:t>Návrh investiční strategie – popis výchozí situace</w:t>
      </w:r>
      <w:r>
        <w:t xml:space="preserve"> je důležité sledovat i po spuštění podpory skrze nově zřízené finanční nástroje a revidovat, zda nedochází k takovým změnám, které by vyžadovaly aktualizaci ex-ante analýzy, případně návrhu nástroje jako takového.</w:t>
      </w:r>
    </w:p>
    <w:p w:rsidR="0077225E" w:rsidRDefault="0077225E" w:rsidP="0077225E">
      <w:r>
        <w:t xml:space="preserve">Ex-ante analýza jako celek by měla podléhat pravidelné revizi pokaždé, když dojde k závažnému narušení platnosti předpokladů, na kterých byla ex-ante analýza realizována, případně </w:t>
      </w:r>
      <w:r w:rsidRPr="00904C75">
        <w:t>pokud se ukáže, že se změnily podmínky na cílovém trh</w:t>
      </w:r>
      <w:r>
        <w:t>u či celková ekonomická situace. Dále by měla být vykonána revize ze strany zástupce řídícího orgánu pravidelně každé dva roky od její akceptace.  Revize by měla být zaměřena především na následující kapitoly:</w:t>
      </w:r>
    </w:p>
    <w:p w:rsidR="0077225E" w:rsidRDefault="0077225E" w:rsidP="002D2639">
      <w:pPr>
        <w:pStyle w:val="Odstavecseseznamem"/>
        <w:numPr>
          <w:ilvl w:val="0"/>
          <w:numId w:val="32"/>
        </w:numPr>
      </w:pPr>
      <w:r w:rsidRPr="00A64F67">
        <w:rPr>
          <w:b/>
        </w:rPr>
        <w:t xml:space="preserve">Analýza selhání trhu a neoptimálních investičních situací </w:t>
      </w:r>
      <w:r>
        <w:t>– závěry ohledně kvantifikace tržních selhání, resp. potenciálu pro vytěsňování tržně poskytovaného financování;</w:t>
      </w:r>
    </w:p>
    <w:p w:rsidR="0077225E" w:rsidRPr="00A64F67" w:rsidRDefault="0077225E" w:rsidP="002D2639">
      <w:pPr>
        <w:pStyle w:val="Odstavecseseznamem"/>
        <w:numPr>
          <w:ilvl w:val="0"/>
          <w:numId w:val="32"/>
        </w:numPr>
        <w:rPr>
          <w:b/>
        </w:rPr>
      </w:pPr>
      <w:r w:rsidRPr="00A64F67">
        <w:rPr>
          <w:b/>
        </w:rPr>
        <w:t>Posouzení přidané hodnoty finančních nástrojů a odhad dodatečných veřejných a soukromých zdrojů</w:t>
      </w:r>
      <w:r>
        <w:t xml:space="preserve"> – příloha ex-ante analýzy, nástroj pro modelování multiplikačních efektů, je nutné aktualizovat vždy, kdy dojde ke změně některého ze vstupních atributů;</w:t>
      </w:r>
    </w:p>
    <w:p w:rsidR="0077225E" w:rsidRPr="00A64F67" w:rsidRDefault="0077225E" w:rsidP="002D2639">
      <w:pPr>
        <w:pStyle w:val="Odstavecseseznamem"/>
        <w:numPr>
          <w:ilvl w:val="1"/>
          <w:numId w:val="32"/>
        </w:numPr>
      </w:pPr>
      <w:r w:rsidRPr="00A64F67">
        <w:t>Souvztažně je nutné v případě nutnosti upravit závěry plynoucí z návrhu investiční strategie, návrhu nastavení indikátorové soustavy</w:t>
      </w:r>
      <w:r>
        <w:t>;</w:t>
      </w:r>
    </w:p>
    <w:p w:rsidR="0077225E" w:rsidRPr="00A64F67" w:rsidRDefault="0077225E" w:rsidP="002D2639">
      <w:pPr>
        <w:pStyle w:val="Odstavecseseznamem"/>
        <w:numPr>
          <w:ilvl w:val="0"/>
          <w:numId w:val="32"/>
        </w:numPr>
        <w:rPr>
          <w:b/>
        </w:rPr>
      </w:pPr>
      <w:r w:rsidRPr="00A64F67">
        <w:rPr>
          <w:b/>
        </w:rPr>
        <w:t>Návrh investiční strategie</w:t>
      </w:r>
      <w:r>
        <w:t xml:space="preserve"> – v případě změn předpokladů, na kterých byl staven návrh finančního nástroje, aktualizovat závěry návrhu nastavení podoby finančního nástroje;</w:t>
      </w:r>
    </w:p>
    <w:p w:rsidR="0077225E" w:rsidRPr="00431945" w:rsidRDefault="0077225E" w:rsidP="002D2639">
      <w:pPr>
        <w:pStyle w:val="Odstavecseseznamem"/>
        <w:numPr>
          <w:ilvl w:val="0"/>
          <w:numId w:val="32"/>
        </w:numPr>
        <w:rPr>
          <w:b/>
        </w:rPr>
      </w:pPr>
      <w:r w:rsidRPr="00431945">
        <w:rPr>
          <w:b/>
        </w:rPr>
        <w:t>Vymezení očekávaných výsledků</w:t>
      </w:r>
      <w:r>
        <w:rPr>
          <w:b/>
        </w:rPr>
        <w:t xml:space="preserve"> </w:t>
      </w:r>
      <w:r w:rsidRPr="00005029">
        <w:t xml:space="preserve">– </w:t>
      </w:r>
      <w:r>
        <w:t>samotná kapitola obsahuje komplexní popis korekčních mechanismů, které je potřeba vykonat v případě, že se mění některý z předpokladů modelu, který byl pro nástroje aplikován během realizace ex-ante analýzy.</w:t>
      </w:r>
    </w:p>
    <w:p w:rsidR="002878B9" w:rsidRDefault="002878B9" w:rsidP="0030412A">
      <w:r>
        <w:t>Zvláštním případem vyžadujícího aktualizaci a doplnění ex-ante analýzy je okamžik schválení legislativních úprav v oblasti sociálního bydlení, kdy na jejich základě bude moci řídící orgán rozhodnout, zda je vhodné pokračovat s poskytováním dotační podpory, nebo by bylo vhodnější oblast přesunout do finančních nástrojů. V tento okamžik bude nutné aktualizovat patřičné části kapitoly 4 a v reflexi nového nastavení sledované oblasti doplnit znění všech podkapitol bloku B ex-ante analýzy, tzn. kapitoly 5 zprávy.</w:t>
      </w:r>
    </w:p>
    <w:p w:rsidR="0030412A" w:rsidRDefault="0030412A" w:rsidP="0030412A">
      <w:r>
        <w:t>Aktualizace předběžného posouzení je nezbytná zejména v případě přípravy druhého investičního cyklu (po návratu výnosů z investic). Její potřeba může vyplynout z průběžné evaluace Programu nebo potřeby realokace v rámci Programu. Týká se základních náležitostí předběžného posouzení charakterizovaných výše. Posoudí-li ŘO, že došlo ke změně okolností nebo hospodářské situace, na jejichž základě bylo provedeno původní předběžné hodnocení</w:t>
      </w:r>
      <w:r w:rsidR="005C1647">
        <w:t>,</w:t>
      </w:r>
      <w:r>
        <w:t xml:space="preserve"> a které mohou mít vliv na průběh implementace a plnění cílů finančního nástroje, provede ŘO aktualizaci původního hodnocení a v rámci možností úpravu podmínek pro poskytování podpory prostřednictvím daného finančního nástroje. Úprava předběžného hodnocení je také konzultována s PCO a NOK.</w:t>
      </w:r>
    </w:p>
    <w:p w:rsidR="0077225E" w:rsidRPr="003C422D" w:rsidRDefault="0077225E" w:rsidP="0077225E">
      <w:r w:rsidRPr="003C422D">
        <w:t>Pro možnost implementace nápravných opatření v těchto případech je žádoucí nastavit pro celé období funkční monitoring a reporting, který dokáže zavčas upozornit na případné nedostatky navrhovaného uspořádání a umožní včasnou reakci, znamenající dosažení optimálního nastavení vykazujícího žádoucí výsledky</w:t>
      </w:r>
      <w:r>
        <w:t>,</w:t>
      </w:r>
      <w:r w:rsidRPr="003C422D">
        <w:t xml:space="preserve"> směřující k naplnění vytyčených cílů. Je především potřebné nastavit eskalační proceduru</w:t>
      </w:r>
      <w:r>
        <w:t xml:space="preserve"> a systém sledování rizik, které </w:t>
      </w:r>
      <w:r w:rsidRPr="003C422D">
        <w:t>umožní signalizace nedostatků nastavení zavčas nahlásit na patřičnou úroveň rozhodování v rámci řídícího orgánu a otevře možnost implementace zmiňovaných nápravných opatření.</w:t>
      </w:r>
    </w:p>
    <w:p w:rsidR="00046696" w:rsidRPr="00046696" w:rsidRDefault="0077225E" w:rsidP="00BD1785">
      <w:r>
        <w:t>Ve všech výše uvedených případech je žádoucí postupovat v souladu s popsanými metodickými postupy, které dodavatel využil pro přípravu ex-ante analýzy – tyto metodické postupy jsou popsány buď přímo v této zprávě, jsou popsány ve Vstupní zprávě projektu, nebo jsou popsány v rámci příloh ex-ante analýzy.</w:t>
      </w:r>
    </w:p>
    <w:p w:rsidR="00317C5A" w:rsidRDefault="00317C5A">
      <w:pPr>
        <w:spacing w:after="0"/>
        <w:jc w:val="left"/>
      </w:pPr>
      <w:r>
        <w:br w:type="page"/>
      </w:r>
    </w:p>
    <w:p w:rsidR="0054691C" w:rsidRDefault="0054691C" w:rsidP="00DF217B">
      <w:pPr>
        <w:pStyle w:val="Nadpis1"/>
      </w:pPr>
      <w:bookmarkStart w:id="159" w:name="_Toc401150117"/>
      <w:bookmarkStart w:id="160" w:name="_Toc418767177"/>
      <w:bookmarkStart w:id="161" w:name="_Toc397701301"/>
      <w:r>
        <w:t>Přílohy</w:t>
      </w:r>
      <w:bookmarkEnd w:id="159"/>
      <w:bookmarkEnd w:id="160"/>
    </w:p>
    <w:p w:rsidR="0054691C" w:rsidRPr="00943CD0" w:rsidRDefault="0054691C" w:rsidP="0054691C">
      <w:r w:rsidRPr="00943CD0">
        <w:t>K</w:t>
      </w:r>
      <w:r w:rsidR="0013198C" w:rsidRPr="00943CD0">
        <w:t> druhé průběžné</w:t>
      </w:r>
      <w:r w:rsidRPr="00943CD0">
        <w:t xml:space="preserve"> zprávě ex-ante analýzy jsou přiloženy následující přílohy:</w:t>
      </w:r>
    </w:p>
    <w:p w:rsidR="00DA4E52" w:rsidRPr="00573A70" w:rsidRDefault="00DA4E52" w:rsidP="002D2639">
      <w:pPr>
        <w:pStyle w:val="Odstavecseseznamem"/>
        <w:numPr>
          <w:ilvl w:val="0"/>
          <w:numId w:val="14"/>
        </w:numPr>
      </w:pPr>
      <w:r w:rsidRPr="00573A70">
        <w:t>Příloha č. 1:</w:t>
      </w:r>
      <w:r w:rsidRPr="00573A70">
        <w:tab/>
      </w:r>
      <w:r>
        <w:t>Výsledky pre-screeningového šetření</w:t>
      </w:r>
    </w:p>
    <w:p w:rsidR="00DA4E52" w:rsidRPr="00573A70" w:rsidRDefault="00DA4E52" w:rsidP="002D2639">
      <w:pPr>
        <w:pStyle w:val="Odstavecseseznamem"/>
        <w:numPr>
          <w:ilvl w:val="0"/>
          <w:numId w:val="14"/>
        </w:numPr>
      </w:pPr>
      <w:r w:rsidRPr="00573A70">
        <w:t>Příloha č. 2:</w:t>
      </w:r>
      <w:r w:rsidRPr="00573A70">
        <w:tab/>
      </w:r>
      <w:r>
        <w:t xml:space="preserve">Modelování </w:t>
      </w:r>
      <w:r w:rsidR="00A40A05">
        <w:t>multiplikačních efektů</w:t>
      </w:r>
    </w:p>
    <w:p w:rsidR="0054691C" w:rsidRDefault="0013198C" w:rsidP="002D2639">
      <w:pPr>
        <w:pStyle w:val="Odstavecseseznamem"/>
        <w:numPr>
          <w:ilvl w:val="0"/>
          <w:numId w:val="14"/>
        </w:numPr>
      </w:pPr>
      <w:r w:rsidRPr="00943CD0">
        <w:t xml:space="preserve">Příloha č. </w:t>
      </w:r>
      <w:r w:rsidR="00DA4E52">
        <w:t>3</w:t>
      </w:r>
      <w:r w:rsidRPr="00943CD0">
        <w:t>:</w:t>
      </w:r>
      <w:r w:rsidRPr="00943CD0">
        <w:tab/>
      </w:r>
      <w:r w:rsidR="00943CD0">
        <w:t>Zhodnocení komplementarit se zvýhodněnými bankovními produkty v</w:t>
      </w:r>
      <w:r w:rsidR="00DA4E52">
        <w:t> </w:t>
      </w:r>
      <w:r w:rsidR="00943CD0">
        <w:t>ČR</w:t>
      </w:r>
    </w:p>
    <w:p w:rsidR="00DF217B" w:rsidRDefault="00DF217B" w:rsidP="00DF217B">
      <w:pPr>
        <w:pStyle w:val="Nadpis1"/>
      </w:pPr>
      <w:bookmarkStart w:id="162" w:name="_Toc401150118"/>
      <w:bookmarkStart w:id="163" w:name="_Toc418767178"/>
      <w:r>
        <w:t>Seznam použitých zdrojů</w:t>
      </w:r>
      <w:bookmarkEnd w:id="161"/>
      <w:bookmarkEnd w:id="162"/>
      <w:bookmarkEnd w:id="163"/>
    </w:p>
    <w:p w:rsidR="00256BE3" w:rsidRPr="00482E5E" w:rsidRDefault="00256BE3" w:rsidP="00256BE3">
      <w:pPr>
        <w:rPr>
          <w:szCs w:val="16"/>
        </w:rPr>
      </w:pPr>
      <w:r w:rsidRPr="005D31AC">
        <w:rPr>
          <w:szCs w:val="16"/>
        </w:rPr>
        <w:t>Pro zpracování zprávy byly využity následující vstupní informace a podkladové materiály:</w:t>
      </w:r>
    </w:p>
    <w:p w:rsidR="00256BE3" w:rsidRPr="00482E5E" w:rsidRDefault="00256BE3" w:rsidP="00256BE3">
      <w:pPr>
        <w:numPr>
          <w:ilvl w:val="0"/>
          <w:numId w:val="7"/>
        </w:numPr>
        <w:rPr>
          <w:bCs/>
        </w:rPr>
      </w:pPr>
      <w:r w:rsidRPr="00482E5E">
        <w:rPr>
          <w:b/>
          <w:bCs/>
        </w:rPr>
        <w:t>Nařízení Evropského parlamenty a Rady č 1303/2013</w:t>
      </w:r>
      <w:r w:rsidRPr="00482E5E">
        <w:rPr>
          <w:bCs/>
        </w:rPr>
        <w:t xml:space="preserve">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(dále jen „</w:t>
      </w:r>
      <w:r w:rsidRPr="00482E5E">
        <w:rPr>
          <w:b/>
          <w:bCs/>
        </w:rPr>
        <w:t>Obecné nařízení</w:t>
      </w:r>
      <w:r w:rsidRPr="00482E5E">
        <w:rPr>
          <w:bCs/>
        </w:rPr>
        <w:t>“);</w:t>
      </w:r>
    </w:p>
    <w:p w:rsidR="00256BE3" w:rsidRPr="00482E5E" w:rsidRDefault="00256BE3" w:rsidP="00256BE3">
      <w:pPr>
        <w:numPr>
          <w:ilvl w:val="0"/>
          <w:numId w:val="7"/>
        </w:numPr>
        <w:rPr>
          <w:bCs/>
        </w:rPr>
      </w:pPr>
      <w:r w:rsidRPr="00482E5E">
        <w:rPr>
          <w:b/>
          <w:bCs/>
        </w:rPr>
        <w:t>Nařízení č. 966/2012 Evropského parlamentu a Rady</w:t>
      </w:r>
      <w:r w:rsidRPr="00482E5E">
        <w:rPr>
          <w:bCs/>
        </w:rPr>
        <w:t xml:space="preserve"> ze dne 25. října 2012, kterým se stanoví finanční pravidla o souhrnném rozpočtu Unie a o zrušení nařízení Rady (ES, Euratom) č. 1605/2002 (dále jen „</w:t>
      </w:r>
      <w:r w:rsidRPr="00482E5E">
        <w:rPr>
          <w:b/>
          <w:bCs/>
        </w:rPr>
        <w:t>Finanční nařízení</w:t>
      </w:r>
      <w:r w:rsidRPr="00482E5E">
        <w:rPr>
          <w:bCs/>
        </w:rPr>
        <w:t>“);</w:t>
      </w:r>
    </w:p>
    <w:p w:rsidR="00256BE3" w:rsidRPr="005C4CD6" w:rsidRDefault="00256BE3" w:rsidP="00256BE3">
      <w:pPr>
        <w:numPr>
          <w:ilvl w:val="0"/>
          <w:numId w:val="7"/>
        </w:numPr>
        <w:rPr>
          <w:bCs/>
          <w:lang w:val="en-US"/>
        </w:rPr>
      </w:pPr>
      <w:r w:rsidRPr="005C4CD6">
        <w:rPr>
          <w:b/>
          <w:bCs/>
          <w:lang w:val="en-US"/>
        </w:rPr>
        <w:t>Revised Guidance Note on Financial Engineering Instruments</w:t>
      </w:r>
      <w:r w:rsidRPr="005C4CD6">
        <w:rPr>
          <w:bCs/>
          <w:lang w:val="en-US"/>
        </w:rPr>
        <w:t xml:space="preserve"> under Article 44 of Council Regulation (E</w:t>
      </w:r>
      <w:r>
        <w:rPr>
          <w:bCs/>
          <w:lang w:val="en-US"/>
        </w:rPr>
        <w:t>C) No 1083/2006 ze dne 8. února</w:t>
      </w:r>
      <w:r w:rsidRPr="005C4CD6">
        <w:rPr>
          <w:bCs/>
          <w:lang w:val="en-US"/>
        </w:rPr>
        <w:t xml:space="preserve"> 2012;</w:t>
      </w:r>
    </w:p>
    <w:p w:rsidR="00256BE3" w:rsidRPr="005C4CD6" w:rsidRDefault="00256BE3" w:rsidP="00256BE3">
      <w:pPr>
        <w:numPr>
          <w:ilvl w:val="0"/>
          <w:numId w:val="7"/>
        </w:numPr>
        <w:rPr>
          <w:bCs/>
          <w:lang w:val="en-US"/>
        </w:rPr>
      </w:pPr>
      <w:r w:rsidRPr="005C4CD6">
        <w:rPr>
          <w:b/>
          <w:bCs/>
          <w:lang w:val="en-US"/>
        </w:rPr>
        <w:t>Standard terms and conditions for financial instruments</w:t>
      </w:r>
      <w:r w:rsidRPr="005C4CD6">
        <w:rPr>
          <w:bCs/>
          <w:lang w:val="en-US"/>
        </w:rPr>
        <w:t xml:space="preserve"> pursuant to Articl</w:t>
      </w:r>
      <w:r>
        <w:rPr>
          <w:bCs/>
          <w:lang w:val="en-US"/>
        </w:rPr>
        <w:t xml:space="preserve">e 33(3)(a) of the CPR, verze z </w:t>
      </w:r>
      <w:r w:rsidRPr="005C4CD6">
        <w:rPr>
          <w:bCs/>
          <w:lang w:val="en-US"/>
        </w:rPr>
        <w:t>16. července 2013;</w:t>
      </w:r>
    </w:p>
    <w:p w:rsidR="00256BE3" w:rsidRPr="005C4CD6" w:rsidRDefault="00256BE3" w:rsidP="00256BE3">
      <w:pPr>
        <w:numPr>
          <w:ilvl w:val="0"/>
          <w:numId w:val="7"/>
        </w:numPr>
        <w:rPr>
          <w:bCs/>
          <w:lang w:val="en-US"/>
        </w:rPr>
      </w:pPr>
      <w:r w:rsidRPr="005C4CD6">
        <w:rPr>
          <w:b/>
          <w:bCs/>
          <w:lang w:val="en-US"/>
        </w:rPr>
        <w:t>Ex-ante assessment methodology for financial instruments in the 2014-2020 programming period</w:t>
      </w:r>
      <w:r w:rsidRPr="005C4CD6">
        <w:rPr>
          <w:bCs/>
          <w:lang w:val="en-US"/>
        </w:rPr>
        <w:t>: General methodology covering all thematic objectives, Volume I, zpracováno společností PwC pro EK a EIB;</w:t>
      </w:r>
    </w:p>
    <w:p w:rsidR="00256BE3" w:rsidRPr="005C4CD6" w:rsidRDefault="00256BE3" w:rsidP="00256BE3">
      <w:pPr>
        <w:numPr>
          <w:ilvl w:val="0"/>
          <w:numId w:val="7"/>
        </w:numPr>
        <w:rPr>
          <w:bCs/>
          <w:lang w:val="en-US"/>
        </w:rPr>
      </w:pPr>
      <w:r w:rsidRPr="005C4CD6">
        <w:rPr>
          <w:b/>
          <w:bCs/>
          <w:lang w:val="en-US"/>
        </w:rPr>
        <w:t>Ex-ante assessment methodology for financial instruments in the 2014 – 2020 programming period</w:t>
      </w:r>
      <w:r w:rsidRPr="005C4CD6">
        <w:rPr>
          <w:bCs/>
          <w:lang w:val="en-US"/>
        </w:rPr>
        <w:t>: Strengthening research, technological development and innovation (Volume 2); zpracováno společností PwC pro EK a EIB;</w:t>
      </w:r>
    </w:p>
    <w:p w:rsidR="00256BE3" w:rsidRPr="005C4CD6" w:rsidRDefault="00256BE3" w:rsidP="00256BE3">
      <w:pPr>
        <w:numPr>
          <w:ilvl w:val="0"/>
          <w:numId w:val="7"/>
        </w:numPr>
        <w:rPr>
          <w:bCs/>
          <w:lang w:val="en-US"/>
        </w:rPr>
      </w:pPr>
      <w:r w:rsidRPr="005C4CD6">
        <w:rPr>
          <w:b/>
          <w:bCs/>
          <w:lang w:val="en-US"/>
        </w:rPr>
        <w:t>Ex-ante assessment methodology for financial instruments in the 2014 – 2020 programming period</w:t>
      </w:r>
      <w:r w:rsidRPr="005C4CD6">
        <w:rPr>
          <w:bCs/>
          <w:lang w:val="en-US"/>
        </w:rPr>
        <w:t>: Supporting the shift towards low-carbon economy (Volume 4); zpracováno společností PwC pro EK a EIB;</w:t>
      </w:r>
    </w:p>
    <w:p w:rsidR="00256BE3" w:rsidRPr="00B2788B" w:rsidRDefault="00256BE3" w:rsidP="00256BE3">
      <w:pPr>
        <w:numPr>
          <w:ilvl w:val="0"/>
          <w:numId w:val="7"/>
        </w:numPr>
        <w:rPr>
          <w:rFonts w:cs="Arial"/>
          <w:bCs/>
          <w:szCs w:val="19"/>
        </w:rPr>
      </w:pPr>
      <w:r w:rsidRPr="00225979">
        <w:rPr>
          <w:rFonts w:cs="Arial"/>
          <w:b/>
          <w:bCs/>
          <w:color w:val="000000"/>
          <w:szCs w:val="19"/>
        </w:rPr>
        <w:t xml:space="preserve">Prováděcí nařízení Komise (EU) č. 964/2014 </w:t>
      </w:r>
      <w:r w:rsidRPr="00225979">
        <w:rPr>
          <w:rFonts w:cs="Arial"/>
          <w:bCs/>
          <w:color w:val="000000"/>
          <w:szCs w:val="19"/>
        </w:rPr>
        <w:t xml:space="preserve">ze dne 11. září 2014, kterým se stanoví prováděcí pravidla k nařízení Evropského parlamentu a Rady (EU) č. 1303/2013, pokud jde o standardní </w:t>
      </w:r>
      <w:r w:rsidR="003374C7">
        <w:rPr>
          <w:rFonts w:cs="Arial"/>
          <w:bCs/>
          <w:color w:val="000000"/>
          <w:szCs w:val="19"/>
        </w:rPr>
        <w:t>podmínky pro finanční nástroje;</w:t>
      </w:r>
    </w:p>
    <w:p w:rsidR="00B2788B" w:rsidRPr="004C1A0C" w:rsidRDefault="00B2788B" w:rsidP="00B2788B">
      <w:pPr>
        <w:numPr>
          <w:ilvl w:val="0"/>
          <w:numId w:val="7"/>
        </w:numPr>
        <w:rPr>
          <w:rFonts w:cs="Arial"/>
          <w:bCs/>
          <w:szCs w:val="19"/>
        </w:rPr>
      </w:pPr>
      <w:r>
        <w:rPr>
          <w:rFonts w:cs="Arial"/>
          <w:b/>
          <w:bCs/>
          <w:color w:val="000000"/>
          <w:szCs w:val="19"/>
        </w:rPr>
        <w:t xml:space="preserve">Prováděcí nařízení Komise (EU) </w:t>
      </w:r>
      <w:r w:rsidRPr="00B2788B">
        <w:rPr>
          <w:rFonts w:cs="Arial"/>
          <w:b/>
          <w:bCs/>
          <w:color w:val="000000"/>
          <w:szCs w:val="19"/>
        </w:rPr>
        <w:t>č. 480/2014</w:t>
      </w:r>
      <w:r>
        <w:rPr>
          <w:rFonts w:cs="Arial"/>
          <w:b/>
          <w:bCs/>
          <w:color w:val="000000"/>
          <w:szCs w:val="19"/>
        </w:rPr>
        <w:t xml:space="preserve"> </w:t>
      </w:r>
      <w:r w:rsidRPr="00B2788B">
        <w:rPr>
          <w:rFonts w:cs="Arial"/>
          <w:bCs/>
          <w:color w:val="000000"/>
          <w:szCs w:val="19"/>
        </w:rPr>
        <w:t xml:space="preserve">ze dne 3. března 2014, kterým se doplňuje nařízení Evropského parlamentu a Rady (EU) č. 1303/2013 o společných ustanoveních </w:t>
      </w:r>
      <w:r>
        <w:rPr>
          <w:rFonts w:cs="Arial"/>
          <w:bCs/>
          <w:color w:val="000000"/>
          <w:szCs w:val="19"/>
        </w:rPr>
        <w:t>ESI fondech;</w:t>
      </w:r>
    </w:p>
    <w:p w:rsidR="004C1A0C" w:rsidRPr="00225979" w:rsidRDefault="004C1A0C" w:rsidP="004C1A0C">
      <w:pPr>
        <w:numPr>
          <w:ilvl w:val="0"/>
          <w:numId w:val="7"/>
        </w:numPr>
        <w:rPr>
          <w:rFonts w:cs="Arial"/>
          <w:bCs/>
          <w:szCs w:val="19"/>
        </w:rPr>
      </w:pPr>
      <w:r>
        <w:rPr>
          <w:rFonts w:cs="Arial"/>
          <w:b/>
          <w:bCs/>
          <w:color w:val="000000"/>
          <w:szCs w:val="19"/>
        </w:rPr>
        <w:t xml:space="preserve">Prováděcí nařízení Komise (EU) </w:t>
      </w:r>
      <w:r w:rsidRPr="00B2788B">
        <w:rPr>
          <w:rFonts w:cs="Arial"/>
          <w:b/>
          <w:bCs/>
          <w:color w:val="000000"/>
          <w:szCs w:val="19"/>
        </w:rPr>
        <w:t xml:space="preserve">č. </w:t>
      </w:r>
      <w:r>
        <w:rPr>
          <w:rFonts w:cs="Arial"/>
          <w:b/>
          <w:bCs/>
          <w:color w:val="000000"/>
          <w:szCs w:val="19"/>
        </w:rPr>
        <w:t>821</w:t>
      </w:r>
      <w:r w:rsidRPr="00B2788B">
        <w:rPr>
          <w:rFonts w:cs="Arial"/>
          <w:b/>
          <w:bCs/>
          <w:color w:val="000000"/>
          <w:szCs w:val="19"/>
        </w:rPr>
        <w:t>/2014</w:t>
      </w:r>
      <w:r>
        <w:rPr>
          <w:rFonts w:cs="Arial"/>
          <w:b/>
          <w:bCs/>
          <w:color w:val="000000"/>
          <w:szCs w:val="19"/>
        </w:rPr>
        <w:t xml:space="preserve"> </w:t>
      </w:r>
      <w:r>
        <w:rPr>
          <w:rFonts w:cs="Arial"/>
          <w:bCs/>
          <w:color w:val="000000"/>
          <w:szCs w:val="19"/>
        </w:rPr>
        <w:t>ze dne 28</w:t>
      </w:r>
      <w:r w:rsidRPr="00B2788B">
        <w:rPr>
          <w:rFonts w:cs="Arial"/>
          <w:bCs/>
          <w:color w:val="000000"/>
          <w:szCs w:val="19"/>
        </w:rPr>
        <w:t>.</w:t>
      </w:r>
      <w:r>
        <w:rPr>
          <w:rFonts w:cs="Arial"/>
          <w:bCs/>
          <w:color w:val="000000"/>
          <w:szCs w:val="19"/>
        </w:rPr>
        <w:t xml:space="preserve"> července</w:t>
      </w:r>
      <w:r w:rsidRPr="00B2788B">
        <w:rPr>
          <w:rFonts w:cs="Arial"/>
          <w:bCs/>
          <w:color w:val="000000"/>
          <w:szCs w:val="19"/>
        </w:rPr>
        <w:t xml:space="preserve"> 2014, </w:t>
      </w:r>
      <w:r w:rsidRPr="004C1A0C">
        <w:rPr>
          <w:rFonts w:cs="Arial"/>
          <w:bCs/>
          <w:color w:val="000000"/>
          <w:szCs w:val="19"/>
        </w:rPr>
        <w:t>kterým se stanoví pravidla pro uplatňování nařízení (EU) č. 1303/2013 Evropského parlamentu a Rady, pokud jde o podrobná ujednání pro převod a správu příspěvků z programu, podávání zpráv o finančních nástrojích, technické vlastnosti informačních a komunikačních opatření k operacím a systém pro zaznamenávání a uchovávání údajů</w:t>
      </w:r>
      <w:r>
        <w:rPr>
          <w:rFonts w:cs="Arial"/>
          <w:bCs/>
          <w:color w:val="000000"/>
          <w:szCs w:val="19"/>
        </w:rPr>
        <w:t>;</w:t>
      </w:r>
    </w:p>
    <w:p w:rsidR="004C1A0C" w:rsidRDefault="004C1A0C" w:rsidP="004C1A0C">
      <w:pPr>
        <w:numPr>
          <w:ilvl w:val="0"/>
          <w:numId w:val="7"/>
        </w:numPr>
        <w:rPr>
          <w:rFonts w:cs="Arial"/>
          <w:bCs/>
          <w:szCs w:val="19"/>
        </w:rPr>
      </w:pPr>
      <w:r w:rsidRPr="004C1A0C">
        <w:rPr>
          <w:rFonts w:cs="Arial"/>
          <w:b/>
          <w:bCs/>
          <w:szCs w:val="19"/>
        </w:rPr>
        <w:t>Nařízení Komise (EU) č. 1407/2013</w:t>
      </w:r>
      <w:r w:rsidRPr="004C1A0C">
        <w:rPr>
          <w:rFonts w:cs="Arial"/>
          <w:bCs/>
          <w:szCs w:val="19"/>
        </w:rPr>
        <w:t xml:space="preserve"> ze dne 18. prosince 2013</w:t>
      </w:r>
      <w:r>
        <w:rPr>
          <w:rFonts w:cs="Arial"/>
          <w:bCs/>
          <w:szCs w:val="19"/>
        </w:rPr>
        <w:t xml:space="preserve"> </w:t>
      </w:r>
      <w:r w:rsidRPr="004C1A0C">
        <w:rPr>
          <w:rFonts w:cs="Arial"/>
          <w:bCs/>
          <w:szCs w:val="19"/>
        </w:rPr>
        <w:t>o použití článků 107 a 108 Smlouvy o fungování Evropské unie na podporu de minimis</w:t>
      </w:r>
      <w:r>
        <w:rPr>
          <w:rFonts w:cs="Arial"/>
          <w:bCs/>
          <w:szCs w:val="19"/>
        </w:rPr>
        <w:t>;</w:t>
      </w:r>
    </w:p>
    <w:p w:rsidR="004C1A0C" w:rsidRPr="004C1A0C" w:rsidRDefault="004C1A0C" w:rsidP="004C1A0C">
      <w:pPr>
        <w:numPr>
          <w:ilvl w:val="0"/>
          <w:numId w:val="7"/>
        </w:numPr>
        <w:rPr>
          <w:rFonts w:cs="Arial"/>
          <w:bCs/>
          <w:szCs w:val="19"/>
        </w:rPr>
      </w:pPr>
      <w:r w:rsidRPr="004C1A0C">
        <w:rPr>
          <w:rFonts w:cs="Arial"/>
          <w:b/>
          <w:bCs/>
          <w:szCs w:val="19"/>
        </w:rPr>
        <w:t>Nařízení Komise (EU) č. 651/2014</w:t>
      </w:r>
      <w:r w:rsidRPr="004C1A0C">
        <w:rPr>
          <w:rFonts w:cs="Arial"/>
          <w:bCs/>
          <w:szCs w:val="19"/>
        </w:rPr>
        <w:t xml:space="preserve"> ze dne 17. června 2014, kterým se v souladu s články 107 a 108 Smlouvy prohlašují určité kategorie podpory za slučitelné s vn</w:t>
      </w:r>
      <w:r>
        <w:rPr>
          <w:rFonts w:cs="Arial"/>
          <w:bCs/>
          <w:szCs w:val="19"/>
        </w:rPr>
        <w:t>itřním trhem;</w:t>
      </w:r>
    </w:p>
    <w:p w:rsidR="00256BE3" w:rsidRPr="00225979" w:rsidRDefault="00256BE3" w:rsidP="00256BE3">
      <w:pPr>
        <w:numPr>
          <w:ilvl w:val="0"/>
          <w:numId w:val="7"/>
        </w:numPr>
        <w:rPr>
          <w:rFonts w:cs="Arial"/>
          <w:bCs/>
          <w:szCs w:val="19"/>
        </w:rPr>
      </w:pPr>
      <w:r w:rsidRPr="00225979">
        <w:rPr>
          <w:rFonts w:cs="Arial"/>
          <w:b/>
          <w:szCs w:val="19"/>
        </w:rPr>
        <w:t>Metodické doporučení pro implementaci finančních nástrojů v programovém období 2014-2020</w:t>
      </w:r>
      <w:r w:rsidRPr="00225979">
        <w:rPr>
          <w:rFonts w:cs="Arial"/>
          <w:szCs w:val="19"/>
        </w:rPr>
        <w:t>, MMR, verze k 17. 9. 2014</w:t>
      </w:r>
    </w:p>
    <w:p w:rsidR="00256BE3" w:rsidRPr="00482E5E" w:rsidRDefault="00256BE3" w:rsidP="00256BE3">
      <w:pPr>
        <w:numPr>
          <w:ilvl w:val="0"/>
          <w:numId w:val="7"/>
        </w:numPr>
        <w:rPr>
          <w:bCs/>
        </w:rPr>
      </w:pPr>
      <w:r w:rsidRPr="00482E5E">
        <w:rPr>
          <w:b/>
          <w:bCs/>
        </w:rPr>
        <w:t>Materiál pro jednání vlády Slovenské republiky ve věci založení Slovenského investičního holdingu</w:t>
      </w:r>
      <w:r w:rsidRPr="00482E5E">
        <w:rPr>
          <w:bCs/>
        </w:rPr>
        <w:t xml:space="preserve"> jakožto subjektu odpovědného za implementaci IFN;</w:t>
      </w:r>
    </w:p>
    <w:p w:rsidR="00256BE3" w:rsidRPr="00482E5E" w:rsidRDefault="00256BE3" w:rsidP="00256BE3">
      <w:pPr>
        <w:numPr>
          <w:ilvl w:val="0"/>
          <w:numId w:val="7"/>
        </w:numPr>
        <w:rPr>
          <w:bCs/>
        </w:rPr>
      </w:pPr>
      <w:r w:rsidRPr="00482E5E">
        <w:rPr>
          <w:b/>
          <w:bCs/>
        </w:rPr>
        <w:t>Interní materiály společnosti Deloitte</w:t>
      </w:r>
      <w:r w:rsidRPr="00482E5E">
        <w:rPr>
          <w:bCs/>
        </w:rPr>
        <w:t xml:space="preserve"> a jejích zahraničních kanceláří ve věci implementace IFN v rámci jednotlivých členských zemí;</w:t>
      </w:r>
    </w:p>
    <w:p w:rsidR="00256BE3" w:rsidRPr="00482E5E" w:rsidRDefault="00256BE3" w:rsidP="00256BE3">
      <w:pPr>
        <w:numPr>
          <w:ilvl w:val="0"/>
          <w:numId w:val="7"/>
        </w:numPr>
        <w:rPr>
          <w:bCs/>
        </w:rPr>
      </w:pPr>
      <w:r w:rsidRPr="00482E5E">
        <w:rPr>
          <w:b/>
          <w:bCs/>
        </w:rPr>
        <w:t>Konzultace s</w:t>
      </w:r>
      <w:r w:rsidRPr="00482E5E">
        <w:rPr>
          <w:bCs/>
        </w:rPr>
        <w:t xml:space="preserve"> interními </w:t>
      </w:r>
      <w:r w:rsidRPr="00482E5E">
        <w:rPr>
          <w:b/>
          <w:bCs/>
        </w:rPr>
        <w:t>právníky</w:t>
      </w:r>
      <w:r w:rsidRPr="00482E5E">
        <w:rPr>
          <w:bCs/>
        </w:rPr>
        <w:t xml:space="preserve"> společnosti Deloitte (Ambruz &amp; Dark Deloitte Legal, s.r.o.);</w:t>
      </w:r>
    </w:p>
    <w:p w:rsidR="00256BE3" w:rsidRPr="00482E5E" w:rsidRDefault="00256BE3" w:rsidP="00256BE3">
      <w:pPr>
        <w:numPr>
          <w:ilvl w:val="0"/>
          <w:numId w:val="7"/>
        </w:numPr>
        <w:rPr>
          <w:bCs/>
        </w:rPr>
      </w:pPr>
      <w:r w:rsidRPr="00482E5E">
        <w:rPr>
          <w:b/>
          <w:bCs/>
        </w:rPr>
        <w:t>Statistická data ze systému Monit7+</w:t>
      </w:r>
      <w:r w:rsidRPr="00747486">
        <w:rPr>
          <w:bCs/>
        </w:rPr>
        <w:t>;</w:t>
      </w:r>
    </w:p>
    <w:p w:rsidR="00256BE3" w:rsidRPr="00482E5E" w:rsidRDefault="00256BE3" w:rsidP="00256BE3">
      <w:pPr>
        <w:numPr>
          <w:ilvl w:val="0"/>
          <w:numId w:val="7"/>
        </w:numPr>
        <w:rPr>
          <w:bCs/>
        </w:rPr>
      </w:pPr>
      <w:r w:rsidRPr="00482E5E">
        <w:rPr>
          <w:b/>
          <w:bCs/>
        </w:rPr>
        <w:t>Statistická data zpracovávaná Českým statistickým úřadem</w:t>
      </w:r>
      <w:r>
        <w:rPr>
          <w:b/>
          <w:bCs/>
        </w:rPr>
        <w:t>, data poskytnutá ze strany MMR</w:t>
      </w:r>
      <w:r w:rsidRPr="00747486">
        <w:rPr>
          <w:bCs/>
        </w:rPr>
        <w:t>;</w:t>
      </w:r>
    </w:p>
    <w:p w:rsidR="00256BE3" w:rsidRPr="002B6432" w:rsidRDefault="00256BE3" w:rsidP="00256BE3">
      <w:pPr>
        <w:numPr>
          <w:ilvl w:val="0"/>
          <w:numId w:val="7"/>
        </w:numPr>
        <w:rPr>
          <w:bCs/>
        </w:rPr>
      </w:pPr>
      <w:r w:rsidRPr="00747486">
        <w:rPr>
          <w:b/>
          <w:bCs/>
        </w:rPr>
        <w:t xml:space="preserve">Seznam schválených </w:t>
      </w:r>
      <w:r>
        <w:rPr>
          <w:b/>
          <w:bCs/>
        </w:rPr>
        <w:t xml:space="preserve">a zamítnutých </w:t>
      </w:r>
      <w:r w:rsidRPr="00747486">
        <w:rPr>
          <w:b/>
          <w:bCs/>
        </w:rPr>
        <w:t xml:space="preserve">projektů </w:t>
      </w:r>
      <w:r>
        <w:rPr>
          <w:b/>
          <w:bCs/>
        </w:rPr>
        <w:t>IROP</w:t>
      </w:r>
      <w:r>
        <w:rPr>
          <w:bCs/>
        </w:rPr>
        <w:t xml:space="preserve"> </w:t>
      </w:r>
      <w:r w:rsidRPr="007B06F4">
        <w:rPr>
          <w:b/>
          <w:bCs/>
        </w:rPr>
        <w:t>za sledované oblasti podpory</w:t>
      </w:r>
      <w:r>
        <w:rPr>
          <w:bCs/>
        </w:rPr>
        <w:t>;</w:t>
      </w:r>
    </w:p>
    <w:p w:rsidR="00256BE3" w:rsidRDefault="00256BE3" w:rsidP="00256BE3">
      <w:pPr>
        <w:numPr>
          <w:ilvl w:val="0"/>
          <w:numId w:val="7"/>
        </w:numPr>
        <w:jc w:val="left"/>
        <w:rPr>
          <w:bCs/>
        </w:rPr>
      </w:pPr>
      <w:r w:rsidRPr="00747486">
        <w:rPr>
          <w:b/>
          <w:bCs/>
        </w:rPr>
        <w:t xml:space="preserve">Program Zelené úsporám a Nová zelená úsporám – </w:t>
      </w:r>
      <w:r>
        <w:rPr>
          <w:b/>
          <w:bCs/>
        </w:rPr>
        <w:t>z</w:t>
      </w:r>
      <w:r w:rsidRPr="00747486">
        <w:rPr>
          <w:b/>
          <w:bCs/>
        </w:rPr>
        <w:t>ákladní informace o čerpání</w:t>
      </w:r>
      <w:r>
        <w:rPr>
          <w:bCs/>
        </w:rPr>
        <w:t>;</w:t>
      </w:r>
    </w:p>
    <w:p w:rsidR="00256BE3" w:rsidRDefault="00256BE3" w:rsidP="00256BE3">
      <w:pPr>
        <w:numPr>
          <w:ilvl w:val="0"/>
          <w:numId w:val="7"/>
        </w:numPr>
        <w:jc w:val="left"/>
        <w:rPr>
          <w:bCs/>
        </w:rPr>
      </w:pPr>
      <w:r w:rsidRPr="00F042D5">
        <w:rPr>
          <w:b/>
          <w:bCs/>
        </w:rPr>
        <w:t xml:space="preserve">Směrnice Evropského parlamentu a rady </w:t>
      </w:r>
      <w:r>
        <w:rPr>
          <w:b/>
          <w:bCs/>
        </w:rPr>
        <w:t>2012/27/EU</w:t>
      </w:r>
      <w:r w:rsidRPr="00F042D5">
        <w:rPr>
          <w:b/>
          <w:bCs/>
        </w:rPr>
        <w:t xml:space="preserve"> o </w:t>
      </w:r>
      <w:r>
        <w:rPr>
          <w:b/>
          <w:bCs/>
        </w:rPr>
        <w:t>energetické účinnosti</w:t>
      </w:r>
      <w:r w:rsidRPr="00F042D5">
        <w:rPr>
          <w:bCs/>
        </w:rPr>
        <w:t>;</w:t>
      </w:r>
    </w:p>
    <w:p w:rsidR="00256BE3" w:rsidRPr="00747486" w:rsidRDefault="00256BE3" w:rsidP="00256BE3">
      <w:pPr>
        <w:numPr>
          <w:ilvl w:val="0"/>
          <w:numId w:val="7"/>
        </w:numPr>
        <w:jc w:val="left"/>
        <w:rPr>
          <w:bCs/>
        </w:rPr>
      </w:pPr>
      <w:r w:rsidRPr="00F042D5">
        <w:rPr>
          <w:b/>
          <w:bCs/>
        </w:rPr>
        <w:t xml:space="preserve">Strategie renovace budov podle článku 4 Směrnice o energetické účinnosti 2012/27/EU; </w:t>
      </w:r>
      <w:r>
        <w:rPr>
          <w:bCs/>
        </w:rPr>
        <w:t>Šance pro budovy, duben 2014;</w:t>
      </w:r>
    </w:p>
    <w:p w:rsidR="00256BE3" w:rsidRPr="00482E5E" w:rsidRDefault="00256BE3" w:rsidP="00256BE3">
      <w:pPr>
        <w:numPr>
          <w:ilvl w:val="0"/>
          <w:numId w:val="7"/>
        </w:numPr>
        <w:rPr>
          <w:b/>
          <w:bCs/>
        </w:rPr>
      </w:pPr>
      <w:r w:rsidRPr="00482E5E">
        <w:rPr>
          <w:b/>
          <w:bCs/>
        </w:rPr>
        <w:t xml:space="preserve">Národní akční plán energetické účinnosti ČR; </w:t>
      </w:r>
      <w:r w:rsidRPr="00482E5E">
        <w:rPr>
          <w:bCs/>
        </w:rPr>
        <w:t xml:space="preserve">Ministerstvo průmyslu a obchodu ČR, </w:t>
      </w:r>
      <w:r w:rsidRPr="00482E5E">
        <w:rPr>
          <w:bCs/>
        </w:rPr>
        <w:br/>
        <w:t>duben 2014;</w:t>
      </w:r>
    </w:p>
    <w:p w:rsidR="00256BE3" w:rsidRPr="003A17CF" w:rsidRDefault="00256BE3" w:rsidP="00256BE3">
      <w:pPr>
        <w:numPr>
          <w:ilvl w:val="0"/>
          <w:numId w:val="7"/>
        </w:numPr>
        <w:rPr>
          <w:b/>
          <w:bCs/>
        </w:rPr>
      </w:pPr>
      <w:r>
        <w:rPr>
          <w:b/>
          <w:bCs/>
        </w:rPr>
        <w:t>Čtvrtletní monitorovací zpráva o průběhu čerpání strukturálních fondů, fondu soudržnosti v programovém období 2007-2013</w:t>
      </w:r>
      <w:r>
        <w:rPr>
          <w:bCs/>
        </w:rPr>
        <w:t>, Ministerstvo pro místní rozvoj, říjen 2014;</w:t>
      </w:r>
    </w:p>
    <w:p w:rsidR="00256BE3" w:rsidRDefault="00256BE3" w:rsidP="00256BE3">
      <w:pPr>
        <w:numPr>
          <w:ilvl w:val="0"/>
          <w:numId w:val="7"/>
        </w:numPr>
        <w:rPr>
          <w:b/>
          <w:bCs/>
        </w:rPr>
      </w:pPr>
      <w:r>
        <w:rPr>
          <w:b/>
          <w:bCs/>
        </w:rPr>
        <w:t xml:space="preserve">Průzkum fondu budov a možností úspor energie; </w:t>
      </w:r>
      <w:r>
        <w:rPr>
          <w:bCs/>
        </w:rPr>
        <w:t>Šance pro budovy, prosinec 2013;</w:t>
      </w:r>
    </w:p>
    <w:p w:rsidR="00256BE3" w:rsidRPr="00195DF5" w:rsidRDefault="00256BE3" w:rsidP="00256BE3">
      <w:pPr>
        <w:numPr>
          <w:ilvl w:val="0"/>
          <w:numId w:val="7"/>
        </w:numPr>
        <w:rPr>
          <w:b/>
          <w:bCs/>
        </w:rPr>
      </w:pPr>
      <w:r w:rsidRPr="00D537CF">
        <w:rPr>
          <w:b/>
        </w:rPr>
        <w:t>Housing investments supported by the European Regional Development Fund 2007-2013</w:t>
      </w:r>
      <w:r>
        <w:rPr>
          <w:b/>
        </w:rPr>
        <w:t xml:space="preserve">, </w:t>
      </w:r>
      <w:r w:rsidRPr="00D537CF">
        <w:t>European Commission, Directorate-General for Regional and Urban Policy</w:t>
      </w:r>
      <w:r>
        <w:t>, září 2013;</w:t>
      </w:r>
    </w:p>
    <w:p w:rsidR="00195DF5" w:rsidRPr="00195DF5" w:rsidRDefault="00195DF5" w:rsidP="00195DF5">
      <w:pPr>
        <w:numPr>
          <w:ilvl w:val="0"/>
          <w:numId w:val="7"/>
        </w:numPr>
        <w:rPr>
          <w:b/>
          <w:bCs/>
        </w:rPr>
      </w:pPr>
      <w:r w:rsidRPr="00195DF5">
        <w:rPr>
          <w:b/>
          <w:bCs/>
        </w:rPr>
        <w:t>Financing energy efficiency in buildings: an international review of best practice and innovation</w:t>
      </w:r>
      <w:r>
        <w:rPr>
          <w:bCs/>
        </w:rPr>
        <w:t xml:space="preserve">, </w:t>
      </w:r>
      <w:r w:rsidRPr="00195DF5">
        <w:rPr>
          <w:bCs/>
        </w:rPr>
        <w:t>Association for the Conservation of Energy | Report to World Energy Council</w:t>
      </w:r>
      <w:r>
        <w:rPr>
          <w:bCs/>
        </w:rPr>
        <w:t>, říjen 2013;</w:t>
      </w:r>
    </w:p>
    <w:p w:rsidR="00195DF5" w:rsidRPr="00195DF5" w:rsidRDefault="00195DF5" w:rsidP="00195DF5">
      <w:pPr>
        <w:numPr>
          <w:ilvl w:val="0"/>
          <w:numId w:val="7"/>
        </w:numPr>
        <w:rPr>
          <w:b/>
          <w:bCs/>
        </w:rPr>
      </w:pPr>
      <w:r w:rsidRPr="00195DF5">
        <w:rPr>
          <w:b/>
          <w:bCs/>
        </w:rPr>
        <w:t>Mobilising investment in energy efficiency - Economic instruments for low</w:t>
      </w:r>
      <w:r w:rsidRPr="00195DF5">
        <w:rPr>
          <w:rFonts w:ascii="Cambria Math" w:hAnsi="Cambria Math" w:cs="Cambria Math"/>
          <w:b/>
          <w:bCs/>
        </w:rPr>
        <w:t>‐</w:t>
      </w:r>
      <w:r w:rsidRPr="00195DF5">
        <w:rPr>
          <w:b/>
          <w:bCs/>
        </w:rPr>
        <w:t>energy buildings</w:t>
      </w:r>
      <w:r>
        <w:rPr>
          <w:bCs/>
        </w:rPr>
        <w:t xml:space="preserve">, </w:t>
      </w:r>
      <w:r w:rsidRPr="00195DF5">
        <w:rPr>
          <w:bCs/>
        </w:rPr>
        <w:t>OECD/IEA, 2012</w:t>
      </w:r>
      <w:r>
        <w:rPr>
          <w:bCs/>
        </w:rPr>
        <w:t>;</w:t>
      </w:r>
    </w:p>
    <w:p w:rsidR="00256BE3" w:rsidRPr="00785EBF" w:rsidRDefault="00256BE3" w:rsidP="00256BE3">
      <w:pPr>
        <w:numPr>
          <w:ilvl w:val="0"/>
          <w:numId w:val="7"/>
        </w:numPr>
        <w:rPr>
          <w:b/>
          <w:bCs/>
        </w:rPr>
      </w:pPr>
      <w:r w:rsidRPr="00744849">
        <w:rPr>
          <w:b/>
          <w:bCs/>
        </w:rPr>
        <w:t>Studie o dopadech zateplování budov na spotřebu uhlí a zemního plynu v České republice</w:t>
      </w:r>
      <w:r>
        <w:rPr>
          <w:b/>
          <w:bCs/>
        </w:rPr>
        <w:t xml:space="preserve">, </w:t>
      </w:r>
      <w:r w:rsidRPr="00785EBF">
        <w:rPr>
          <w:bCs/>
        </w:rPr>
        <w:t>Hnutí duha, listopad 2011;</w:t>
      </w:r>
    </w:p>
    <w:p w:rsidR="00BB65ED" w:rsidRDefault="00BB65ED" w:rsidP="00256BE3">
      <w:pPr>
        <w:numPr>
          <w:ilvl w:val="0"/>
          <w:numId w:val="7"/>
        </w:numPr>
        <w:rPr>
          <w:b/>
          <w:bCs/>
        </w:rPr>
      </w:pPr>
      <w:r>
        <w:rPr>
          <w:b/>
          <w:bCs/>
        </w:rPr>
        <w:t>Závěrečná zpráva evaluace realizace finančního nástroje JESSICA s ohledem na využitelnost pro programové období 2014 – 2020</w:t>
      </w:r>
      <w:r>
        <w:rPr>
          <w:bCs/>
        </w:rPr>
        <w:t>; řídící orgán IROP, říjen 2014;</w:t>
      </w:r>
    </w:p>
    <w:p w:rsidR="00256BE3" w:rsidRPr="005262D7" w:rsidRDefault="00256BE3" w:rsidP="00256BE3">
      <w:pPr>
        <w:numPr>
          <w:ilvl w:val="0"/>
          <w:numId w:val="7"/>
        </w:numPr>
        <w:rPr>
          <w:b/>
          <w:bCs/>
        </w:rPr>
      </w:pPr>
      <w:r w:rsidRPr="005262D7">
        <w:rPr>
          <w:b/>
          <w:bCs/>
        </w:rPr>
        <w:t>Dopady zvýšení energetické účinnosti na českou</w:t>
      </w:r>
      <w:r>
        <w:rPr>
          <w:b/>
          <w:bCs/>
        </w:rPr>
        <w:t xml:space="preserve"> </w:t>
      </w:r>
      <w:r w:rsidRPr="005262D7">
        <w:rPr>
          <w:b/>
          <w:bCs/>
        </w:rPr>
        <w:t>ekonomiku</w:t>
      </w:r>
      <w:r>
        <w:rPr>
          <w:b/>
          <w:bCs/>
        </w:rPr>
        <w:t xml:space="preserve">; </w:t>
      </w:r>
      <w:r w:rsidRPr="00785EBF">
        <w:rPr>
          <w:bCs/>
        </w:rPr>
        <w:t>úřad vlády ČR, listopad 2014;</w:t>
      </w:r>
    </w:p>
    <w:p w:rsidR="00256BE3" w:rsidRPr="00B42329" w:rsidRDefault="00256BE3" w:rsidP="00256BE3">
      <w:pPr>
        <w:numPr>
          <w:ilvl w:val="0"/>
          <w:numId w:val="7"/>
        </w:numPr>
        <w:rPr>
          <w:b/>
          <w:bCs/>
        </w:rPr>
      </w:pPr>
      <w:r w:rsidRPr="00747486">
        <w:rPr>
          <w:b/>
        </w:rPr>
        <w:t xml:space="preserve">Programový dokument </w:t>
      </w:r>
      <w:r>
        <w:rPr>
          <w:b/>
        </w:rPr>
        <w:t>IROP</w:t>
      </w:r>
      <w:r w:rsidRPr="00747486">
        <w:rPr>
          <w:b/>
        </w:rPr>
        <w:t xml:space="preserve"> 2014-2020,</w:t>
      </w:r>
      <w:r>
        <w:rPr>
          <w:b/>
        </w:rPr>
        <w:t xml:space="preserve"> </w:t>
      </w:r>
      <w:r w:rsidRPr="00747486">
        <w:rPr>
          <w:b/>
        </w:rPr>
        <w:t>verze</w:t>
      </w:r>
      <w:r>
        <w:rPr>
          <w:b/>
        </w:rPr>
        <w:t xml:space="preserve"> k 15.12.2014</w:t>
      </w:r>
      <w:r w:rsidRPr="00747486">
        <w:rPr>
          <w:b/>
        </w:rPr>
        <w:t>;</w:t>
      </w:r>
    </w:p>
    <w:p w:rsidR="00B42329" w:rsidRPr="00784EF8" w:rsidRDefault="00B42329" w:rsidP="00256BE3">
      <w:pPr>
        <w:numPr>
          <w:ilvl w:val="0"/>
          <w:numId w:val="7"/>
        </w:numPr>
        <w:rPr>
          <w:b/>
          <w:bCs/>
        </w:rPr>
      </w:pPr>
      <w:r>
        <w:rPr>
          <w:b/>
        </w:rPr>
        <w:t>Dotazníkové šetření Deloitte, březen 2015;</w:t>
      </w:r>
    </w:p>
    <w:p w:rsidR="0020591F" w:rsidRPr="00784EF8" w:rsidRDefault="00256BE3" w:rsidP="00256BE3">
      <w:pPr>
        <w:numPr>
          <w:ilvl w:val="0"/>
          <w:numId w:val="7"/>
        </w:numPr>
        <w:rPr>
          <w:b/>
          <w:bCs/>
        </w:rPr>
      </w:pPr>
      <w:r>
        <w:rPr>
          <w:b/>
          <w:bCs/>
        </w:rPr>
        <w:t>Výroční zpráva Zelená úsporám za rok 2013.</w:t>
      </w:r>
    </w:p>
    <w:p w:rsidR="00DF217B" w:rsidRDefault="00DF217B" w:rsidP="00DF217B">
      <w:pPr>
        <w:pStyle w:val="Zkladntext"/>
        <w:tabs>
          <w:tab w:val="left" w:pos="567"/>
        </w:tabs>
        <w:spacing w:before="12" w:line="247" w:lineRule="auto"/>
        <w:ind w:left="0" w:right="121"/>
        <w:jc w:val="both"/>
        <w:rPr>
          <w:rFonts w:asciiTheme="majorHAnsi" w:hAnsiTheme="majorHAnsi" w:cstheme="majorHAnsi"/>
          <w:spacing w:val="-2"/>
          <w:lang w:val="cs-CZ"/>
        </w:rPr>
      </w:pPr>
    </w:p>
    <w:p w:rsidR="00DF217B" w:rsidRDefault="00DF217B" w:rsidP="00DF217B">
      <w:pPr>
        <w:pStyle w:val="Nadpis1"/>
        <w:numPr>
          <w:ilvl w:val="0"/>
          <w:numId w:val="0"/>
        </w:numPr>
      </w:pPr>
      <w:bookmarkStart w:id="164" w:name="_Toc397701302"/>
      <w:bookmarkStart w:id="165" w:name="_Toc401150119"/>
      <w:bookmarkStart w:id="166" w:name="_Toc418767179"/>
      <w:r>
        <w:t>Seznam tabulek a obrázků</w:t>
      </w:r>
      <w:bookmarkEnd w:id="164"/>
      <w:bookmarkEnd w:id="165"/>
      <w:bookmarkEnd w:id="166"/>
    </w:p>
    <w:p w:rsidR="00DF217B" w:rsidRDefault="00DF217B" w:rsidP="00DF217B">
      <w:pPr>
        <w:pStyle w:val="Nadpis2"/>
        <w:numPr>
          <w:ilvl w:val="0"/>
          <w:numId w:val="0"/>
        </w:numPr>
      </w:pPr>
      <w:bookmarkStart w:id="167" w:name="_Toc397701303"/>
      <w:bookmarkStart w:id="168" w:name="_Toc401150120"/>
      <w:bookmarkStart w:id="169" w:name="_Toc418767180"/>
      <w:r>
        <w:t>Seznam tabulek</w:t>
      </w:r>
      <w:bookmarkEnd w:id="167"/>
      <w:bookmarkEnd w:id="168"/>
      <w:bookmarkEnd w:id="169"/>
    </w:p>
    <w:p w:rsidR="00537614" w:rsidRDefault="00DF217B">
      <w:pPr>
        <w:pStyle w:val="Seznamobrzk"/>
        <w:tabs>
          <w:tab w:val="right" w:leader="dot" w:pos="9060"/>
        </w:tabs>
        <w:rPr>
          <w:rFonts w:asciiTheme="minorHAnsi" w:eastAsiaTheme="minorEastAsia" w:hAnsiTheme="minorHAnsi" w:cstheme="minorBidi"/>
          <w:noProof/>
          <w:sz w:val="22"/>
          <w:szCs w:val="22"/>
          <w:lang w:eastAsia="cs-CZ"/>
        </w:rPr>
      </w:pPr>
      <w:r>
        <w:fldChar w:fldCharType="begin"/>
      </w:r>
      <w:r>
        <w:instrText xml:space="preserve"> TOC \h \z \c "Tabulka" </w:instrText>
      </w:r>
      <w:r>
        <w:fldChar w:fldCharType="separate"/>
      </w:r>
      <w:hyperlink w:anchor="_Toc417655499" w:history="1">
        <w:r w:rsidR="00537614" w:rsidRPr="00053A7A">
          <w:rPr>
            <w:rStyle w:val="Hypertextovodkaz"/>
            <w:noProof/>
          </w:rPr>
          <w:t>Tabulka 1: Definice pojmů</w:t>
        </w:r>
        <w:r w:rsidR="00537614">
          <w:rPr>
            <w:noProof/>
            <w:webHidden/>
          </w:rPr>
          <w:tab/>
        </w:r>
        <w:r w:rsidR="00537614">
          <w:rPr>
            <w:noProof/>
            <w:webHidden/>
          </w:rPr>
          <w:fldChar w:fldCharType="begin"/>
        </w:r>
        <w:r w:rsidR="00537614">
          <w:rPr>
            <w:noProof/>
            <w:webHidden/>
          </w:rPr>
          <w:instrText xml:space="preserve"> PAGEREF _Toc417655499 \h </w:instrText>
        </w:r>
        <w:r w:rsidR="00537614">
          <w:rPr>
            <w:noProof/>
            <w:webHidden/>
          </w:rPr>
        </w:r>
        <w:r w:rsidR="00537614">
          <w:rPr>
            <w:noProof/>
            <w:webHidden/>
          </w:rPr>
          <w:fldChar w:fldCharType="separate"/>
        </w:r>
        <w:r w:rsidR="00537614">
          <w:rPr>
            <w:noProof/>
            <w:webHidden/>
          </w:rPr>
          <w:t>5</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00" w:history="1">
        <w:r w:rsidR="00537614" w:rsidRPr="00053A7A">
          <w:rPr>
            <w:rStyle w:val="Hypertextovodkaz"/>
            <w:noProof/>
          </w:rPr>
          <w:t>Tabulka 2: Definice atributů pro provedení pre-screeningového hodnocení</w:t>
        </w:r>
        <w:r w:rsidR="00537614">
          <w:rPr>
            <w:noProof/>
            <w:webHidden/>
          </w:rPr>
          <w:tab/>
        </w:r>
        <w:r w:rsidR="00537614">
          <w:rPr>
            <w:noProof/>
            <w:webHidden/>
          </w:rPr>
          <w:fldChar w:fldCharType="begin"/>
        </w:r>
        <w:r w:rsidR="00537614">
          <w:rPr>
            <w:noProof/>
            <w:webHidden/>
          </w:rPr>
          <w:instrText xml:space="preserve"> PAGEREF _Toc417655500 \h </w:instrText>
        </w:r>
        <w:r w:rsidR="00537614">
          <w:rPr>
            <w:noProof/>
            <w:webHidden/>
          </w:rPr>
        </w:r>
        <w:r w:rsidR="00537614">
          <w:rPr>
            <w:noProof/>
            <w:webHidden/>
          </w:rPr>
          <w:fldChar w:fldCharType="separate"/>
        </w:r>
        <w:r w:rsidR="00537614">
          <w:rPr>
            <w:noProof/>
            <w:webHidden/>
          </w:rPr>
          <w:t>17</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01" w:history="1">
        <w:r w:rsidR="00537614" w:rsidRPr="00053A7A">
          <w:rPr>
            <w:rStyle w:val="Hypertextovodkaz"/>
            <w:noProof/>
          </w:rPr>
          <w:t>Tabulka 3: Hodnocení potenciálu využití IFN v IROP 2014 – 2020 dle jednotlivých podporovaných aktivit</w:t>
        </w:r>
        <w:r w:rsidR="00537614">
          <w:rPr>
            <w:noProof/>
            <w:webHidden/>
          </w:rPr>
          <w:tab/>
        </w:r>
        <w:r w:rsidR="00537614">
          <w:rPr>
            <w:noProof/>
            <w:webHidden/>
          </w:rPr>
          <w:fldChar w:fldCharType="begin"/>
        </w:r>
        <w:r w:rsidR="00537614">
          <w:rPr>
            <w:noProof/>
            <w:webHidden/>
          </w:rPr>
          <w:instrText xml:space="preserve"> PAGEREF _Toc417655501 \h </w:instrText>
        </w:r>
        <w:r w:rsidR="00537614">
          <w:rPr>
            <w:noProof/>
            <w:webHidden/>
          </w:rPr>
        </w:r>
        <w:r w:rsidR="00537614">
          <w:rPr>
            <w:noProof/>
            <w:webHidden/>
          </w:rPr>
          <w:fldChar w:fldCharType="separate"/>
        </w:r>
        <w:r w:rsidR="00537614">
          <w:rPr>
            <w:noProof/>
            <w:webHidden/>
          </w:rPr>
          <w:t>20</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02" w:history="1">
        <w:r w:rsidR="00537614" w:rsidRPr="00053A7A">
          <w:rPr>
            <w:rStyle w:val="Hypertextovodkaz"/>
            <w:noProof/>
          </w:rPr>
          <w:t>Tabulka 4: Přehled potenciálu dotace a úvěrového nástroje napravit identifikovaná tržní selhání</w:t>
        </w:r>
        <w:r w:rsidR="00537614">
          <w:rPr>
            <w:noProof/>
            <w:webHidden/>
          </w:rPr>
          <w:tab/>
        </w:r>
        <w:r w:rsidR="00537614">
          <w:rPr>
            <w:noProof/>
            <w:webHidden/>
          </w:rPr>
          <w:fldChar w:fldCharType="begin"/>
        </w:r>
        <w:r w:rsidR="00537614">
          <w:rPr>
            <w:noProof/>
            <w:webHidden/>
          </w:rPr>
          <w:instrText xml:space="preserve"> PAGEREF _Toc417655502 \h </w:instrText>
        </w:r>
        <w:r w:rsidR="00537614">
          <w:rPr>
            <w:noProof/>
            <w:webHidden/>
          </w:rPr>
        </w:r>
        <w:r w:rsidR="00537614">
          <w:rPr>
            <w:noProof/>
            <w:webHidden/>
          </w:rPr>
          <w:fldChar w:fldCharType="separate"/>
        </w:r>
        <w:r w:rsidR="00537614">
          <w:rPr>
            <w:noProof/>
            <w:webHidden/>
          </w:rPr>
          <w:t>24</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03" w:history="1">
        <w:r w:rsidR="00537614" w:rsidRPr="00053A7A">
          <w:rPr>
            <w:rStyle w:val="Hypertextovodkaz"/>
            <w:noProof/>
          </w:rPr>
          <w:t>Tabulka 5: Stav čerpání programu JESSICA</w:t>
        </w:r>
        <w:r w:rsidR="00537614">
          <w:rPr>
            <w:noProof/>
            <w:webHidden/>
          </w:rPr>
          <w:tab/>
        </w:r>
        <w:r w:rsidR="00537614">
          <w:rPr>
            <w:noProof/>
            <w:webHidden/>
          </w:rPr>
          <w:fldChar w:fldCharType="begin"/>
        </w:r>
        <w:r w:rsidR="00537614">
          <w:rPr>
            <w:noProof/>
            <w:webHidden/>
          </w:rPr>
          <w:instrText xml:space="preserve"> PAGEREF _Toc417655503 \h </w:instrText>
        </w:r>
        <w:r w:rsidR="00537614">
          <w:rPr>
            <w:noProof/>
            <w:webHidden/>
          </w:rPr>
        </w:r>
        <w:r w:rsidR="00537614">
          <w:rPr>
            <w:noProof/>
            <w:webHidden/>
          </w:rPr>
          <w:fldChar w:fldCharType="separate"/>
        </w:r>
        <w:r w:rsidR="00537614">
          <w:rPr>
            <w:noProof/>
            <w:webHidden/>
          </w:rPr>
          <w:t>29</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04" w:history="1">
        <w:r w:rsidR="00537614" w:rsidRPr="00053A7A">
          <w:rPr>
            <w:rStyle w:val="Hypertextovodkaz"/>
            <w:noProof/>
          </w:rPr>
          <w:t>Tabulka 6: Odhadovaná investiční potřeba residenčního sektoru a odpovídající úspora energie</w:t>
        </w:r>
        <w:r w:rsidR="00537614">
          <w:rPr>
            <w:noProof/>
            <w:webHidden/>
          </w:rPr>
          <w:tab/>
        </w:r>
        <w:r w:rsidR="00537614">
          <w:rPr>
            <w:noProof/>
            <w:webHidden/>
          </w:rPr>
          <w:fldChar w:fldCharType="begin"/>
        </w:r>
        <w:r w:rsidR="00537614">
          <w:rPr>
            <w:noProof/>
            <w:webHidden/>
          </w:rPr>
          <w:instrText xml:space="preserve"> PAGEREF _Toc417655504 \h </w:instrText>
        </w:r>
        <w:r w:rsidR="00537614">
          <w:rPr>
            <w:noProof/>
            <w:webHidden/>
          </w:rPr>
        </w:r>
        <w:r w:rsidR="00537614">
          <w:rPr>
            <w:noProof/>
            <w:webHidden/>
          </w:rPr>
          <w:fldChar w:fldCharType="separate"/>
        </w:r>
        <w:r w:rsidR="00537614">
          <w:rPr>
            <w:noProof/>
            <w:webHidden/>
          </w:rPr>
          <w:t>31</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05" w:history="1">
        <w:r w:rsidR="00537614" w:rsidRPr="00053A7A">
          <w:rPr>
            <w:rStyle w:val="Hypertextovodkaz"/>
            <w:noProof/>
          </w:rPr>
          <w:t xml:space="preserve">Tabulka 7: </w:t>
        </w:r>
        <w:r w:rsidR="00537614" w:rsidRPr="00053A7A">
          <w:rPr>
            <w:rStyle w:val="Hypertextovodkaz"/>
            <w:rFonts w:cs="Arial"/>
            <w:noProof/>
          </w:rPr>
          <w:t>Porovnání základních atributů vybraných IFN v zahraničí</w:t>
        </w:r>
        <w:r w:rsidR="00537614">
          <w:rPr>
            <w:noProof/>
            <w:webHidden/>
          </w:rPr>
          <w:tab/>
        </w:r>
        <w:r w:rsidR="00537614">
          <w:rPr>
            <w:noProof/>
            <w:webHidden/>
          </w:rPr>
          <w:fldChar w:fldCharType="begin"/>
        </w:r>
        <w:r w:rsidR="00537614">
          <w:rPr>
            <w:noProof/>
            <w:webHidden/>
          </w:rPr>
          <w:instrText xml:space="preserve"> PAGEREF _Toc417655505 \h </w:instrText>
        </w:r>
        <w:r w:rsidR="00537614">
          <w:rPr>
            <w:noProof/>
            <w:webHidden/>
          </w:rPr>
        </w:r>
        <w:r w:rsidR="00537614">
          <w:rPr>
            <w:noProof/>
            <w:webHidden/>
          </w:rPr>
          <w:fldChar w:fldCharType="separate"/>
        </w:r>
        <w:r w:rsidR="00537614">
          <w:rPr>
            <w:noProof/>
            <w:webHidden/>
          </w:rPr>
          <w:t>43</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06" w:history="1">
        <w:r w:rsidR="00537614" w:rsidRPr="00053A7A">
          <w:rPr>
            <w:rStyle w:val="Hypertextovodkaz"/>
            <w:noProof/>
          </w:rPr>
          <w:t>Tabulka 8: Maximální výše grantu na bytovou jednotku poskytnutou KfW</w:t>
        </w:r>
        <w:r w:rsidR="00537614">
          <w:rPr>
            <w:noProof/>
            <w:webHidden/>
          </w:rPr>
          <w:tab/>
        </w:r>
        <w:r w:rsidR="00537614">
          <w:rPr>
            <w:noProof/>
            <w:webHidden/>
          </w:rPr>
          <w:fldChar w:fldCharType="begin"/>
        </w:r>
        <w:r w:rsidR="00537614">
          <w:rPr>
            <w:noProof/>
            <w:webHidden/>
          </w:rPr>
          <w:instrText xml:space="preserve"> PAGEREF _Toc417655506 \h </w:instrText>
        </w:r>
        <w:r w:rsidR="00537614">
          <w:rPr>
            <w:noProof/>
            <w:webHidden/>
          </w:rPr>
        </w:r>
        <w:r w:rsidR="00537614">
          <w:rPr>
            <w:noProof/>
            <w:webHidden/>
          </w:rPr>
          <w:fldChar w:fldCharType="separate"/>
        </w:r>
        <w:r w:rsidR="00537614">
          <w:rPr>
            <w:noProof/>
            <w:webHidden/>
          </w:rPr>
          <w:t>46</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07" w:history="1">
        <w:r w:rsidR="00537614" w:rsidRPr="00053A7A">
          <w:rPr>
            <w:rStyle w:val="Hypertextovodkaz"/>
            <w:noProof/>
          </w:rPr>
          <w:t>Tabulka 9: Bonus za splácení půjčky poskytnutá KfW</w:t>
        </w:r>
        <w:r w:rsidR="00537614">
          <w:rPr>
            <w:noProof/>
            <w:webHidden/>
          </w:rPr>
          <w:tab/>
        </w:r>
        <w:r w:rsidR="00537614">
          <w:rPr>
            <w:noProof/>
            <w:webHidden/>
          </w:rPr>
          <w:fldChar w:fldCharType="begin"/>
        </w:r>
        <w:r w:rsidR="00537614">
          <w:rPr>
            <w:noProof/>
            <w:webHidden/>
          </w:rPr>
          <w:instrText xml:space="preserve"> PAGEREF _Toc417655507 \h </w:instrText>
        </w:r>
        <w:r w:rsidR="00537614">
          <w:rPr>
            <w:noProof/>
            <w:webHidden/>
          </w:rPr>
        </w:r>
        <w:r w:rsidR="00537614">
          <w:rPr>
            <w:noProof/>
            <w:webHidden/>
          </w:rPr>
          <w:fldChar w:fldCharType="separate"/>
        </w:r>
        <w:r w:rsidR="00537614">
          <w:rPr>
            <w:noProof/>
            <w:webHidden/>
          </w:rPr>
          <w:t>47</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08" w:history="1">
        <w:r w:rsidR="00537614" w:rsidRPr="00053A7A">
          <w:rPr>
            <w:rStyle w:val="Hypertextovodkaz"/>
            <w:noProof/>
          </w:rPr>
          <w:t>Tabulka 10: Shrnutí výhod a nevýhod jednotlivých variant implementačního uspořádání</w:t>
        </w:r>
        <w:r w:rsidR="00537614">
          <w:rPr>
            <w:noProof/>
            <w:webHidden/>
          </w:rPr>
          <w:tab/>
        </w:r>
        <w:r w:rsidR="00537614">
          <w:rPr>
            <w:noProof/>
            <w:webHidden/>
          </w:rPr>
          <w:fldChar w:fldCharType="begin"/>
        </w:r>
        <w:r w:rsidR="00537614">
          <w:rPr>
            <w:noProof/>
            <w:webHidden/>
          </w:rPr>
          <w:instrText xml:space="preserve"> PAGEREF _Toc417655508 \h </w:instrText>
        </w:r>
        <w:r w:rsidR="00537614">
          <w:rPr>
            <w:noProof/>
            <w:webHidden/>
          </w:rPr>
        </w:r>
        <w:r w:rsidR="00537614">
          <w:rPr>
            <w:noProof/>
            <w:webHidden/>
          </w:rPr>
          <w:fldChar w:fldCharType="separate"/>
        </w:r>
        <w:r w:rsidR="00537614">
          <w:rPr>
            <w:noProof/>
            <w:webHidden/>
          </w:rPr>
          <w:t>53</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09" w:history="1">
        <w:r w:rsidR="00537614" w:rsidRPr="00053A7A">
          <w:rPr>
            <w:rStyle w:val="Hypertextovodkaz"/>
            <w:noProof/>
          </w:rPr>
          <w:t>Tabulka 11: Přehled omezení a otevřených otázek svazující detailnost ex-ante analýzy</w:t>
        </w:r>
        <w:r w:rsidR="00537614">
          <w:rPr>
            <w:noProof/>
            <w:webHidden/>
          </w:rPr>
          <w:tab/>
        </w:r>
        <w:r w:rsidR="00537614">
          <w:rPr>
            <w:noProof/>
            <w:webHidden/>
          </w:rPr>
          <w:fldChar w:fldCharType="begin"/>
        </w:r>
        <w:r w:rsidR="00537614">
          <w:rPr>
            <w:noProof/>
            <w:webHidden/>
          </w:rPr>
          <w:instrText xml:space="preserve"> PAGEREF _Toc417655509 \h </w:instrText>
        </w:r>
        <w:r w:rsidR="00537614">
          <w:rPr>
            <w:noProof/>
            <w:webHidden/>
          </w:rPr>
        </w:r>
        <w:r w:rsidR="00537614">
          <w:rPr>
            <w:noProof/>
            <w:webHidden/>
          </w:rPr>
          <w:fldChar w:fldCharType="separate"/>
        </w:r>
        <w:r w:rsidR="00537614">
          <w:rPr>
            <w:noProof/>
            <w:webHidden/>
          </w:rPr>
          <w:t>70</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10" w:history="1">
        <w:r w:rsidR="00537614" w:rsidRPr="00053A7A">
          <w:rPr>
            <w:rStyle w:val="Hypertextovodkaz"/>
            <w:noProof/>
          </w:rPr>
          <w:t>Tabulka 12: Shrnutí výhod a nevýhod jednotlivých variant nastavení úvěrového finančního nástroje</w:t>
        </w:r>
        <w:r w:rsidR="00537614">
          <w:rPr>
            <w:noProof/>
            <w:webHidden/>
          </w:rPr>
          <w:tab/>
        </w:r>
        <w:r w:rsidR="00537614">
          <w:rPr>
            <w:noProof/>
            <w:webHidden/>
          </w:rPr>
          <w:fldChar w:fldCharType="begin"/>
        </w:r>
        <w:r w:rsidR="00537614">
          <w:rPr>
            <w:noProof/>
            <w:webHidden/>
          </w:rPr>
          <w:instrText xml:space="preserve"> PAGEREF _Toc417655510 \h </w:instrText>
        </w:r>
        <w:r w:rsidR="00537614">
          <w:rPr>
            <w:noProof/>
            <w:webHidden/>
          </w:rPr>
        </w:r>
        <w:r w:rsidR="00537614">
          <w:rPr>
            <w:noProof/>
            <w:webHidden/>
          </w:rPr>
          <w:fldChar w:fldCharType="separate"/>
        </w:r>
        <w:r w:rsidR="00537614">
          <w:rPr>
            <w:noProof/>
            <w:webHidden/>
          </w:rPr>
          <w:t>86</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11" w:history="1">
        <w:r w:rsidR="00537614" w:rsidRPr="00053A7A">
          <w:rPr>
            <w:rStyle w:val="Hypertextovodkaz"/>
            <w:noProof/>
          </w:rPr>
          <w:t>Tabulka 13: Rozbor ekonomických dopadů na příjemce podpory typického projektu</w:t>
        </w:r>
        <w:r w:rsidR="00537614">
          <w:rPr>
            <w:noProof/>
            <w:webHidden/>
          </w:rPr>
          <w:tab/>
        </w:r>
        <w:r w:rsidR="00537614">
          <w:rPr>
            <w:noProof/>
            <w:webHidden/>
          </w:rPr>
          <w:fldChar w:fldCharType="begin"/>
        </w:r>
        <w:r w:rsidR="00537614">
          <w:rPr>
            <w:noProof/>
            <w:webHidden/>
          </w:rPr>
          <w:instrText xml:space="preserve"> PAGEREF _Toc417655511 \h </w:instrText>
        </w:r>
        <w:r w:rsidR="00537614">
          <w:rPr>
            <w:noProof/>
            <w:webHidden/>
          </w:rPr>
        </w:r>
        <w:r w:rsidR="00537614">
          <w:rPr>
            <w:noProof/>
            <w:webHidden/>
          </w:rPr>
          <w:fldChar w:fldCharType="separate"/>
        </w:r>
        <w:r w:rsidR="00537614">
          <w:rPr>
            <w:noProof/>
            <w:webHidden/>
          </w:rPr>
          <w:t>87</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12" w:history="1">
        <w:r w:rsidR="00537614" w:rsidRPr="00053A7A">
          <w:rPr>
            <w:rStyle w:val="Hypertextovodkaz"/>
            <w:noProof/>
          </w:rPr>
          <w:t>Tabulka 14: Podkladová matice pro přepočet rizikové přirážky dle Sdělení komise 2008/C 14/02</w:t>
        </w:r>
        <w:r w:rsidR="00537614">
          <w:rPr>
            <w:noProof/>
            <w:webHidden/>
          </w:rPr>
          <w:tab/>
        </w:r>
        <w:r w:rsidR="00537614">
          <w:rPr>
            <w:noProof/>
            <w:webHidden/>
          </w:rPr>
          <w:fldChar w:fldCharType="begin"/>
        </w:r>
        <w:r w:rsidR="00537614">
          <w:rPr>
            <w:noProof/>
            <w:webHidden/>
          </w:rPr>
          <w:instrText xml:space="preserve"> PAGEREF _Toc417655512 \h </w:instrText>
        </w:r>
        <w:r w:rsidR="00537614">
          <w:rPr>
            <w:noProof/>
            <w:webHidden/>
          </w:rPr>
        </w:r>
        <w:r w:rsidR="00537614">
          <w:rPr>
            <w:noProof/>
            <w:webHidden/>
          </w:rPr>
          <w:fldChar w:fldCharType="separate"/>
        </w:r>
        <w:r w:rsidR="00537614">
          <w:rPr>
            <w:noProof/>
            <w:webHidden/>
          </w:rPr>
          <w:t>95</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13" w:history="1">
        <w:r w:rsidR="00537614" w:rsidRPr="00053A7A">
          <w:rPr>
            <w:rStyle w:val="Hypertextovodkaz"/>
            <w:noProof/>
          </w:rPr>
          <w:t>Tabulka 15: Výpočet hrubého grantového ekvivalentu u modelových projektů</w:t>
        </w:r>
        <w:r w:rsidR="00537614">
          <w:rPr>
            <w:noProof/>
            <w:webHidden/>
          </w:rPr>
          <w:tab/>
        </w:r>
        <w:r w:rsidR="00537614">
          <w:rPr>
            <w:noProof/>
            <w:webHidden/>
          </w:rPr>
          <w:fldChar w:fldCharType="begin"/>
        </w:r>
        <w:r w:rsidR="00537614">
          <w:rPr>
            <w:noProof/>
            <w:webHidden/>
          </w:rPr>
          <w:instrText xml:space="preserve"> PAGEREF _Toc417655513 \h </w:instrText>
        </w:r>
        <w:r w:rsidR="00537614">
          <w:rPr>
            <w:noProof/>
            <w:webHidden/>
          </w:rPr>
        </w:r>
        <w:r w:rsidR="00537614">
          <w:rPr>
            <w:noProof/>
            <w:webHidden/>
          </w:rPr>
          <w:fldChar w:fldCharType="separate"/>
        </w:r>
        <w:r w:rsidR="00537614">
          <w:rPr>
            <w:noProof/>
            <w:webHidden/>
          </w:rPr>
          <w:t>96</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14" w:history="1">
        <w:r w:rsidR="00537614" w:rsidRPr="00053A7A">
          <w:rPr>
            <w:rStyle w:val="Hypertextovodkaz"/>
            <w:noProof/>
          </w:rPr>
          <w:t>Tabulka 16: Zhodnocení efektu multiplikace ve vazbě na navržené hodnoty indikátorů</w:t>
        </w:r>
        <w:r w:rsidR="00537614">
          <w:rPr>
            <w:noProof/>
            <w:webHidden/>
          </w:rPr>
          <w:tab/>
        </w:r>
        <w:r w:rsidR="00537614">
          <w:rPr>
            <w:noProof/>
            <w:webHidden/>
          </w:rPr>
          <w:fldChar w:fldCharType="begin"/>
        </w:r>
        <w:r w:rsidR="00537614">
          <w:rPr>
            <w:noProof/>
            <w:webHidden/>
          </w:rPr>
          <w:instrText xml:space="preserve"> PAGEREF _Toc417655514 \h </w:instrText>
        </w:r>
        <w:r w:rsidR="00537614">
          <w:rPr>
            <w:noProof/>
            <w:webHidden/>
          </w:rPr>
        </w:r>
        <w:r w:rsidR="00537614">
          <w:rPr>
            <w:noProof/>
            <w:webHidden/>
          </w:rPr>
          <w:fldChar w:fldCharType="separate"/>
        </w:r>
        <w:r w:rsidR="00537614">
          <w:rPr>
            <w:noProof/>
            <w:webHidden/>
          </w:rPr>
          <w:t>99</w:t>
        </w:r>
        <w:r w:rsidR="00537614">
          <w:rPr>
            <w:noProof/>
            <w:webHidden/>
          </w:rPr>
          <w:fldChar w:fldCharType="end"/>
        </w:r>
      </w:hyperlink>
    </w:p>
    <w:p w:rsidR="00DF217B" w:rsidRPr="006302E2" w:rsidRDefault="00DF217B" w:rsidP="00DF217B">
      <w:pPr>
        <w:rPr>
          <w:sz w:val="10"/>
        </w:rPr>
      </w:pPr>
      <w:r>
        <w:fldChar w:fldCharType="end"/>
      </w:r>
    </w:p>
    <w:p w:rsidR="00DF217B" w:rsidRDefault="00DF217B" w:rsidP="00DF217B">
      <w:pPr>
        <w:pStyle w:val="Nadpis2"/>
        <w:numPr>
          <w:ilvl w:val="0"/>
          <w:numId w:val="0"/>
        </w:numPr>
      </w:pPr>
      <w:bookmarkStart w:id="170" w:name="_Toc397701304"/>
      <w:bookmarkStart w:id="171" w:name="_Toc401150121"/>
      <w:bookmarkStart w:id="172" w:name="_Toc418767181"/>
      <w:r>
        <w:t>Seznam obrázků</w:t>
      </w:r>
      <w:bookmarkEnd w:id="170"/>
      <w:bookmarkEnd w:id="171"/>
      <w:bookmarkEnd w:id="172"/>
    </w:p>
    <w:p w:rsidR="00537614" w:rsidRDefault="00DF217B">
      <w:pPr>
        <w:pStyle w:val="Seznamobrzk"/>
        <w:tabs>
          <w:tab w:val="right" w:leader="dot" w:pos="9060"/>
        </w:tabs>
        <w:rPr>
          <w:rFonts w:asciiTheme="minorHAnsi" w:eastAsiaTheme="minorEastAsia" w:hAnsiTheme="minorHAnsi" w:cstheme="minorBidi"/>
          <w:noProof/>
          <w:sz w:val="22"/>
          <w:szCs w:val="22"/>
          <w:lang w:eastAsia="cs-CZ"/>
        </w:rPr>
      </w:pPr>
      <w:r>
        <w:fldChar w:fldCharType="begin"/>
      </w:r>
      <w:r>
        <w:instrText xml:space="preserve"> TOC \h \z \c "Obrázek" </w:instrText>
      </w:r>
      <w:r>
        <w:fldChar w:fldCharType="separate"/>
      </w:r>
      <w:hyperlink w:anchor="_Toc417655515" w:history="1">
        <w:r w:rsidR="00537614" w:rsidRPr="007A37B3">
          <w:rPr>
            <w:rStyle w:val="Hypertextovodkaz"/>
            <w:noProof/>
          </w:rPr>
          <w:t>Obrázek 1: Postup posuzování cílení IROP s logikou rozčlenění projektů na dotační, tržní a vhodné pro využití finančních nástrojů</w:t>
        </w:r>
        <w:r w:rsidR="00537614">
          <w:rPr>
            <w:noProof/>
            <w:webHidden/>
          </w:rPr>
          <w:tab/>
        </w:r>
        <w:r w:rsidR="00537614">
          <w:rPr>
            <w:noProof/>
            <w:webHidden/>
          </w:rPr>
          <w:fldChar w:fldCharType="begin"/>
        </w:r>
        <w:r w:rsidR="00537614">
          <w:rPr>
            <w:noProof/>
            <w:webHidden/>
          </w:rPr>
          <w:instrText xml:space="preserve"> PAGEREF _Toc417655515 \h </w:instrText>
        </w:r>
        <w:r w:rsidR="00537614">
          <w:rPr>
            <w:noProof/>
            <w:webHidden/>
          </w:rPr>
        </w:r>
        <w:r w:rsidR="00537614">
          <w:rPr>
            <w:noProof/>
            <w:webHidden/>
          </w:rPr>
          <w:fldChar w:fldCharType="separate"/>
        </w:r>
        <w:r w:rsidR="00537614">
          <w:rPr>
            <w:noProof/>
            <w:webHidden/>
          </w:rPr>
          <w:t>15</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16" w:history="1">
        <w:r w:rsidR="00537614" w:rsidRPr="007A37B3">
          <w:rPr>
            <w:rStyle w:val="Hypertextovodkaz"/>
            <w:noProof/>
          </w:rPr>
          <w:t>Obrázek 2: Závěry dotazníkového šetření Deloitte na otázku vyčíslení výše uvažované investice</w:t>
        </w:r>
        <w:r w:rsidR="00537614">
          <w:rPr>
            <w:noProof/>
            <w:webHidden/>
          </w:rPr>
          <w:tab/>
        </w:r>
        <w:r w:rsidR="00537614">
          <w:rPr>
            <w:noProof/>
            <w:webHidden/>
          </w:rPr>
          <w:fldChar w:fldCharType="begin"/>
        </w:r>
        <w:r w:rsidR="00537614">
          <w:rPr>
            <w:noProof/>
            <w:webHidden/>
          </w:rPr>
          <w:instrText xml:space="preserve"> PAGEREF _Toc417655516 \h </w:instrText>
        </w:r>
        <w:r w:rsidR="00537614">
          <w:rPr>
            <w:noProof/>
            <w:webHidden/>
          </w:rPr>
        </w:r>
        <w:r w:rsidR="00537614">
          <w:rPr>
            <w:noProof/>
            <w:webHidden/>
          </w:rPr>
          <w:fldChar w:fldCharType="separate"/>
        </w:r>
        <w:r w:rsidR="00537614">
          <w:rPr>
            <w:noProof/>
            <w:webHidden/>
          </w:rPr>
          <w:t>32</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17" w:history="1">
        <w:r w:rsidR="00537614" w:rsidRPr="007A37B3">
          <w:rPr>
            <w:rStyle w:val="Hypertextovodkaz"/>
            <w:noProof/>
          </w:rPr>
          <w:t>Obrázek 3: Závěry dotazníkového šetření Deloitte – dostupnost externí zdroje financování</w:t>
        </w:r>
        <w:r w:rsidR="00537614">
          <w:rPr>
            <w:noProof/>
            <w:webHidden/>
          </w:rPr>
          <w:tab/>
        </w:r>
        <w:r w:rsidR="00537614">
          <w:rPr>
            <w:noProof/>
            <w:webHidden/>
          </w:rPr>
          <w:fldChar w:fldCharType="begin"/>
        </w:r>
        <w:r w:rsidR="00537614">
          <w:rPr>
            <w:noProof/>
            <w:webHidden/>
          </w:rPr>
          <w:instrText xml:space="preserve"> PAGEREF _Toc417655517 \h </w:instrText>
        </w:r>
        <w:r w:rsidR="00537614">
          <w:rPr>
            <w:noProof/>
            <w:webHidden/>
          </w:rPr>
        </w:r>
        <w:r w:rsidR="00537614">
          <w:rPr>
            <w:noProof/>
            <w:webHidden/>
          </w:rPr>
          <w:fldChar w:fldCharType="separate"/>
        </w:r>
        <w:r w:rsidR="00537614">
          <w:rPr>
            <w:noProof/>
            <w:webHidden/>
          </w:rPr>
          <w:t>33</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18" w:history="1">
        <w:r w:rsidR="00537614" w:rsidRPr="007A37B3">
          <w:rPr>
            <w:rStyle w:val="Hypertextovodkaz"/>
            <w:noProof/>
          </w:rPr>
          <w:t>Obrázek 4: Závěry dotazníkového šetření – popis problémů zabezpečení externího financování investic</w:t>
        </w:r>
        <w:r w:rsidR="00537614">
          <w:rPr>
            <w:noProof/>
            <w:webHidden/>
          </w:rPr>
          <w:tab/>
        </w:r>
        <w:r w:rsidR="00537614">
          <w:rPr>
            <w:noProof/>
            <w:webHidden/>
          </w:rPr>
          <w:fldChar w:fldCharType="begin"/>
        </w:r>
        <w:r w:rsidR="00537614">
          <w:rPr>
            <w:noProof/>
            <w:webHidden/>
          </w:rPr>
          <w:instrText xml:space="preserve"> PAGEREF _Toc417655518 \h </w:instrText>
        </w:r>
        <w:r w:rsidR="00537614">
          <w:rPr>
            <w:noProof/>
            <w:webHidden/>
          </w:rPr>
        </w:r>
        <w:r w:rsidR="00537614">
          <w:rPr>
            <w:noProof/>
            <w:webHidden/>
          </w:rPr>
          <w:fldChar w:fldCharType="separate"/>
        </w:r>
        <w:r w:rsidR="00537614">
          <w:rPr>
            <w:noProof/>
            <w:webHidden/>
          </w:rPr>
          <w:t>34</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19" w:history="1">
        <w:r w:rsidR="00537614" w:rsidRPr="007A37B3">
          <w:rPr>
            <w:rStyle w:val="Hypertextovodkaz"/>
            <w:noProof/>
          </w:rPr>
          <w:t>Obrázek 5: Index stavební produkce dle dat ČSÚ</w:t>
        </w:r>
        <w:r w:rsidR="00537614">
          <w:rPr>
            <w:noProof/>
            <w:webHidden/>
          </w:rPr>
          <w:tab/>
        </w:r>
        <w:r w:rsidR="00537614">
          <w:rPr>
            <w:noProof/>
            <w:webHidden/>
          </w:rPr>
          <w:fldChar w:fldCharType="begin"/>
        </w:r>
        <w:r w:rsidR="00537614">
          <w:rPr>
            <w:noProof/>
            <w:webHidden/>
          </w:rPr>
          <w:instrText xml:space="preserve"> PAGEREF _Toc417655519 \h </w:instrText>
        </w:r>
        <w:r w:rsidR="00537614">
          <w:rPr>
            <w:noProof/>
            <w:webHidden/>
          </w:rPr>
        </w:r>
        <w:r w:rsidR="00537614">
          <w:rPr>
            <w:noProof/>
            <w:webHidden/>
          </w:rPr>
          <w:fldChar w:fldCharType="separate"/>
        </w:r>
        <w:r w:rsidR="00537614">
          <w:rPr>
            <w:noProof/>
            <w:webHidden/>
          </w:rPr>
          <w:t>35</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20" w:history="1">
        <w:r w:rsidR="00537614" w:rsidRPr="007A37B3">
          <w:rPr>
            <w:rStyle w:val="Hypertextovodkaz"/>
            <w:noProof/>
          </w:rPr>
          <w:t>Obrázek 6: Meziroční změna úvěrů na bydlení, Vývoj úrokových sazeb hypotečních úvěrů (převzato ze statistické publikace ČSÚ)</w:t>
        </w:r>
        <w:r w:rsidR="00537614">
          <w:rPr>
            <w:noProof/>
            <w:webHidden/>
          </w:rPr>
          <w:tab/>
        </w:r>
        <w:r w:rsidR="00537614">
          <w:rPr>
            <w:noProof/>
            <w:webHidden/>
          </w:rPr>
          <w:fldChar w:fldCharType="begin"/>
        </w:r>
        <w:r w:rsidR="00537614">
          <w:rPr>
            <w:noProof/>
            <w:webHidden/>
          </w:rPr>
          <w:instrText xml:space="preserve"> PAGEREF _Toc417655520 \h </w:instrText>
        </w:r>
        <w:r w:rsidR="00537614">
          <w:rPr>
            <w:noProof/>
            <w:webHidden/>
          </w:rPr>
        </w:r>
        <w:r w:rsidR="00537614">
          <w:rPr>
            <w:noProof/>
            <w:webHidden/>
          </w:rPr>
          <w:fldChar w:fldCharType="separate"/>
        </w:r>
        <w:r w:rsidR="00537614">
          <w:rPr>
            <w:noProof/>
            <w:webHidden/>
          </w:rPr>
          <w:t>36</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21" w:history="1">
        <w:r w:rsidR="00537614" w:rsidRPr="007A37B3">
          <w:rPr>
            <w:rStyle w:val="Hypertextovodkaz"/>
            <w:noProof/>
          </w:rPr>
          <w:t>Obrázek 7: Závěry dotazníkového šetření – důvody pro přípravu investice</w:t>
        </w:r>
        <w:r w:rsidR="00537614">
          <w:rPr>
            <w:noProof/>
            <w:webHidden/>
          </w:rPr>
          <w:tab/>
        </w:r>
        <w:r w:rsidR="00537614">
          <w:rPr>
            <w:noProof/>
            <w:webHidden/>
          </w:rPr>
          <w:fldChar w:fldCharType="begin"/>
        </w:r>
        <w:r w:rsidR="00537614">
          <w:rPr>
            <w:noProof/>
            <w:webHidden/>
          </w:rPr>
          <w:instrText xml:space="preserve"> PAGEREF _Toc417655521 \h </w:instrText>
        </w:r>
        <w:r w:rsidR="00537614">
          <w:rPr>
            <w:noProof/>
            <w:webHidden/>
          </w:rPr>
        </w:r>
        <w:r w:rsidR="00537614">
          <w:rPr>
            <w:noProof/>
            <w:webHidden/>
          </w:rPr>
          <w:fldChar w:fldCharType="separate"/>
        </w:r>
        <w:r w:rsidR="00537614">
          <w:rPr>
            <w:noProof/>
            <w:webHidden/>
          </w:rPr>
          <w:t>37</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22" w:history="1">
        <w:r w:rsidR="00537614" w:rsidRPr="007A37B3">
          <w:rPr>
            <w:rStyle w:val="Hypertextovodkaz"/>
            <w:noProof/>
          </w:rPr>
          <w:t>Obrázek 8: Závěry dotazníkového šetření – připravenost investovat i bez existence veřejné podpory</w:t>
        </w:r>
        <w:r w:rsidR="00537614">
          <w:rPr>
            <w:noProof/>
            <w:webHidden/>
          </w:rPr>
          <w:tab/>
        </w:r>
        <w:r w:rsidR="00537614">
          <w:rPr>
            <w:noProof/>
            <w:webHidden/>
          </w:rPr>
          <w:fldChar w:fldCharType="begin"/>
        </w:r>
        <w:r w:rsidR="00537614">
          <w:rPr>
            <w:noProof/>
            <w:webHidden/>
          </w:rPr>
          <w:instrText xml:space="preserve"> PAGEREF _Toc417655522 \h </w:instrText>
        </w:r>
        <w:r w:rsidR="00537614">
          <w:rPr>
            <w:noProof/>
            <w:webHidden/>
          </w:rPr>
        </w:r>
        <w:r w:rsidR="00537614">
          <w:rPr>
            <w:noProof/>
            <w:webHidden/>
          </w:rPr>
          <w:fldChar w:fldCharType="separate"/>
        </w:r>
        <w:r w:rsidR="00537614">
          <w:rPr>
            <w:noProof/>
            <w:webHidden/>
          </w:rPr>
          <w:t>37</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23" w:history="1">
        <w:r w:rsidR="00537614" w:rsidRPr="007A37B3">
          <w:rPr>
            <w:rStyle w:val="Hypertextovodkaz"/>
            <w:noProof/>
          </w:rPr>
          <w:t xml:space="preserve">Obrázek 9: </w:t>
        </w:r>
        <w:r w:rsidR="00537614" w:rsidRPr="007A37B3">
          <w:rPr>
            <w:rStyle w:val="Hypertextovodkaz"/>
            <w:rFonts w:cs="Arial"/>
            <w:noProof/>
          </w:rPr>
          <w:t>Schéma realizace London Green Fund</w:t>
        </w:r>
        <w:r w:rsidR="00537614">
          <w:rPr>
            <w:noProof/>
            <w:webHidden/>
          </w:rPr>
          <w:tab/>
        </w:r>
        <w:r w:rsidR="00537614">
          <w:rPr>
            <w:noProof/>
            <w:webHidden/>
          </w:rPr>
          <w:fldChar w:fldCharType="begin"/>
        </w:r>
        <w:r w:rsidR="00537614">
          <w:rPr>
            <w:noProof/>
            <w:webHidden/>
          </w:rPr>
          <w:instrText xml:space="preserve"> PAGEREF _Toc417655523 \h </w:instrText>
        </w:r>
        <w:r w:rsidR="00537614">
          <w:rPr>
            <w:noProof/>
            <w:webHidden/>
          </w:rPr>
        </w:r>
        <w:r w:rsidR="00537614">
          <w:rPr>
            <w:noProof/>
            <w:webHidden/>
          </w:rPr>
          <w:fldChar w:fldCharType="separate"/>
        </w:r>
        <w:r w:rsidR="00537614">
          <w:rPr>
            <w:noProof/>
            <w:webHidden/>
          </w:rPr>
          <w:t>44</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24" w:history="1">
        <w:r w:rsidR="00537614" w:rsidRPr="007A37B3">
          <w:rPr>
            <w:rStyle w:val="Hypertextovodkaz"/>
            <w:noProof/>
          </w:rPr>
          <w:t>Obrázek 10: Základní možnosti ŘO při implementaci IFN</w:t>
        </w:r>
        <w:r w:rsidR="00537614">
          <w:rPr>
            <w:noProof/>
            <w:webHidden/>
          </w:rPr>
          <w:tab/>
        </w:r>
        <w:r w:rsidR="00537614">
          <w:rPr>
            <w:noProof/>
            <w:webHidden/>
          </w:rPr>
          <w:fldChar w:fldCharType="begin"/>
        </w:r>
        <w:r w:rsidR="00537614">
          <w:rPr>
            <w:noProof/>
            <w:webHidden/>
          </w:rPr>
          <w:instrText xml:space="preserve"> PAGEREF _Toc417655524 \h </w:instrText>
        </w:r>
        <w:r w:rsidR="00537614">
          <w:rPr>
            <w:noProof/>
            <w:webHidden/>
          </w:rPr>
        </w:r>
        <w:r w:rsidR="00537614">
          <w:rPr>
            <w:noProof/>
            <w:webHidden/>
          </w:rPr>
          <w:fldChar w:fldCharType="separate"/>
        </w:r>
        <w:r w:rsidR="00537614">
          <w:rPr>
            <w:noProof/>
            <w:webHidden/>
          </w:rPr>
          <w:t>49</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25" w:history="1">
        <w:r w:rsidR="00537614" w:rsidRPr="007A37B3">
          <w:rPr>
            <w:rStyle w:val="Hypertextovodkaz"/>
            <w:noProof/>
          </w:rPr>
          <w:t>Obrázek 11: Rámcové schéma implementace IFN - Varianta 1: Sloučení věcně souvisejících opatření  v rámci jednoho fondu/podfondu</w:t>
        </w:r>
        <w:r w:rsidR="00537614">
          <w:rPr>
            <w:noProof/>
            <w:webHidden/>
          </w:rPr>
          <w:tab/>
        </w:r>
        <w:r w:rsidR="00537614">
          <w:rPr>
            <w:noProof/>
            <w:webHidden/>
          </w:rPr>
          <w:fldChar w:fldCharType="begin"/>
        </w:r>
        <w:r w:rsidR="00537614">
          <w:rPr>
            <w:noProof/>
            <w:webHidden/>
          </w:rPr>
          <w:instrText xml:space="preserve"> PAGEREF _Toc417655525 \h </w:instrText>
        </w:r>
        <w:r w:rsidR="00537614">
          <w:rPr>
            <w:noProof/>
            <w:webHidden/>
          </w:rPr>
        </w:r>
        <w:r w:rsidR="00537614">
          <w:rPr>
            <w:noProof/>
            <w:webHidden/>
          </w:rPr>
          <w:fldChar w:fldCharType="separate"/>
        </w:r>
        <w:r w:rsidR="00537614">
          <w:rPr>
            <w:noProof/>
            <w:webHidden/>
          </w:rPr>
          <w:t>58</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26" w:history="1">
        <w:r w:rsidR="00537614" w:rsidRPr="007A37B3">
          <w:rPr>
            <w:rStyle w:val="Hypertextovodkaz"/>
            <w:noProof/>
          </w:rPr>
          <w:t>Obrázek 12: Rámcové schéma implementace IFN - Varianta 2: Nedojde ke sloučení věcně souvisejících opatření v rámci jednoho fondu/podfondu</w:t>
        </w:r>
        <w:r w:rsidR="00537614">
          <w:rPr>
            <w:noProof/>
            <w:webHidden/>
          </w:rPr>
          <w:tab/>
        </w:r>
        <w:r w:rsidR="00537614">
          <w:rPr>
            <w:noProof/>
            <w:webHidden/>
          </w:rPr>
          <w:fldChar w:fldCharType="begin"/>
        </w:r>
        <w:r w:rsidR="00537614">
          <w:rPr>
            <w:noProof/>
            <w:webHidden/>
          </w:rPr>
          <w:instrText xml:space="preserve"> PAGEREF _Toc417655526 \h </w:instrText>
        </w:r>
        <w:r w:rsidR="00537614">
          <w:rPr>
            <w:noProof/>
            <w:webHidden/>
          </w:rPr>
        </w:r>
        <w:r w:rsidR="00537614">
          <w:rPr>
            <w:noProof/>
            <w:webHidden/>
          </w:rPr>
          <w:fldChar w:fldCharType="separate"/>
        </w:r>
        <w:r w:rsidR="00537614">
          <w:rPr>
            <w:noProof/>
            <w:webHidden/>
          </w:rPr>
          <w:t>59</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27" w:history="1">
        <w:r w:rsidR="00537614" w:rsidRPr="007A37B3">
          <w:rPr>
            <w:rStyle w:val="Hypertextovodkaz"/>
            <w:noProof/>
          </w:rPr>
          <w:t>Obrázek 13: Závěry dotazníkového šetření – zájem o podporu IROP formou zvýhodněného úvěru</w:t>
        </w:r>
        <w:r w:rsidR="00537614">
          <w:rPr>
            <w:noProof/>
            <w:webHidden/>
          </w:rPr>
          <w:tab/>
        </w:r>
        <w:r w:rsidR="00537614">
          <w:rPr>
            <w:noProof/>
            <w:webHidden/>
          </w:rPr>
          <w:fldChar w:fldCharType="begin"/>
        </w:r>
        <w:r w:rsidR="00537614">
          <w:rPr>
            <w:noProof/>
            <w:webHidden/>
          </w:rPr>
          <w:instrText xml:space="preserve"> PAGEREF _Toc417655527 \h </w:instrText>
        </w:r>
        <w:r w:rsidR="00537614">
          <w:rPr>
            <w:noProof/>
            <w:webHidden/>
          </w:rPr>
        </w:r>
        <w:r w:rsidR="00537614">
          <w:rPr>
            <w:noProof/>
            <w:webHidden/>
          </w:rPr>
          <w:fldChar w:fldCharType="separate"/>
        </w:r>
        <w:r w:rsidR="00537614">
          <w:rPr>
            <w:noProof/>
            <w:webHidden/>
          </w:rPr>
          <w:t>74</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28" w:history="1">
        <w:r w:rsidR="00537614" w:rsidRPr="007A37B3">
          <w:rPr>
            <w:rStyle w:val="Hypertextovodkaz"/>
            <w:noProof/>
          </w:rPr>
          <w:t>Obrázek 14: Závěry dotazníkového šetření – zájem o podporu IROP formou zvýhodněného úvěru s případnou dotační složkou</w:t>
        </w:r>
        <w:r w:rsidR="00537614">
          <w:rPr>
            <w:noProof/>
            <w:webHidden/>
          </w:rPr>
          <w:tab/>
        </w:r>
        <w:r w:rsidR="00537614">
          <w:rPr>
            <w:noProof/>
            <w:webHidden/>
          </w:rPr>
          <w:fldChar w:fldCharType="begin"/>
        </w:r>
        <w:r w:rsidR="00537614">
          <w:rPr>
            <w:noProof/>
            <w:webHidden/>
          </w:rPr>
          <w:instrText xml:space="preserve"> PAGEREF _Toc417655528 \h </w:instrText>
        </w:r>
        <w:r w:rsidR="00537614">
          <w:rPr>
            <w:noProof/>
            <w:webHidden/>
          </w:rPr>
        </w:r>
        <w:r w:rsidR="00537614">
          <w:rPr>
            <w:noProof/>
            <w:webHidden/>
          </w:rPr>
          <w:fldChar w:fldCharType="separate"/>
        </w:r>
        <w:r w:rsidR="00537614">
          <w:rPr>
            <w:noProof/>
            <w:webHidden/>
          </w:rPr>
          <w:t>74</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29" w:history="1">
        <w:r w:rsidR="00537614" w:rsidRPr="007A37B3">
          <w:rPr>
            <w:rStyle w:val="Hypertextovodkaz"/>
            <w:noProof/>
          </w:rPr>
          <w:t>Obrázek 15: Modelové schéma fungování finančního nástroje – VARIANTA 1 Syndikovaný úvěr</w:t>
        </w:r>
        <w:r w:rsidR="00537614">
          <w:rPr>
            <w:noProof/>
            <w:webHidden/>
          </w:rPr>
          <w:tab/>
        </w:r>
        <w:r w:rsidR="00537614">
          <w:rPr>
            <w:noProof/>
            <w:webHidden/>
          </w:rPr>
          <w:fldChar w:fldCharType="begin"/>
        </w:r>
        <w:r w:rsidR="00537614">
          <w:rPr>
            <w:noProof/>
            <w:webHidden/>
          </w:rPr>
          <w:instrText xml:space="preserve"> PAGEREF _Toc417655529 \h </w:instrText>
        </w:r>
        <w:r w:rsidR="00537614">
          <w:rPr>
            <w:noProof/>
            <w:webHidden/>
          </w:rPr>
        </w:r>
        <w:r w:rsidR="00537614">
          <w:rPr>
            <w:noProof/>
            <w:webHidden/>
          </w:rPr>
          <w:fldChar w:fldCharType="separate"/>
        </w:r>
        <w:r w:rsidR="00537614">
          <w:rPr>
            <w:noProof/>
            <w:webHidden/>
          </w:rPr>
          <w:t>80</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30" w:history="1">
        <w:r w:rsidR="00537614" w:rsidRPr="007A37B3">
          <w:rPr>
            <w:rStyle w:val="Hypertextovodkaz"/>
            <w:noProof/>
          </w:rPr>
          <w:t>Obrázek 16: Modelové schéma fungování nástroje - VARIANTA 2 Samostatný zvýhodněný úvěr</w:t>
        </w:r>
        <w:r w:rsidR="00537614">
          <w:rPr>
            <w:noProof/>
            <w:webHidden/>
          </w:rPr>
          <w:tab/>
        </w:r>
        <w:r w:rsidR="00537614">
          <w:rPr>
            <w:noProof/>
            <w:webHidden/>
          </w:rPr>
          <w:fldChar w:fldCharType="begin"/>
        </w:r>
        <w:r w:rsidR="00537614">
          <w:rPr>
            <w:noProof/>
            <w:webHidden/>
          </w:rPr>
          <w:instrText xml:space="preserve"> PAGEREF _Toc417655530 \h </w:instrText>
        </w:r>
        <w:r w:rsidR="00537614">
          <w:rPr>
            <w:noProof/>
            <w:webHidden/>
          </w:rPr>
        </w:r>
        <w:r w:rsidR="00537614">
          <w:rPr>
            <w:noProof/>
            <w:webHidden/>
          </w:rPr>
          <w:fldChar w:fldCharType="separate"/>
        </w:r>
        <w:r w:rsidR="00537614">
          <w:rPr>
            <w:noProof/>
            <w:webHidden/>
          </w:rPr>
          <w:t>84</w:t>
        </w:r>
        <w:r w:rsidR="00537614">
          <w:rPr>
            <w:noProof/>
            <w:webHidden/>
          </w:rPr>
          <w:fldChar w:fldCharType="end"/>
        </w:r>
      </w:hyperlink>
    </w:p>
    <w:p w:rsidR="00537614" w:rsidRDefault="00B853F3">
      <w:pPr>
        <w:pStyle w:val="Seznamobrzk"/>
        <w:tabs>
          <w:tab w:val="right" w:leader="dot" w:pos="9060"/>
        </w:tabs>
        <w:rPr>
          <w:rFonts w:asciiTheme="minorHAnsi" w:eastAsiaTheme="minorEastAsia" w:hAnsiTheme="minorHAnsi" w:cstheme="minorBidi"/>
          <w:noProof/>
          <w:sz w:val="22"/>
          <w:szCs w:val="22"/>
          <w:lang w:eastAsia="cs-CZ"/>
        </w:rPr>
      </w:pPr>
      <w:hyperlink w:anchor="_Toc417655531" w:history="1">
        <w:r w:rsidR="00537614" w:rsidRPr="007A37B3">
          <w:rPr>
            <w:rStyle w:val="Hypertextovodkaz"/>
            <w:noProof/>
          </w:rPr>
          <w:t>Obrázek 17: Závěry dotazníkového šetření Deloitte – odhad výše generovaných úspor projektem</w:t>
        </w:r>
        <w:r w:rsidR="00537614">
          <w:rPr>
            <w:noProof/>
            <w:webHidden/>
          </w:rPr>
          <w:tab/>
        </w:r>
        <w:r w:rsidR="00537614">
          <w:rPr>
            <w:noProof/>
            <w:webHidden/>
          </w:rPr>
          <w:fldChar w:fldCharType="begin"/>
        </w:r>
        <w:r w:rsidR="00537614">
          <w:rPr>
            <w:noProof/>
            <w:webHidden/>
          </w:rPr>
          <w:instrText xml:space="preserve"> PAGEREF _Toc417655531 \h </w:instrText>
        </w:r>
        <w:r w:rsidR="00537614">
          <w:rPr>
            <w:noProof/>
            <w:webHidden/>
          </w:rPr>
        </w:r>
        <w:r w:rsidR="00537614">
          <w:rPr>
            <w:noProof/>
            <w:webHidden/>
          </w:rPr>
          <w:fldChar w:fldCharType="separate"/>
        </w:r>
        <w:r w:rsidR="00537614">
          <w:rPr>
            <w:noProof/>
            <w:webHidden/>
          </w:rPr>
          <w:t>87</w:t>
        </w:r>
        <w:r w:rsidR="00537614">
          <w:rPr>
            <w:noProof/>
            <w:webHidden/>
          </w:rPr>
          <w:fldChar w:fldCharType="end"/>
        </w:r>
      </w:hyperlink>
    </w:p>
    <w:p w:rsidR="00AF0A1E" w:rsidRDefault="00DF217B" w:rsidP="00DF217B">
      <w:r>
        <w:fldChar w:fldCharType="end"/>
      </w:r>
    </w:p>
    <w:p w:rsidR="00AF0A1E" w:rsidRDefault="00AF0A1E" w:rsidP="00AF0A1E">
      <w:r>
        <w:br w:type="page"/>
      </w:r>
    </w:p>
    <w:p w:rsidR="000965B6" w:rsidRDefault="000965B6"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0965B6" w:rsidRDefault="000965B6" w:rsidP="00DF217B"/>
    <w:p w:rsidR="000965B6" w:rsidRDefault="000965B6" w:rsidP="00DF217B"/>
    <w:p w:rsidR="000965B6" w:rsidRDefault="000965B6" w:rsidP="00DF217B"/>
    <w:p w:rsidR="000965B6" w:rsidRDefault="000965B6" w:rsidP="00DF217B"/>
    <w:p w:rsidR="000965B6" w:rsidRDefault="000965B6" w:rsidP="00DF217B"/>
    <w:p w:rsidR="00DF70EF" w:rsidRDefault="00DF70EF" w:rsidP="00DF217B"/>
    <w:p w:rsidR="000965B6" w:rsidRDefault="005C305A" w:rsidP="00DF217B">
      <w:r>
        <w:rPr>
          <w:rFonts w:cs="Arial"/>
          <w:noProof/>
          <w:color w:val="000000"/>
          <w:sz w:val="16"/>
          <w:szCs w:val="16"/>
          <w:lang w:eastAsia="cs-CZ"/>
        </w:rPr>
        <mc:AlternateContent>
          <mc:Choice Requires="wps">
            <w:drawing>
              <wp:anchor distT="0" distB="0" distL="114300" distR="114300" simplePos="0" relativeHeight="251872256" behindDoc="0" locked="0" layoutInCell="1" allowOverlap="1" wp14:anchorId="45B2B0C0" wp14:editId="73338240">
                <wp:simplePos x="0" y="0"/>
                <wp:positionH relativeFrom="column">
                  <wp:posOffset>-132679</wp:posOffset>
                </wp:positionH>
                <wp:positionV relativeFrom="paragraph">
                  <wp:posOffset>105230</wp:posOffset>
                </wp:positionV>
                <wp:extent cx="5632450" cy="1190446"/>
                <wp:effectExtent l="0" t="0" r="0" b="0"/>
                <wp:wrapNone/>
                <wp:docPr id="11266" name="Text Box 1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90446"/>
                        </a:xfrm>
                        <a:prstGeom prst="rect">
                          <a:avLst/>
                        </a:prstGeom>
                        <a:noFill/>
                        <a:ln w="9525">
                          <a:noFill/>
                          <a:miter lim="800000"/>
                          <a:headEnd/>
                          <a:tailEnd/>
                        </a:ln>
                      </wps:spPr>
                      <wps:txbx>
                        <w:txbxContent>
                          <w:p w:rsidR="00F61B77" w:rsidRDefault="00F61B77" w:rsidP="005C305A">
                            <w:pPr>
                              <w:pStyle w:val="BodyText1"/>
                              <w:rPr>
                                <w:rFonts w:eastAsia="Arial Unicode MS" w:cs="Arial"/>
                                <w:color w:val="002776" w:themeColor="text2"/>
                                <w:kern w:val="24"/>
                                <w:sz w:val="18"/>
                                <w:szCs w:val="18"/>
                                <w:lang w:eastAsia="cs-CZ"/>
                              </w:rPr>
                            </w:pPr>
                            <w:r w:rsidRPr="005C305A">
                              <w:rPr>
                                <w:rFonts w:eastAsia="Arial Unicode MS" w:cs="Arial"/>
                                <w:color w:val="002776" w:themeColor="text2"/>
                                <w:kern w:val="24"/>
                                <w:sz w:val="18"/>
                                <w:szCs w:val="18"/>
                                <w:lang w:eastAsia="cs-CZ"/>
                              </w:rPr>
                              <w:t xml:space="preserve">Deloitte označuje jednu či více společností Deloitte Touche Tohmatsu Limited, britské privátní společnosti s ručením omezeným zárukou („DTTL“), jejích členských firem a jejich spřízněných subjektů. Společnost DTTL a každá z jejích členských firem představuje samostatný a nezávislý právní subjekt. Společnost DTTL (rovněž označovaná jako „Deloitte Global“) služby klientům neposkytuje. Podrobný popis právní struktury společnosti Deloitte Touche Tohmatsu Limited a jejích členských firem je uveden na adrese </w:t>
                            </w:r>
                            <w:hyperlink r:id="rId47" w:history="1">
                              <w:r w:rsidRPr="00B737D0">
                                <w:rPr>
                                  <w:rStyle w:val="Hypertextovodkaz"/>
                                  <w:rFonts w:eastAsia="Arial Unicode MS" w:cs="Arial"/>
                                  <w:kern w:val="24"/>
                                  <w:sz w:val="18"/>
                                  <w:szCs w:val="18"/>
                                  <w:lang w:eastAsia="cs-CZ"/>
                                </w:rPr>
                                <w:t>www.deloitte.com/cz/onas</w:t>
                              </w:r>
                            </w:hyperlink>
                            <w:r w:rsidRPr="005C305A">
                              <w:rPr>
                                <w:rFonts w:eastAsia="Arial Unicode MS" w:cs="Arial"/>
                                <w:color w:val="002776" w:themeColor="text2"/>
                                <w:kern w:val="24"/>
                                <w:sz w:val="18"/>
                                <w:szCs w:val="18"/>
                                <w:lang w:eastAsia="cs-CZ"/>
                              </w:rPr>
                              <w:t>.</w:t>
                            </w:r>
                          </w:p>
                          <w:p w:rsidR="00F61B77" w:rsidRPr="005C305A" w:rsidRDefault="00F61B77" w:rsidP="005C305A">
                            <w:pPr>
                              <w:pStyle w:val="BodyText1"/>
                              <w:rPr>
                                <w:rFonts w:eastAsia="Arial Unicode MS" w:cs="Arial"/>
                                <w:color w:val="002776" w:themeColor="text2"/>
                                <w:kern w:val="24"/>
                                <w:sz w:val="18"/>
                                <w:szCs w:val="18"/>
                                <w:lang w:eastAsia="cs-CZ"/>
                              </w:rPr>
                            </w:pPr>
                          </w:p>
                          <w:p w:rsidR="00F61B77" w:rsidRPr="005C305A" w:rsidRDefault="00F61B77" w:rsidP="005C305A">
                            <w:pPr>
                              <w:pStyle w:val="BodyText1"/>
                              <w:rPr>
                                <w:rFonts w:eastAsia="Arial Unicode MS" w:cs="Arial"/>
                                <w:color w:val="002776" w:themeColor="text2"/>
                                <w:kern w:val="24"/>
                                <w:sz w:val="18"/>
                                <w:szCs w:val="18"/>
                                <w:lang w:eastAsia="cs-CZ"/>
                              </w:rPr>
                            </w:pPr>
                            <w:r w:rsidRPr="005C305A">
                              <w:rPr>
                                <w:rFonts w:eastAsia="Arial Unicode MS" w:cs="Arial"/>
                                <w:color w:val="002776" w:themeColor="text2"/>
                                <w:kern w:val="24"/>
                                <w:sz w:val="18"/>
                                <w:szCs w:val="18"/>
                                <w:lang w:eastAsia="cs-CZ"/>
                              </w:rPr>
                              <w:t>© 2015 Deloitte Česká republika</w:t>
                            </w:r>
                          </w:p>
                          <w:p w:rsidR="00F61B77" w:rsidRPr="009940E1" w:rsidRDefault="00F61B77" w:rsidP="00DF217B">
                            <w:pPr>
                              <w:pStyle w:val="BodyText1"/>
                              <w:rPr>
                                <w:color w:val="002776" w:themeColor="text2"/>
                                <w:sz w:val="16"/>
                                <w:szCs w:val="16"/>
                              </w:rPr>
                            </w:pPr>
                          </w:p>
                        </w:txbxContent>
                      </wps:txbx>
                      <wps:bodyPr wrap="square" lIns="72000">
                        <a:noAutofit/>
                      </wps:bodyPr>
                    </wps:wsp>
                  </a:graphicData>
                </a:graphic>
                <wp14:sizeRelH relativeFrom="page">
                  <wp14:pctWidth>0</wp14:pctWidth>
                </wp14:sizeRelH>
                <wp14:sizeRelV relativeFrom="margin">
                  <wp14:pctHeight>0</wp14:pctHeight>
                </wp14:sizeRelV>
              </wp:anchor>
            </w:drawing>
          </mc:Choice>
          <mc:Fallback>
            <w:pict>
              <v:shape id="Text Box 11266" o:spid="_x0000_s1028" type="#_x0000_t202" style="position:absolute;left:0;text-align:left;margin-left:-10.45pt;margin-top:8.3pt;width:443.5pt;height:93.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" filled="f" stroked="f">
                <v:textbox inset="2mm">
                  <w:txbxContent>
                    <w:p w:rsidR="00F61B77" w:rsidRDefault="00F61B77" w:rsidP="005C305A">
                      <w:pPr>
                        <w:pStyle w:val="BodyText1"/>
                        <w:rPr>
                          <w:rFonts w:eastAsia="Arial Unicode MS" w:cs="Arial"/>
                          <w:color w:val="002776" w:themeColor="text2"/>
                          <w:kern w:val="24"/>
                          <w:sz w:val="18"/>
                          <w:szCs w:val="18"/>
                          <w:lang w:eastAsia="cs-CZ"/>
                        </w:rPr>
                      </w:pPr>
                      <w:r w:rsidRPr="005C305A">
                        <w:rPr>
                          <w:rFonts w:eastAsia="Arial Unicode MS" w:cs="Arial"/>
                          <w:color w:val="002776" w:themeColor="text2"/>
                          <w:kern w:val="24"/>
                          <w:sz w:val="18"/>
                          <w:szCs w:val="18"/>
                          <w:lang w:eastAsia="cs-CZ"/>
                        </w:rPr>
                        <w:t xml:space="preserve">Deloitte označuje jednu či více společností Deloitte Touche Tohmatsu Limited, britské privátní společnosti s ručením omezeným zárukou („DTTL“), jejích členských firem a jejich spřízněných subjektů. Společnost DTTL a každá z jejích členských firem představuje samostatný a nezávislý právní subjekt. Společnost DTTL (rovněž označovaná jako „Deloitte Global“) služby klientům neposkytuje. Podrobný popis právní struktury společnosti Deloitte Touche Tohmatsu Limited a jejích členských firem je uveden na adrese </w:t>
                      </w:r>
                      <w:hyperlink r:id="rId48" w:history="1">
                        <w:r w:rsidRPr="00B737D0">
                          <w:rPr>
                            <w:rStyle w:val="Hyperlink"/>
                            <w:rFonts w:eastAsia="Arial Unicode MS" w:cs="Arial"/>
                            <w:kern w:val="24"/>
                            <w:sz w:val="18"/>
                            <w:szCs w:val="18"/>
                            <w:lang w:eastAsia="cs-CZ"/>
                          </w:rPr>
                          <w:t>www.deloitte.com/cz/onas</w:t>
                        </w:r>
                      </w:hyperlink>
                      <w:r w:rsidRPr="005C305A">
                        <w:rPr>
                          <w:rFonts w:eastAsia="Arial Unicode MS" w:cs="Arial"/>
                          <w:color w:val="002776" w:themeColor="text2"/>
                          <w:kern w:val="24"/>
                          <w:sz w:val="18"/>
                          <w:szCs w:val="18"/>
                          <w:lang w:eastAsia="cs-CZ"/>
                        </w:rPr>
                        <w:t>.</w:t>
                      </w:r>
                    </w:p>
                    <w:p w:rsidR="00F61B77" w:rsidRPr="005C305A" w:rsidRDefault="00F61B77" w:rsidP="005C305A">
                      <w:pPr>
                        <w:pStyle w:val="BodyText1"/>
                        <w:rPr>
                          <w:rFonts w:eastAsia="Arial Unicode MS" w:cs="Arial"/>
                          <w:color w:val="002776" w:themeColor="text2"/>
                          <w:kern w:val="24"/>
                          <w:sz w:val="18"/>
                          <w:szCs w:val="18"/>
                          <w:lang w:eastAsia="cs-CZ"/>
                        </w:rPr>
                      </w:pPr>
                    </w:p>
                    <w:p w:rsidR="00F61B77" w:rsidRPr="005C305A" w:rsidRDefault="00F61B77" w:rsidP="005C305A">
                      <w:pPr>
                        <w:pStyle w:val="BodyText1"/>
                        <w:rPr>
                          <w:rFonts w:eastAsia="Arial Unicode MS" w:cs="Arial"/>
                          <w:color w:val="002776" w:themeColor="text2"/>
                          <w:kern w:val="24"/>
                          <w:sz w:val="18"/>
                          <w:szCs w:val="18"/>
                          <w:lang w:eastAsia="cs-CZ"/>
                        </w:rPr>
                      </w:pPr>
                      <w:r w:rsidRPr="005C305A">
                        <w:rPr>
                          <w:rFonts w:eastAsia="Arial Unicode MS" w:cs="Arial"/>
                          <w:color w:val="002776" w:themeColor="text2"/>
                          <w:kern w:val="24"/>
                          <w:sz w:val="18"/>
                          <w:szCs w:val="18"/>
                          <w:lang w:eastAsia="cs-CZ"/>
                        </w:rPr>
                        <w:t>© 2015 Deloitte Česká republika</w:t>
                      </w:r>
                    </w:p>
                    <w:p w:rsidR="00F61B77" w:rsidRPr="009940E1" w:rsidRDefault="00F61B77" w:rsidP="00DF217B">
                      <w:pPr>
                        <w:pStyle w:val="BodyText1"/>
                        <w:rPr>
                          <w:color w:val="002776" w:themeColor="text2"/>
                          <w:sz w:val="16"/>
                          <w:szCs w:val="16"/>
                        </w:rPr>
                      </w:pPr>
                    </w:p>
                  </w:txbxContent>
                </v:textbox>
              </v:shape>
            </w:pict>
          </mc:Fallback>
        </mc:AlternateContent>
      </w:r>
    </w:p>
    <w:p w:rsidR="000965B6" w:rsidRDefault="000965B6" w:rsidP="00DF217B"/>
    <w:p w:rsidR="000965B6" w:rsidRDefault="000965B6" w:rsidP="00DF217B"/>
    <w:p w:rsidR="00DF217B" w:rsidRDefault="00DF217B" w:rsidP="0023705F">
      <w:pPr>
        <w:rPr>
          <w:b/>
          <w:sz w:val="44"/>
          <w:highlight w:val="yellow"/>
        </w:rPr>
      </w:pPr>
    </w:p>
    <w:p w:rsidR="004118B6" w:rsidRDefault="004118B6" w:rsidP="00DA4E52">
      <w:pPr>
        <w:spacing w:after="0"/>
        <w:jc w:val="left"/>
      </w:pPr>
    </w:p>
    <w:sectPr w:rsidR="004118B6" w:rsidSect="008830B5">
      <w:pgSz w:w="11906" w:h="16838" w:code="9"/>
      <w:pgMar w:top="1418" w:right="1418" w:bottom="1418" w:left="1418" w:header="709" w:footer="709" w:gutter="0"/>
      <w:paperSrc w:first="15" w:other="15"/>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3A3C29" w15:done="0"/>
  <w15:commentEx w15:paraId="4922A917" w15:done="0"/>
  <w15:commentEx w15:paraId="1259663C" w15:done="0"/>
  <w15:commentEx w15:paraId="6D28D88E" w15:done="0"/>
  <w15:commentEx w15:paraId="75C188F8" w15:done="0"/>
  <w15:commentEx w15:paraId="1CB07A06" w15:done="0"/>
  <w15:commentEx w15:paraId="38F05958" w15:done="0"/>
  <w15:commentEx w15:paraId="190D0792" w15:done="0"/>
  <w15:commentEx w15:paraId="1BD433B4" w15:done="0"/>
  <w15:commentEx w15:paraId="36D049F9" w15:done="0"/>
  <w15:commentEx w15:paraId="6FB2972B" w15:done="0"/>
  <w15:commentEx w15:paraId="315E31ED" w15:done="0"/>
  <w15:commentEx w15:paraId="6B258173" w15:done="0"/>
  <w15:commentEx w15:paraId="18E40D5E" w15:done="0"/>
  <w15:commentEx w15:paraId="61D24139" w15:done="0"/>
  <w15:commentEx w15:paraId="367421BA" w15:done="0"/>
  <w15:commentEx w15:paraId="24D138AF" w15:done="0"/>
  <w15:commentEx w15:paraId="097863D9" w15:done="0"/>
  <w15:commentEx w15:paraId="4CB48031" w15:done="0"/>
  <w15:commentEx w15:paraId="0F0E9491" w15:done="0"/>
  <w15:commentEx w15:paraId="04936CD5" w15:done="0"/>
  <w15:commentEx w15:paraId="26C2D7B6" w15:done="0"/>
  <w15:commentEx w15:paraId="1BDA1AAA" w15:done="0"/>
  <w15:commentEx w15:paraId="23183CF2" w15:done="0"/>
  <w15:commentEx w15:paraId="0AE82A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7A1" w:rsidRDefault="00B577A1">
      <w:r>
        <w:separator/>
      </w:r>
    </w:p>
    <w:p w:rsidR="00B577A1" w:rsidRDefault="00B577A1"/>
  </w:endnote>
  <w:endnote w:type="continuationSeparator" w:id="0">
    <w:p w:rsidR="00B577A1" w:rsidRDefault="00B577A1">
      <w:r>
        <w:continuationSeparator/>
      </w:r>
    </w:p>
    <w:p w:rsidR="00B577A1" w:rsidRDefault="00B577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7F40003" w:usb1="BD261F6E" w:usb2="0587883E" w:usb3="2FB602FC" w:csb0="0000016F" w:csb1="016F1A1F"/>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Humnst777 Lt AT">
    <w:altName w:val="Arial"/>
    <w:panose1 w:val="00000000000000000000"/>
    <w:charset w:val="EE"/>
    <w:family w:val="swiss"/>
    <w:notTrueType/>
    <w:pitch w:val="default"/>
    <w:sig w:usb0="00000001" w:usb1="00000000" w:usb2="00000000" w:usb3="00000000" w:csb0="00000003"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yriad Pro Light">
    <w:altName w:val="Arial"/>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ヒラギノ角ゴ Pro W3">
    <w:charset w:val="00"/>
    <w:family w:val="roman"/>
    <w:pitch w:val="default"/>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3F3" w:rsidRDefault="00B853F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816844"/>
      <w:docPartObj>
        <w:docPartGallery w:val="Page Numbers (Bottom of Page)"/>
        <w:docPartUnique/>
      </w:docPartObj>
    </w:sdtPr>
    <w:sdtEndPr>
      <w:rPr>
        <w:noProof/>
      </w:rPr>
    </w:sdtEndPr>
    <w:sdtContent>
      <w:p w:rsidR="00F61B77" w:rsidRDefault="00F61B77" w:rsidP="00BC79C3">
        <w:pPr>
          <w:pStyle w:val="Zpat"/>
          <w:jc w:val="right"/>
        </w:pPr>
        <w:r>
          <w:fldChar w:fldCharType="begin"/>
        </w:r>
        <w:r>
          <w:instrText xml:space="preserve"> PAGE   \* MERGEFORMAT </w:instrText>
        </w:r>
        <w:r>
          <w:fldChar w:fldCharType="separate"/>
        </w:r>
        <w:r w:rsidR="00B853F3">
          <w:rPr>
            <w:noProof/>
          </w:rPr>
          <w:t>16</w:t>
        </w:r>
        <w:r>
          <w:fldChar w:fldCharType="end"/>
        </w:r>
      </w:p>
    </w:sdtContent>
  </w:sdt>
  <w:p w:rsidR="00F61B77" w:rsidRPr="003530AF" w:rsidRDefault="00F61B77" w:rsidP="003530AF">
    <w:pPr>
      <w:pStyle w:val="Zpat"/>
      <w:jc w:val="right"/>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3F3" w:rsidRDefault="00B853F3">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002959"/>
      <w:docPartObj>
        <w:docPartGallery w:val="Page Numbers (Bottom of Page)"/>
        <w:docPartUnique/>
      </w:docPartObj>
    </w:sdtPr>
    <w:sdtEndPr>
      <w:rPr>
        <w:noProof/>
      </w:rPr>
    </w:sdtEndPr>
    <w:sdtContent>
      <w:p w:rsidR="00F61B77" w:rsidRDefault="00F61B77">
        <w:pPr>
          <w:pStyle w:val="Zpat"/>
          <w:jc w:val="right"/>
        </w:pPr>
        <w:r>
          <w:fldChar w:fldCharType="begin"/>
        </w:r>
        <w:r>
          <w:instrText xml:space="preserve"> PAGE   \* MERGEFORMAT </w:instrText>
        </w:r>
        <w:r>
          <w:fldChar w:fldCharType="separate"/>
        </w:r>
        <w:r w:rsidR="00B853F3">
          <w:rPr>
            <w:noProof/>
          </w:rPr>
          <w:t>29</w:t>
        </w:r>
        <w:r>
          <w:rPr>
            <w:noProof/>
          </w:rPr>
          <w:fldChar w:fldCharType="end"/>
        </w:r>
      </w:p>
    </w:sdtContent>
  </w:sdt>
  <w:p w:rsidR="00F61B77" w:rsidRDefault="00F61B77">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233086"/>
      <w:docPartObj>
        <w:docPartGallery w:val="Page Numbers (Bottom of Page)"/>
        <w:docPartUnique/>
      </w:docPartObj>
    </w:sdtPr>
    <w:sdtEndPr>
      <w:rPr>
        <w:noProof/>
      </w:rPr>
    </w:sdtEndPr>
    <w:sdtContent>
      <w:p w:rsidR="00F61B77" w:rsidRDefault="00F61B77">
        <w:pPr>
          <w:pStyle w:val="Zpat"/>
          <w:jc w:val="right"/>
        </w:pPr>
        <w:r>
          <w:fldChar w:fldCharType="begin"/>
        </w:r>
        <w:r>
          <w:instrText xml:space="preserve"> PAGE   \* MERGEFORMAT </w:instrText>
        </w:r>
        <w:r>
          <w:fldChar w:fldCharType="separate"/>
        </w:r>
        <w:r w:rsidR="00870640">
          <w:rPr>
            <w:noProof/>
          </w:rPr>
          <w:t>108</w:t>
        </w:r>
        <w:r>
          <w:rPr>
            <w:noProof/>
          </w:rPr>
          <w:fldChar w:fldCharType="end"/>
        </w:r>
      </w:p>
    </w:sdtContent>
  </w:sdt>
  <w:p w:rsidR="00F61B77" w:rsidRDefault="00F61B7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7A1" w:rsidRDefault="00B577A1">
      <w:r>
        <w:separator/>
      </w:r>
    </w:p>
    <w:p w:rsidR="00B577A1" w:rsidRDefault="00B577A1"/>
  </w:footnote>
  <w:footnote w:type="continuationSeparator" w:id="0">
    <w:p w:rsidR="00B577A1" w:rsidRDefault="00B577A1">
      <w:r>
        <w:continuationSeparator/>
      </w:r>
    </w:p>
    <w:p w:rsidR="00B577A1" w:rsidRDefault="00B577A1"/>
  </w:footnote>
  <w:footnote w:id="1">
    <w:p w:rsidR="00F61B77" w:rsidRDefault="00F61B77" w:rsidP="00DA4E52">
      <w:pPr>
        <w:pStyle w:val="Textpoznpodarou"/>
        <w:spacing w:after="0"/>
      </w:pPr>
      <w:r>
        <w:rPr>
          <w:rStyle w:val="Znakapoznpodarou"/>
        </w:rPr>
        <w:footnoteRef/>
      </w:r>
      <w:r>
        <w:t xml:space="preserve"> Celkově má ČR v rámci programového období 2007-2013 možnost čerpat ze strukturálních fondů 26,7 mld. eur, tudíž alokace prostředků na FN je ve srovnání s tímto objemem minimální. </w:t>
      </w:r>
    </w:p>
  </w:footnote>
  <w:footnote w:id="2">
    <w:p w:rsidR="00F61B77" w:rsidRDefault="00F61B77" w:rsidP="00DA4E52">
      <w:pPr>
        <w:pStyle w:val="Textpoznpodarou"/>
      </w:pPr>
      <w:r>
        <w:rPr>
          <w:rStyle w:val="Znakapoznpodarou"/>
        </w:rPr>
        <w:footnoteRef/>
      </w:r>
      <w:r>
        <w:t xml:space="preserve"> V případě IOP/IROP oblast podpory </w:t>
      </w:r>
    </w:p>
  </w:footnote>
  <w:footnote w:id="3">
    <w:p w:rsidR="00F61B77" w:rsidRDefault="00F61B77" w:rsidP="00DA4E52">
      <w:pPr>
        <w:pStyle w:val="Textpoznpodarou"/>
        <w:spacing w:after="0"/>
      </w:pPr>
      <w:r>
        <w:rPr>
          <w:rStyle w:val="Znakapoznpodarou"/>
        </w:rPr>
        <w:footnoteRef/>
      </w:r>
      <w:r>
        <w:t xml:space="preserve"> V případě nemožnosti využít další alternativní opatření a současně nedostatku finančních prostředků pro plnění cíle energetických úspor alternativním schématem se pro plnění cíle počítá se zavedením systému povinného zvyšování energetické účinnosti.</w:t>
      </w:r>
    </w:p>
  </w:footnote>
  <w:footnote w:id="4">
    <w:p w:rsidR="00F61B77" w:rsidRDefault="00F61B77" w:rsidP="00D36F9D">
      <w:pPr>
        <w:pStyle w:val="Textpoznpodarou"/>
      </w:pPr>
      <w:r>
        <w:rPr>
          <w:rStyle w:val="Znakapoznpodarou"/>
        </w:rPr>
        <w:footnoteRef/>
      </w:r>
      <w:r>
        <w:t xml:space="preserve"> Materiály uvedené v kapitole použitých zdrojů pod čísly 21 - 27</w:t>
      </w:r>
    </w:p>
  </w:footnote>
  <w:footnote w:id="5">
    <w:p w:rsidR="00F61B77" w:rsidRDefault="00F61B77" w:rsidP="00D36F9D">
      <w:pPr>
        <w:pStyle w:val="Textpoznpodarou"/>
        <w:spacing w:after="0"/>
      </w:pPr>
      <w:r>
        <w:rPr>
          <w:rStyle w:val="Znakapoznpodarou"/>
        </w:rPr>
        <w:footnoteRef/>
      </w:r>
      <w:r>
        <w:t xml:space="preserve"> Neuspokojená poptávka = 3400 x 0,6 x 0,95 + 3400 x 0,4 x 0,3= 2 346 mil. Kč </w:t>
      </w:r>
    </w:p>
  </w:footnote>
  <w:footnote w:id="6">
    <w:p w:rsidR="00F61B77" w:rsidRDefault="00F61B77" w:rsidP="00D36F9D">
      <w:pPr>
        <w:pStyle w:val="Textpoznpodarou"/>
        <w:spacing w:after="0"/>
      </w:pPr>
      <w:r>
        <w:rPr>
          <w:rStyle w:val="Znakapoznpodarou"/>
        </w:rPr>
        <w:footnoteRef/>
      </w:r>
      <w:r>
        <w:t xml:space="preserve"> Uvedené závěry modelování obsahují řadu podmínek, předpokladů a zjednodušení – pro kompletní přehled dodavatel doporučuje konzultovat podkladovou studii Šance pro budovy, případně analyzovat údaje v rámci Národního akčního plánu.</w:t>
      </w:r>
    </w:p>
  </w:footnote>
  <w:footnote w:id="7">
    <w:p w:rsidR="00F61B77" w:rsidRDefault="00F61B77" w:rsidP="00D36F9D">
      <w:pPr>
        <w:pStyle w:val="Textpoznpodarou"/>
      </w:pPr>
      <w:r>
        <w:rPr>
          <w:rStyle w:val="Znakapoznpodarou"/>
        </w:rPr>
        <w:footnoteRef/>
      </w:r>
      <w:r>
        <w:t xml:space="preserve"> Pro srovnání byl vybrán účelový hypoteční úvěr jako produkt, který svým zaměřením nejblíže odpovídá úvěrovému produktu, který kryje investiční výdaje revitalizace panelového domu.</w:t>
      </w:r>
    </w:p>
  </w:footnote>
  <w:footnote w:id="8">
    <w:p w:rsidR="00F61B77" w:rsidRDefault="00F61B77" w:rsidP="00F36672">
      <w:pPr>
        <w:pStyle w:val="Textpoznpodarou"/>
      </w:pPr>
      <w:r>
        <w:rPr>
          <w:rStyle w:val="Znakapoznpodarou"/>
        </w:rPr>
        <w:footnoteRef/>
      </w:r>
      <w:r>
        <w:t xml:space="preserve"> Navrhovaný koncept rámcové spolupráce s více bankovními domy zároveň je v minulosti ozkoušeným modelem využití úvěrových finančních nástrojů ve Velké Británii. Pokud jsou nastaveny základní podmínky, které v případě splnění otevřeně umožní spolupráci všech bank na poskytování zvýhodněných úvěrů za identických podmínek, pak není povinné řídit se zákonem o veřejných zakázkách. Analogicky funguje i fungování podpory formou stavebního spoření, kdy</w:t>
      </w:r>
      <w:r w:rsidRPr="009E0840">
        <w:t xml:space="preserve"> stát přidává příspěvky přímo </w:t>
      </w:r>
      <w:r>
        <w:t>fyzickým osobám</w:t>
      </w:r>
      <w:r w:rsidRPr="009E0840">
        <w:t xml:space="preserve">, ale přes účty stavebních spořitelen (byt jsou na </w:t>
      </w:r>
      <w:r>
        <w:t>tuto formu podpory</w:t>
      </w:r>
      <w:r w:rsidRPr="009E0840">
        <w:t xml:space="preserve"> speciální předpisy).</w:t>
      </w:r>
    </w:p>
    <w:p w:rsidR="00F61B77" w:rsidRDefault="00F61B77" w:rsidP="00F36672">
      <w:pPr>
        <w:pStyle w:val="Textpoznpodarou"/>
      </w:pPr>
      <w:r>
        <w:t>Dodavatel doporučuje dále záležitost konzultovat s Úřadem pro ochranu hospodářské soutěže, který se v minulosti již zabýval obdobnými případy, založenými na p</w:t>
      </w:r>
      <w:r w:rsidRPr="009E0840">
        <w:t>rincip neomezeného zapojení třetích osob při splnění předem stanovených podmíne</w:t>
      </w:r>
      <w:r>
        <w:t xml:space="preserve">k – určitá nastavení spolupráce, kdy </w:t>
      </w:r>
      <w:r w:rsidRPr="009E0840">
        <w:t xml:space="preserve">předmětem plnění vůči řídícímu orgánu ze strany bank </w:t>
      </w:r>
      <w:r>
        <w:t xml:space="preserve">jsou </w:t>
      </w:r>
      <w:r w:rsidRPr="009E0840">
        <w:t xml:space="preserve">služby, které budou následně hrazeny jiným subjektem na základě výhradního práva pro jednoho nebo více poskytovatelů služeb, </w:t>
      </w:r>
      <w:r>
        <w:t>existuje</w:t>
      </w:r>
      <w:r w:rsidRPr="009E0840">
        <w:t xml:space="preserve"> riziko, že </w:t>
      </w:r>
      <w:r>
        <w:t>taková situace</w:t>
      </w:r>
      <w:r w:rsidRPr="009E0840">
        <w:t xml:space="preserve"> bude posouzen</w:t>
      </w:r>
      <w:r>
        <w:t>a</w:t>
      </w:r>
      <w:r w:rsidRPr="009E0840">
        <w:t xml:space="preserve"> jako koncese</w:t>
      </w:r>
      <w:r>
        <w:t>.</w:t>
      </w:r>
    </w:p>
    <w:p w:rsidR="00F61B77" w:rsidRDefault="00F61B77" w:rsidP="00F36672">
      <w:pPr>
        <w:pStyle w:val="Textpoznpodarou"/>
      </w:pPr>
      <w:r>
        <w:t xml:space="preserve">Důležité je doplnit, že uvedená oblast spadá do oblasti řešení novelizace zákona o veřejných zakázkách, kdy podle současné podoby návrhu tohoto zákona je pro tyto situace připravena </w:t>
      </w:r>
      <w:r w:rsidRPr="009E0840">
        <w:t xml:space="preserve">výjimka ze zákona, </w:t>
      </w:r>
      <w:r>
        <w:t>tzn.</w:t>
      </w:r>
      <w:r w:rsidRPr="009E0840">
        <w:t xml:space="preserve"> na úvěrové smlouvě nemusí předcházet zadávací řízení podle ZVZ.</w:t>
      </w:r>
      <w:r>
        <w:t xml:space="preserve"> Zákon by měl být účinný k 1. dubnu 2016.</w:t>
      </w:r>
    </w:p>
  </w:footnote>
  <w:footnote w:id="9">
    <w:p w:rsidR="00F61B77" w:rsidRDefault="00F61B77" w:rsidP="00F36672">
      <w:pPr>
        <w:pStyle w:val="Textpoznpodarou"/>
      </w:pPr>
      <w:r>
        <w:rPr>
          <w:rStyle w:val="Znakapoznpodarou"/>
        </w:rPr>
        <w:footnoteRef/>
      </w:r>
      <w:r>
        <w:t xml:space="preserve"> Celková výše příspěvku vyplacená v rámci finančního nástroje a zahrnutá do jednotlivé žádosti o platbu nepřesáhne 25 % celkové výše prostředků určených na daný finanční nástroj; následující žádost o platbu je možné předložit pouze v případě, že bylo vynaloženo jako způsobilé výdaje ve smyslu čl. 42 odst. 1 písm. a), b) a d) Obecného nařízení minimálně 60 % (v případě druhé žádosti o platbu) nebo 85 % (v případě třetí a další žádosti o platbu) částky zahrnuté do předchozí žádosti.</w:t>
      </w:r>
      <w:r w:rsidRPr="00481C0C">
        <w:t xml:space="preserve"> </w:t>
      </w:r>
      <w:r>
        <w:t>K</w:t>
      </w:r>
      <w:r w:rsidRPr="00481C0C">
        <w:t>aždá žádost o průběžnou platbu obsahuje údaj o celkové výši prostředků vyplacených (v případě záruk krytých smlouvami o poskytnutí záruky s konečnými příjemci) v rámci daného finančního nástroje a údaj o výši celkových způsobilých výdajů.</w:t>
      </w:r>
    </w:p>
  </w:footnote>
  <w:footnote w:id="10">
    <w:p w:rsidR="00F61B77" w:rsidRDefault="00F61B77" w:rsidP="00F36672">
      <w:pPr>
        <w:pStyle w:val="Textpoznpodarou"/>
      </w:pPr>
      <w:r>
        <w:rPr>
          <w:rStyle w:val="Znakapoznpodarou"/>
        </w:rPr>
        <w:footnoteRef/>
      </w:r>
      <w:r>
        <w:t xml:space="preserve"> Kroky popisované v tabulce níže ve vazbě na rovinu „zřízení Fondu fondů“ jsou vázány na kladné usnesení</w:t>
      </w:r>
      <w:r w:rsidRPr="00A95623">
        <w:t xml:space="preserve"> vlády č. 85/201</w:t>
      </w:r>
      <w:r>
        <w:t>5</w:t>
      </w:r>
      <w:r w:rsidRPr="00A95623">
        <w:t xml:space="preserve">, </w:t>
      </w:r>
      <w:r>
        <w:t>které indikuje, že v České republice bude budována střešní struktura pro finanční nástroje, ve formě Fondu fondů. Je třeba n</w:t>
      </w:r>
      <w:r w:rsidRPr="00A95623">
        <w:t xml:space="preserve">icméně </w:t>
      </w:r>
      <w:r>
        <w:t xml:space="preserve">doplnit, že </w:t>
      </w:r>
      <w:r w:rsidRPr="00A95623">
        <w:t>stále chybí řada informací, jak bude střešní struktura vybudována a propojena s jednotlivými operačními programy</w:t>
      </w:r>
      <w:r>
        <w:t>, resp. zda vůbec nakonec vznikne vnitrostátním řešením či zapojením EIB.</w:t>
      </w:r>
    </w:p>
  </w:footnote>
  <w:footnote w:id="11">
    <w:p w:rsidR="00F61B77" w:rsidRDefault="00F61B77" w:rsidP="001B31DC">
      <w:pPr>
        <w:pStyle w:val="Textpoznpodarou"/>
      </w:pPr>
      <w:r>
        <w:rPr>
          <w:rStyle w:val="Znakapoznpodarou"/>
        </w:rPr>
        <w:footnoteRef/>
      </w:r>
      <w:r>
        <w:t xml:space="preserve"> Dotace ve výši 70%% v celkové alokaci 16,8 mld. Kč, která bude doplněna vlastními zdroji žadatelů či spolufinancováním bank do výše zbylých 30% (tj. 7,2 mld. Kč), tedy celkem generující investiční aktivitu ve výši 24 mld. Kč.</w:t>
      </w:r>
    </w:p>
  </w:footnote>
  <w:footnote w:id="12">
    <w:p w:rsidR="00F61B77" w:rsidRDefault="00F61B77" w:rsidP="001B31DC">
      <w:pPr>
        <w:pStyle w:val="Textpoznpodarou"/>
      </w:pPr>
      <w:r>
        <w:rPr>
          <w:rStyle w:val="Znakapoznpodarou"/>
        </w:rPr>
        <w:footnoteRef/>
      </w:r>
      <w:r>
        <w:t xml:space="preserve"> Pro přepočet alokace využit kurz 27 Kč/EUR.</w:t>
      </w:r>
    </w:p>
  </w:footnote>
  <w:footnote w:id="13">
    <w:p w:rsidR="00F61B77" w:rsidRDefault="00F61B77">
      <w:pPr>
        <w:pStyle w:val="Textpoznpodarou"/>
      </w:pPr>
      <w:r>
        <w:rPr>
          <w:rStyle w:val="Znakapoznpodarou"/>
        </w:rPr>
        <w:footnoteRef/>
      </w:r>
      <w:r>
        <w:t xml:space="preserve"> </w:t>
      </w:r>
      <w:r w:rsidRPr="005F76EA">
        <w:t>V případě investic, které jsou realizovány v podporovaných oblastech splňujících podmínky čl. 107 odst. 3 písm. a) Smlouvy, lze intenzitu podpory navýšit o 15 procentních bodů a v případě investic, které jsou realizovány v podporovaných oblastech splňujících podmínky čl. 107 odst. 3 písm. c) Smlouvy, o 5 procentních bodů</w:t>
      </w:r>
      <w:r>
        <w:t>.</w:t>
      </w:r>
    </w:p>
  </w:footnote>
  <w:footnote w:id="14">
    <w:p w:rsidR="00F61B77" w:rsidRPr="00654536" w:rsidRDefault="00F61B77">
      <w:pPr>
        <w:pStyle w:val="Textpoznpodarou"/>
      </w:pPr>
      <w:r>
        <w:rPr>
          <w:rStyle w:val="Znakapoznpodarou"/>
        </w:rPr>
        <w:footnoteRef/>
      </w:r>
      <w:r>
        <w:t xml:space="preserve"> Využití režimu </w:t>
      </w:r>
      <w:r w:rsidRPr="001616AE">
        <w:rPr>
          <w:i/>
        </w:rPr>
        <w:t>de minimis</w:t>
      </w:r>
      <w:r>
        <w:t xml:space="preserve"> v praktické rovině neznamená zvýšení limitu intenzity podpory, neboť i za využití článků GBER není hrubý grantový ekvivalent ani z daleka blízko povolené základní maximální hranice podpory dle GBER (30%, resp. 70%), a to ani v případě zapojení dotační složky – modelové příklady poukazují na intenzitu podpory 5 – 13 %. S ohledem na uvedené a s ohledem na skutečnost, že žadatelé mohou mít již limity </w:t>
      </w:r>
      <w:r>
        <w:rPr>
          <w:i/>
        </w:rPr>
        <w:t xml:space="preserve">de minimis </w:t>
      </w:r>
      <w:r>
        <w:t xml:space="preserve">vyčerpány či rezervovány pro využití v jiných projektech (např. v rámci propojení s žádostí v programu PANEL nebo JESSICA) doporučujeme režim </w:t>
      </w:r>
      <w:r>
        <w:rPr>
          <w:i/>
        </w:rPr>
        <w:t xml:space="preserve">de minimis </w:t>
      </w:r>
      <w:r>
        <w:t>umožnit, avšak paralelně nabídnout druhý režim podpory (dle GBER).</w:t>
      </w:r>
    </w:p>
  </w:footnote>
  <w:footnote w:id="15">
    <w:p w:rsidR="00F61B77" w:rsidRDefault="00F61B77">
      <w:pPr>
        <w:pStyle w:val="Textpoznpodarou"/>
      </w:pPr>
      <w:r>
        <w:rPr>
          <w:rStyle w:val="Znakapoznpodarou"/>
        </w:rPr>
        <w:footnoteRef/>
      </w:r>
      <w:r>
        <w:t xml:space="preserve"> Navrhovaná úroková míra  zvýhodněného úvěru ve výši 1,5% p.a. by měla být dostatečně motivační. Dle závěrů dotazníkového šetření čerpali v rámci externího financování respondenti na obdobné investice v minulosti bankovní úvěry s průměrnou sazbou výše 3,89 %. Jakkoliv je nutné reflektovat změnu tržních podmínek a obecné zlevňování peněz, je zřejmé, že rozdíl v sazbách je více než 2 %. Toto zlevnění by mělo být dostatečně motivační – jednak to potvrzují další závěry dotazníkového šetření (až 55% respondentů by uvítalo možnost investovat se zvýhodněným úvěrem), dále pak jednání se zástupci české bankovní asociace (považují obecně zlevnění úvěrů o 1,0 – 1,5 % za dostatečně motivační), dále pak zájem o obdobně fungující stávající nabídky zvýhodněných úvěrů programu JESSICA (nabízející aktuálně úrokovou sazbu výše </w:t>
      </w:r>
      <w:r>
        <w:br/>
        <w:t>0,52 – 2,52 % p.a.), v neposlední řadě v reflexi fungování obdobné podpory na Slovensku (nově spuštěná JESSICA II. n</w:t>
      </w:r>
      <w:r w:rsidRPr="00EA34D5">
        <w:t>abí</w:t>
      </w:r>
      <w:r>
        <w:t>zí sazby zvýhodněného úvěru ve výši 0</w:t>
      </w:r>
      <w:r w:rsidRPr="00EA34D5">
        <w:t>,5 - 3%</w:t>
      </w:r>
      <w:r>
        <w:t xml:space="preserve"> p.a.</w:t>
      </w:r>
      <w:r w:rsidRPr="00EA34D5">
        <w:t xml:space="preserve">, s nejčastějším výskytem nabídky 1,0% p.a). Konečné rozhodnutí o limitu sazby </w:t>
      </w:r>
      <w:r>
        <w:t>nicméně</w:t>
      </w:r>
      <w:r w:rsidRPr="00EA34D5">
        <w:t xml:space="preserve"> náleží ŘO.</w:t>
      </w:r>
    </w:p>
  </w:footnote>
  <w:footnote w:id="16">
    <w:p w:rsidR="00F61B77" w:rsidRDefault="00F61B77">
      <w:pPr>
        <w:pStyle w:val="Textpoznpodarou"/>
      </w:pPr>
      <w:r>
        <w:rPr>
          <w:rStyle w:val="Znakapoznpodarou"/>
        </w:rPr>
        <w:footnoteRef/>
      </w:r>
      <w:r>
        <w:t xml:space="preserve"> Úroková míra na straně spolufinancujícího subjektu je pouze výsledkem analýzy podmínek poskytování úrokové sazby na příbuznou oblast hypotečních úvěrů, která se v průměru pohybuje v oblasti 2,5 % p.a., tedy může se lišit projekt od projektu. Tento údaj je směrodatný pro výpočet cílové úrokové sazby pro příjemce, nicméně nelze jej zaměňovat za proměnnou vstupující do výpočtu hrubého grantového ekvivalentu – kalkulačka HGE počítá s tzv. </w:t>
      </w:r>
      <w:r w:rsidRPr="003546C6">
        <w:rPr>
          <w:i/>
        </w:rPr>
        <w:t>fair rate of return</w:t>
      </w:r>
      <w:r>
        <w:t>, která je do kalkulačky dosazena dle tabulkových hodnot, stanovených Sdělením Evropské komise 2008/C 42/02 a započtením aktuálně platné referenční evropské úrokové sazby.</w:t>
      </w:r>
    </w:p>
  </w:footnote>
  <w:footnote w:id="17">
    <w:p w:rsidR="00F61B77" w:rsidRDefault="00F61B77" w:rsidP="00AD5923">
      <w:pPr>
        <w:pStyle w:val="Textpoznpodarou"/>
        <w:spacing w:after="0"/>
      </w:pPr>
      <w:r>
        <w:rPr>
          <w:rStyle w:val="Znakapoznpodarou"/>
        </w:rPr>
        <w:footnoteRef/>
      </w:r>
      <w:r>
        <w:t xml:space="preserve"> Návrh stropu délky splatnosti úvěru 20 let může být revidován, a to na základě posouzení typových charakteristik očekávaných projektů, které se budou o financování úvěrů Fondu IROP ucházet. Dodavatel limit stanovil po posouzení následujících skutečností: </w:t>
      </w:r>
    </w:p>
    <w:p w:rsidR="00F61B77" w:rsidRDefault="00F61B77" w:rsidP="002D2639">
      <w:pPr>
        <w:pStyle w:val="Textpoznpodarou"/>
        <w:numPr>
          <w:ilvl w:val="0"/>
          <w:numId w:val="56"/>
        </w:numPr>
        <w:spacing w:after="0"/>
        <w:ind w:left="426"/>
      </w:pPr>
      <w:r>
        <w:t xml:space="preserve">Úvěry poskytované vymezením tematicky příbuzných programů JESSICA a PANEL vykazují průměrnou délku splatnosti úvěru 11,4 roku, resp. 13 let. </w:t>
      </w:r>
    </w:p>
    <w:p w:rsidR="00F61B77" w:rsidRDefault="00F61B77" w:rsidP="002D2639">
      <w:pPr>
        <w:pStyle w:val="Textpoznpodarou"/>
        <w:numPr>
          <w:ilvl w:val="0"/>
          <w:numId w:val="56"/>
        </w:numPr>
        <w:spacing w:after="0"/>
        <w:ind w:left="426"/>
      </w:pPr>
      <w:r>
        <w:t>S ohledem na skutečnost, že vymezení podpory IROP ve specifickém cíli 2.5 je striktnější co se způsobilých výdajů týká, kdy je vyřazena podpora opatření typicky bez nebo s minimálním přínosem pro úsporu energie (výtahy, společné prostory), lze očekávat i kratší dobu splatnosti, než u těchto programů. Proto by měl být strop 20 let splatnosti vyhovující.</w:t>
      </w:r>
    </w:p>
  </w:footnote>
  <w:footnote w:id="18">
    <w:p w:rsidR="00F61B77" w:rsidRDefault="00F61B77" w:rsidP="006E41F0">
      <w:pPr>
        <w:pStyle w:val="Textpoznpodarou"/>
      </w:pPr>
      <w:r>
        <w:rPr>
          <w:rStyle w:val="Znakapoznpodarou"/>
        </w:rPr>
        <w:footnoteRef/>
      </w:r>
      <w:r>
        <w:t xml:space="preserve"> Obdobně fungující program JESSICA navázal spolupráci pouze s jednou bankou, navíc na mírně odlišném půdorysu spolupráce, proto je na místě nazývat nově plánované struktury novou zkušeností.</w:t>
      </w:r>
    </w:p>
  </w:footnote>
  <w:footnote w:id="19">
    <w:p w:rsidR="00F61B77" w:rsidRDefault="00F61B77">
      <w:pPr>
        <w:pStyle w:val="Textpoznpodarou"/>
      </w:pPr>
      <w:r>
        <w:rPr>
          <w:rStyle w:val="Znakapoznpodarou"/>
        </w:rPr>
        <w:footnoteRef/>
      </w:r>
      <w:r>
        <w:t xml:space="preserve"> Dodavatel upozorňuje, že potenciální vyplácení manažerské odměny spolufinancujícím subjektům může být nezajímavé s ohledem na cost-benefit posouzení. Potenciální fee v řádu desetin procenta ročně, které by mohlo být k dispozici, by bylo nutné rozdělit mezi všechny spolufinancující subjekty, kterých může být až deset. V takovém případě by transakční náklady spojené s administrativou mohly být v důsledku vyšší, než samotné přínosy takového postupu. Souvztažně by bylo třeba dořešit technické omezení, kdy spolufinancující subjekty se mohou připojovat v průběhu období – fee k rozdělení by se muselo na určité periodické bázi přepočítávat.</w:t>
      </w:r>
    </w:p>
  </w:footnote>
  <w:footnote w:id="20">
    <w:p w:rsidR="00F61B77" w:rsidRDefault="00F61B77" w:rsidP="00190C36">
      <w:pPr>
        <w:pStyle w:val="Textpoznpodarou"/>
      </w:pPr>
      <w:r>
        <w:rPr>
          <w:rStyle w:val="Znakapoznpodarou"/>
        </w:rPr>
        <w:footnoteRef/>
      </w:r>
      <w:r>
        <w:t xml:space="preserve"> </w:t>
      </w:r>
      <w:r w:rsidRPr="005F76EA">
        <w:t>V případě investic, které jsou realizovány v podporovaných oblastech splňujících podmínky čl. 107 odst. 3 písm. a) Smlouvy, lze intenzitu podpory navýšit o 15 procentních bodů a v případě investic, které jsou realizovány v podporovaných oblastech splňujících podmínky čl. 107 odst. 3 písm. c) Smlouvy, o 5 procentních bodů</w:t>
      </w:r>
      <w:r>
        <w:t>.</w:t>
      </w:r>
    </w:p>
  </w:footnote>
  <w:footnote w:id="21">
    <w:p w:rsidR="00F61B77" w:rsidRPr="00654536" w:rsidRDefault="00F61B77" w:rsidP="00190C36">
      <w:pPr>
        <w:pStyle w:val="Textpoznpodarou"/>
      </w:pPr>
      <w:r>
        <w:rPr>
          <w:rStyle w:val="Znakapoznpodarou"/>
        </w:rPr>
        <w:footnoteRef/>
      </w:r>
      <w:r>
        <w:t xml:space="preserve"> </w:t>
      </w:r>
      <w:r w:rsidRPr="007404EC">
        <w:t xml:space="preserve">Využití režimu de minimis v praktické rovině neznamená zvýšení limitu </w:t>
      </w:r>
      <w:r>
        <w:t>výše</w:t>
      </w:r>
      <w:r w:rsidRPr="007404EC">
        <w:t xml:space="preserve"> podpory, neboť i za využití článků GBER není hrubý grantový ekvivalent ani z daleka blízko povolené základní maximální hranice</w:t>
      </w:r>
      <w:r>
        <w:t xml:space="preserve"> výše</w:t>
      </w:r>
      <w:r w:rsidRPr="007404EC">
        <w:t xml:space="preserve"> podpory dle GBER (30%, resp. 70%), a to ani v případě zapojení dotační složky – modelové příklady poukazují na </w:t>
      </w:r>
      <w:r>
        <w:t>výši podpory</w:t>
      </w:r>
      <w:r w:rsidRPr="007404EC">
        <w:t xml:space="preserve"> 5 – 13 %. S ohledem na uvedené a s ohledem na skutečnost, že žadatelé mohou mít již limity de minimis vyčerpány či rezervovány pro využití v jiných projektech (např. v rámci propojení s žádostí v programu PANEL nebo JESSICA) doporučujeme režim de minimis umožnit, avšak paralelně nabídnout druhý režim podpory (dle GBER).</w:t>
      </w:r>
    </w:p>
  </w:footnote>
  <w:footnote w:id="22">
    <w:p w:rsidR="00F61B77" w:rsidRDefault="00F61B77">
      <w:pPr>
        <w:pStyle w:val="Textpoznpodarou"/>
      </w:pPr>
      <w:r>
        <w:rPr>
          <w:rStyle w:val="Znakapoznpodarou"/>
        </w:rPr>
        <w:footnoteRef/>
      </w:r>
      <w:r>
        <w:t xml:space="preserve"> Jak bylo popsáno výše, opožděné spuštění čerpání skrze finanční nástroje efektivně neguje dopady zavedení podpory, která využívá pákového efektu. Důležité je navíc doplnit, že hlavní efekt na indikátory je možné pozorovat až po roce 2020, kdy je počítáno s navýšením čerpání o navrácené prostředky revolvingu.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3F3" w:rsidRDefault="00B853F3">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77" w:rsidRPr="00624DC2" w:rsidRDefault="00F61B77">
    <w:pPr>
      <w:pStyle w:val="Zhlav"/>
      <w:tabs>
        <w:tab w:val="left" w:pos="709"/>
      </w:tabs>
      <w:rPr>
        <w:lang w:val="en-GB"/>
      </w:rPr>
    </w:pPr>
    <w:r>
      <w:rPr>
        <w:noProof/>
        <w:lang w:eastAsia="cs-CZ"/>
      </w:rPr>
      <w:drawing>
        <wp:inline distT="0" distB="0" distL="0" distR="0" wp14:anchorId="310C9AFB" wp14:editId="4BA256D1">
          <wp:extent cx="5757545" cy="77340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0750" t="29712" r="11687" b="51755"/>
                  <a:stretch/>
                </pic:blipFill>
                <pic:spPr bwMode="auto">
                  <a:xfrm>
                    <a:off x="0" y="0"/>
                    <a:ext cx="5863078" cy="7875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40" w:rsidRDefault="00870640" w:rsidP="00870640">
    <w:pPr>
      <w:pStyle w:val="Zhlav"/>
      <w:jc w:val="center"/>
    </w:pPr>
  </w:p>
  <w:p w:rsidR="00F61B77" w:rsidRDefault="00B853F3" w:rsidP="00870640">
    <w:pPr>
      <w:pStyle w:val="Zhlav"/>
      <w:jc w:val="center"/>
    </w:pPr>
    <w:r>
      <w:rPr>
        <w:noProof/>
        <w:lang w:eastAsia="cs-CZ"/>
      </w:rPr>
      <w:drawing>
        <wp:inline distT="0" distB="0" distL="0" distR="0" wp14:anchorId="48EFEC77" wp14:editId="374F62D4">
          <wp:extent cx="5270500" cy="871640"/>
          <wp:effectExtent l="0" t="0" r="6350" b="5080"/>
          <wp:docPr id="13" name="Obrázek 13"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1640"/>
                  </a:xfrm>
                  <a:prstGeom prst="rect">
                    <a:avLst/>
                  </a:prstGeom>
                  <a:noFill/>
                  <a:ln>
                    <a:noFill/>
                  </a:ln>
                </pic:spPr>
              </pic:pic>
            </a:graphicData>
          </a:graphic>
        </wp:inline>
      </w:drawing>
    </w:r>
    <w:bookmarkStart w:id="4" w:name="_GoBack"/>
    <w:bookmarkEnd w:id="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77" w:rsidRPr="00624DC2" w:rsidRDefault="00F61B77">
    <w:pPr>
      <w:pStyle w:val="Zhlav"/>
      <w:tabs>
        <w:tab w:val="left" w:pos="709"/>
      </w:tabs>
      <w:rPr>
        <w:lang w:val="en-G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77" w:rsidRPr="00624DC2" w:rsidRDefault="00F61B77">
    <w:pPr>
      <w:pStyle w:val="Zhlav"/>
      <w:tabs>
        <w:tab w:val="left" w:pos="709"/>
      </w:tabs>
      <w:rPr>
        <w:lang w:val="en-GB"/>
      </w:rPr>
    </w:pPr>
    <w:r>
      <w:rPr>
        <w:noProof/>
        <w:lang w:eastAsia="cs-CZ"/>
      </w:rPr>
      <w:drawing>
        <wp:inline distT="0" distB="0" distL="0" distR="0" wp14:anchorId="68E7D771" wp14:editId="21410802">
          <wp:extent cx="5757545" cy="77340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0750" t="29712" r="11687" b="51755"/>
                  <a:stretch/>
                </pic:blipFill>
                <pic:spPr bwMode="auto">
                  <a:xfrm>
                    <a:off x="0" y="0"/>
                    <a:ext cx="5863078" cy="7875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77" w:rsidRDefault="00F61B77">
    <w:pPr>
      <w:pStyle w:val="Zhlav"/>
    </w:pPr>
    <w:r>
      <w:rPr>
        <w:noProof/>
        <w:lang w:eastAsia="cs-CZ"/>
      </w:rPr>
      <w:drawing>
        <wp:anchor distT="0" distB="0" distL="114300" distR="114300" simplePos="0" relativeHeight="251666432" behindDoc="0" locked="0" layoutInCell="1" allowOverlap="1" wp14:anchorId="6AF0B95B" wp14:editId="3003C0E2">
          <wp:simplePos x="0" y="0"/>
          <wp:positionH relativeFrom="column">
            <wp:posOffset>-2115185</wp:posOffset>
          </wp:positionH>
          <wp:positionV relativeFrom="paragraph">
            <wp:posOffset>24130</wp:posOffset>
          </wp:positionV>
          <wp:extent cx="2261870" cy="431800"/>
          <wp:effectExtent l="0" t="0" r="0" b="0"/>
          <wp:wrapNone/>
          <wp:docPr id="7168" name="Picture 15" descr="Deloitte_no_backgr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oitte_no_background2"/>
                  <pic:cNvPicPr>
                    <a:picLocks noChangeAspect="1" noChangeArrowheads="1"/>
                  </pic:cNvPicPr>
                </pic:nvPicPr>
                <pic:blipFill>
                  <a:blip r:embed="rId1"/>
                  <a:srcRect/>
                  <a:stretch>
                    <a:fillRect/>
                  </a:stretch>
                </pic:blipFill>
                <pic:spPr bwMode="auto">
                  <a:xfrm>
                    <a:off x="0" y="0"/>
                    <a:ext cx="2261870" cy="431800"/>
                  </a:xfrm>
                  <a:prstGeom prst="rect">
                    <a:avLst/>
                  </a:prstGeom>
                  <a:noFill/>
                  <a:ln w="9525">
                    <a:noFill/>
                    <a:miter lim="800000"/>
                    <a:headEnd/>
                    <a:tailEnd/>
                  </a:ln>
                </pic:spPr>
              </pic:pic>
            </a:graphicData>
          </a:graphic>
        </wp:anchor>
      </w:drawing>
    </w:r>
  </w:p>
  <w:p w:rsidR="00F61B77" w:rsidRDefault="00F61B77">
    <w:pPr>
      <w:pStyle w:val="Zhlav"/>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77" w:rsidRDefault="00F61B77">
    <w:pPr>
      <w:pStyle w:val="Zhlav"/>
    </w:pPr>
    <w:r>
      <w:rPr>
        <w:noProof/>
        <w:lang w:eastAsia="cs-CZ"/>
      </w:rPr>
      <w:drawing>
        <wp:anchor distT="0" distB="0" distL="114300" distR="114300" simplePos="0" relativeHeight="251664384" behindDoc="0" locked="0" layoutInCell="1" allowOverlap="1" wp14:anchorId="1B0B7C70" wp14:editId="22B1A277">
          <wp:simplePos x="0" y="0"/>
          <wp:positionH relativeFrom="column">
            <wp:posOffset>-2115185</wp:posOffset>
          </wp:positionH>
          <wp:positionV relativeFrom="paragraph">
            <wp:posOffset>24130</wp:posOffset>
          </wp:positionV>
          <wp:extent cx="2261870" cy="431800"/>
          <wp:effectExtent l="0" t="0" r="0" b="0"/>
          <wp:wrapNone/>
          <wp:docPr id="10" name="Picture 15" descr="Deloitte_no_backgr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oitte_no_background2"/>
                  <pic:cNvPicPr>
                    <a:picLocks noChangeAspect="1" noChangeArrowheads="1"/>
                  </pic:cNvPicPr>
                </pic:nvPicPr>
                <pic:blipFill>
                  <a:blip r:embed="rId1"/>
                  <a:srcRect/>
                  <a:stretch>
                    <a:fillRect/>
                  </a:stretch>
                </pic:blipFill>
                <pic:spPr bwMode="auto">
                  <a:xfrm>
                    <a:off x="0" y="0"/>
                    <a:ext cx="2261870" cy="431800"/>
                  </a:xfrm>
                  <a:prstGeom prst="rect">
                    <a:avLst/>
                  </a:prstGeom>
                  <a:noFill/>
                  <a:ln w="9525">
                    <a:noFill/>
                    <a:miter lim="800000"/>
                    <a:headEnd/>
                    <a:tailEnd/>
                  </a:ln>
                </pic:spPr>
              </pic:pic>
            </a:graphicData>
          </a:graphic>
        </wp:anchor>
      </w:drawing>
    </w:r>
  </w:p>
  <w:p w:rsidR="00F61B77" w:rsidRDefault="00F61B7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501D"/>
    <w:multiLevelType w:val="hybridMultilevel"/>
    <w:tmpl w:val="46080DE0"/>
    <w:lvl w:ilvl="0" w:tplc="0405000B">
      <w:numFmt w:val="bullet"/>
      <w:lvlText w:val=""/>
      <w:lvlJc w:val="left"/>
      <w:pPr>
        <w:ind w:left="720" w:hanging="360"/>
      </w:pPr>
      <w:rPr>
        <w:rFonts w:ascii="Wingdings" w:eastAsia="Times New Roman"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421DDD"/>
    <w:multiLevelType w:val="hybridMultilevel"/>
    <w:tmpl w:val="A3EE7C4A"/>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
    <w:nsid w:val="05386F58"/>
    <w:multiLevelType w:val="hybridMultilevel"/>
    <w:tmpl w:val="9E98D350"/>
    <w:lvl w:ilvl="0" w:tplc="04050001">
      <w:start w:val="1"/>
      <w:numFmt w:val="bullet"/>
      <w:lvlText w:val=""/>
      <w:lvlJc w:val="left"/>
      <w:pPr>
        <w:ind w:left="772" w:hanging="360"/>
      </w:pPr>
      <w:rPr>
        <w:rFonts w:ascii="Symbol" w:hAnsi="Symbol" w:hint="default"/>
      </w:rPr>
    </w:lvl>
    <w:lvl w:ilvl="1" w:tplc="04050003">
      <w:start w:val="1"/>
      <w:numFmt w:val="bullet"/>
      <w:lvlText w:val="o"/>
      <w:lvlJc w:val="left"/>
      <w:pPr>
        <w:ind w:left="1492" w:hanging="360"/>
      </w:pPr>
      <w:rPr>
        <w:rFonts w:ascii="Courier New" w:hAnsi="Courier New" w:cs="Courier New" w:hint="default"/>
      </w:rPr>
    </w:lvl>
    <w:lvl w:ilvl="2" w:tplc="04050005" w:tentative="1">
      <w:start w:val="1"/>
      <w:numFmt w:val="bullet"/>
      <w:lvlText w:val=""/>
      <w:lvlJc w:val="left"/>
      <w:pPr>
        <w:ind w:left="2212" w:hanging="360"/>
      </w:pPr>
      <w:rPr>
        <w:rFonts w:ascii="Wingdings" w:hAnsi="Wingdings" w:hint="default"/>
      </w:rPr>
    </w:lvl>
    <w:lvl w:ilvl="3" w:tplc="04050001" w:tentative="1">
      <w:start w:val="1"/>
      <w:numFmt w:val="bullet"/>
      <w:lvlText w:val=""/>
      <w:lvlJc w:val="left"/>
      <w:pPr>
        <w:ind w:left="2932" w:hanging="360"/>
      </w:pPr>
      <w:rPr>
        <w:rFonts w:ascii="Symbol" w:hAnsi="Symbol" w:hint="default"/>
      </w:rPr>
    </w:lvl>
    <w:lvl w:ilvl="4" w:tplc="04050003" w:tentative="1">
      <w:start w:val="1"/>
      <w:numFmt w:val="bullet"/>
      <w:lvlText w:val="o"/>
      <w:lvlJc w:val="left"/>
      <w:pPr>
        <w:ind w:left="3652" w:hanging="360"/>
      </w:pPr>
      <w:rPr>
        <w:rFonts w:ascii="Courier New" w:hAnsi="Courier New" w:cs="Courier New" w:hint="default"/>
      </w:rPr>
    </w:lvl>
    <w:lvl w:ilvl="5" w:tplc="04050005" w:tentative="1">
      <w:start w:val="1"/>
      <w:numFmt w:val="bullet"/>
      <w:lvlText w:val=""/>
      <w:lvlJc w:val="left"/>
      <w:pPr>
        <w:ind w:left="4372" w:hanging="360"/>
      </w:pPr>
      <w:rPr>
        <w:rFonts w:ascii="Wingdings" w:hAnsi="Wingdings" w:hint="default"/>
      </w:rPr>
    </w:lvl>
    <w:lvl w:ilvl="6" w:tplc="04050001" w:tentative="1">
      <w:start w:val="1"/>
      <w:numFmt w:val="bullet"/>
      <w:lvlText w:val=""/>
      <w:lvlJc w:val="left"/>
      <w:pPr>
        <w:ind w:left="5092" w:hanging="360"/>
      </w:pPr>
      <w:rPr>
        <w:rFonts w:ascii="Symbol" w:hAnsi="Symbol" w:hint="default"/>
      </w:rPr>
    </w:lvl>
    <w:lvl w:ilvl="7" w:tplc="04050003" w:tentative="1">
      <w:start w:val="1"/>
      <w:numFmt w:val="bullet"/>
      <w:lvlText w:val="o"/>
      <w:lvlJc w:val="left"/>
      <w:pPr>
        <w:ind w:left="5812" w:hanging="360"/>
      </w:pPr>
      <w:rPr>
        <w:rFonts w:ascii="Courier New" w:hAnsi="Courier New" w:cs="Courier New" w:hint="default"/>
      </w:rPr>
    </w:lvl>
    <w:lvl w:ilvl="8" w:tplc="04050005" w:tentative="1">
      <w:start w:val="1"/>
      <w:numFmt w:val="bullet"/>
      <w:lvlText w:val=""/>
      <w:lvlJc w:val="left"/>
      <w:pPr>
        <w:ind w:left="6532" w:hanging="360"/>
      </w:pPr>
      <w:rPr>
        <w:rFonts w:ascii="Wingdings" w:hAnsi="Wingdings" w:hint="default"/>
      </w:rPr>
    </w:lvl>
  </w:abstractNum>
  <w:abstractNum w:abstractNumId="3">
    <w:nsid w:val="06714DE7"/>
    <w:multiLevelType w:val="hybridMultilevel"/>
    <w:tmpl w:val="D81AE7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8EA2CB0"/>
    <w:multiLevelType w:val="hybridMultilevel"/>
    <w:tmpl w:val="37D2DD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AC60BC1"/>
    <w:multiLevelType w:val="hybridMultilevel"/>
    <w:tmpl w:val="4BD6DD0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6">
    <w:nsid w:val="0AF80CB0"/>
    <w:multiLevelType w:val="hybridMultilevel"/>
    <w:tmpl w:val="BC2EA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B0E5344"/>
    <w:multiLevelType w:val="hybridMultilevel"/>
    <w:tmpl w:val="4BA8C8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C735875"/>
    <w:multiLevelType w:val="hybridMultilevel"/>
    <w:tmpl w:val="A6FEF1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EBA2353"/>
    <w:multiLevelType w:val="hybridMultilevel"/>
    <w:tmpl w:val="94D886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FA71FB0"/>
    <w:multiLevelType w:val="hybridMultilevel"/>
    <w:tmpl w:val="7C04112C"/>
    <w:lvl w:ilvl="0" w:tplc="0405000B">
      <w:numFmt w:val="bullet"/>
      <w:lvlText w:val=""/>
      <w:lvlJc w:val="left"/>
      <w:pPr>
        <w:ind w:left="720" w:hanging="360"/>
      </w:pPr>
      <w:rPr>
        <w:rFonts w:ascii="Wingdings" w:eastAsia="Times New Roman"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1CC03E1"/>
    <w:multiLevelType w:val="hybridMultilevel"/>
    <w:tmpl w:val="F894C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22A7C70"/>
    <w:multiLevelType w:val="hybridMultilevel"/>
    <w:tmpl w:val="17BE371A"/>
    <w:lvl w:ilvl="0" w:tplc="CDCED5D0">
      <w:start w:val="1"/>
      <w:numFmt w:val="decimal"/>
      <w:lvlText w:val="%1)"/>
      <w:lvlJc w:val="left"/>
      <w:pPr>
        <w:ind w:left="840" w:hanging="345"/>
      </w:pPr>
      <w:rPr>
        <w:rFonts w:ascii="Arial" w:eastAsia="Arial" w:hAnsi="Arial" w:hint="default"/>
        <w:b w:val="0"/>
        <w:spacing w:val="-4"/>
        <w:w w:val="102"/>
        <w:sz w:val="19"/>
        <w:szCs w:val="19"/>
      </w:rPr>
    </w:lvl>
    <w:lvl w:ilvl="1" w:tplc="206644E2">
      <w:start w:val="1"/>
      <w:numFmt w:val="lowerRoman"/>
      <w:lvlText w:val="%2."/>
      <w:lvlJc w:val="left"/>
      <w:pPr>
        <w:ind w:left="1560" w:hanging="705"/>
      </w:pPr>
      <w:rPr>
        <w:rFonts w:ascii="Arial" w:eastAsia="Arial" w:hAnsi="Arial" w:hint="default"/>
        <w:spacing w:val="1"/>
        <w:w w:val="102"/>
        <w:sz w:val="19"/>
        <w:szCs w:val="19"/>
      </w:rPr>
    </w:lvl>
    <w:lvl w:ilvl="2" w:tplc="1D8615EC">
      <w:start w:val="1"/>
      <w:numFmt w:val="bullet"/>
      <w:lvlText w:val="•"/>
      <w:lvlJc w:val="left"/>
      <w:pPr>
        <w:ind w:left="2244" w:hanging="705"/>
      </w:pPr>
      <w:rPr>
        <w:rFonts w:hint="default"/>
      </w:rPr>
    </w:lvl>
    <w:lvl w:ilvl="3" w:tplc="40BCE136">
      <w:start w:val="1"/>
      <w:numFmt w:val="bullet"/>
      <w:lvlText w:val="•"/>
      <w:lvlJc w:val="left"/>
      <w:pPr>
        <w:ind w:left="3198" w:hanging="705"/>
      </w:pPr>
      <w:rPr>
        <w:rFonts w:hint="default"/>
      </w:rPr>
    </w:lvl>
    <w:lvl w:ilvl="4" w:tplc="4E881A62">
      <w:start w:val="1"/>
      <w:numFmt w:val="bullet"/>
      <w:lvlText w:val="•"/>
      <w:lvlJc w:val="left"/>
      <w:pPr>
        <w:ind w:left="4151" w:hanging="705"/>
      </w:pPr>
      <w:rPr>
        <w:rFonts w:hint="default"/>
      </w:rPr>
    </w:lvl>
    <w:lvl w:ilvl="5" w:tplc="AB489B32">
      <w:start w:val="1"/>
      <w:numFmt w:val="bullet"/>
      <w:lvlText w:val="•"/>
      <w:lvlJc w:val="left"/>
      <w:pPr>
        <w:ind w:left="5104" w:hanging="705"/>
      </w:pPr>
      <w:rPr>
        <w:rFonts w:hint="default"/>
      </w:rPr>
    </w:lvl>
    <w:lvl w:ilvl="6" w:tplc="3CF2892E">
      <w:start w:val="1"/>
      <w:numFmt w:val="bullet"/>
      <w:lvlText w:val="•"/>
      <w:lvlJc w:val="left"/>
      <w:pPr>
        <w:ind w:left="6057" w:hanging="705"/>
      </w:pPr>
      <w:rPr>
        <w:rFonts w:hint="default"/>
      </w:rPr>
    </w:lvl>
    <w:lvl w:ilvl="7" w:tplc="4F5043F8">
      <w:start w:val="1"/>
      <w:numFmt w:val="bullet"/>
      <w:lvlText w:val="•"/>
      <w:lvlJc w:val="left"/>
      <w:pPr>
        <w:ind w:left="7010" w:hanging="705"/>
      </w:pPr>
      <w:rPr>
        <w:rFonts w:hint="default"/>
      </w:rPr>
    </w:lvl>
    <w:lvl w:ilvl="8" w:tplc="14FA28BA">
      <w:start w:val="1"/>
      <w:numFmt w:val="bullet"/>
      <w:lvlText w:val="•"/>
      <w:lvlJc w:val="left"/>
      <w:pPr>
        <w:ind w:left="7963" w:hanging="705"/>
      </w:pPr>
      <w:rPr>
        <w:rFonts w:hint="default"/>
      </w:rPr>
    </w:lvl>
  </w:abstractNum>
  <w:abstractNum w:abstractNumId="13">
    <w:nsid w:val="1403704D"/>
    <w:multiLevelType w:val="hybridMultilevel"/>
    <w:tmpl w:val="FE3CF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47B627A"/>
    <w:multiLevelType w:val="hybridMultilevel"/>
    <w:tmpl w:val="3AA42E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4B631CC"/>
    <w:multiLevelType w:val="hybridMultilevel"/>
    <w:tmpl w:val="3580E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5493399"/>
    <w:multiLevelType w:val="hybridMultilevel"/>
    <w:tmpl w:val="72909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5A2249F"/>
    <w:multiLevelType w:val="hybridMultilevel"/>
    <w:tmpl w:val="46CC8AFE"/>
    <w:lvl w:ilvl="0" w:tplc="9034B83A">
      <w:start w:val="1"/>
      <w:numFmt w:val="bullet"/>
      <w:pStyle w:val="Bulletslevel2"/>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163C23A7"/>
    <w:multiLevelType w:val="hybridMultilevel"/>
    <w:tmpl w:val="D7F08F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78F6E40"/>
    <w:multiLevelType w:val="hybridMultilevel"/>
    <w:tmpl w:val="A37E8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8EC4CAE"/>
    <w:multiLevelType w:val="hybridMultilevel"/>
    <w:tmpl w:val="AC665F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1AAE3881"/>
    <w:multiLevelType w:val="hybridMultilevel"/>
    <w:tmpl w:val="E0C6A3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1B9B40BA"/>
    <w:multiLevelType w:val="hybridMultilevel"/>
    <w:tmpl w:val="B7DC17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CCB4506"/>
    <w:multiLevelType w:val="hybridMultilevel"/>
    <w:tmpl w:val="8FA08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DF2728A"/>
    <w:multiLevelType w:val="hybridMultilevel"/>
    <w:tmpl w:val="CA769A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1DFE5F32"/>
    <w:multiLevelType w:val="hybridMultilevel"/>
    <w:tmpl w:val="913083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E985FC1"/>
    <w:multiLevelType w:val="hybridMultilevel"/>
    <w:tmpl w:val="3664EF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1FA65525"/>
    <w:multiLevelType w:val="hybridMultilevel"/>
    <w:tmpl w:val="78C6E5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20866F74"/>
    <w:multiLevelType w:val="hybridMultilevel"/>
    <w:tmpl w:val="E5D6EB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25B3A6F"/>
    <w:multiLevelType w:val="hybridMultilevel"/>
    <w:tmpl w:val="CB4822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3E542A0"/>
    <w:multiLevelType w:val="hybridMultilevel"/>
    <w:tmpl w:val="9014C4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2EB061DB"/>
    <w:multiLevelType w:val="hybridMultilevel"/>
    <w:tmpl w:val="138AE68C"/>
    <w:lvl w:ilvl="0" w:tplc="4E8A8B0A">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2F9E0FBC"/>
    <w:multiLevelType w:val="hybridMultilevel"/>
    <w:tmpl w:val="B5BEDF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2FE7692E"/>
    <w:multiLevelType w:val="hybridMultilevel"/>
    <w:tmpl w:val="A7BA20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3208279E"/>
    <w:multiLevelType w:val="hybridMultilevel"/>
    <w:tmpl w:val="2E8657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32A35935"/>
    <w:multiLevelType w:val="hybridMultilevel"/>
    <w:tmpl w:val="39A4D4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3490241B"/>
    <w:multiLevelType w:val="hybridMultilevel"/>
    <w:tmpl w:val="CB6A5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356A64C5"/>
    <w:multiLevelType w:val="hybridMultilevel"/>
    <w:tmpl w:val="2C88E31C"/>
    <w:lvl w:ilvl="0" w:tplc="04050001">
      <w:start w:val="1"/>
      <w:numFmt w:val="bullet"/>
      <w:lvlText w:val=""/>
      <w:lvlJc w:val="left"/>
      <w:pPr>
        <w:ind w:left="772" w:hanging="360"/>
      </w:pPr>
      <w:rPr>
        <w:rFonts w:ascii="Symbol" w:hAnsi="Symbol" w:hint="default"/>
      </w:rPr>
    </w:lvl>
    <w:lvl w:ilvl="1" w:tplc="04050003">
      <w:start w:val="1"/>
      <w:numFmt w:val="bullet"/>
      <w:lvlText w:val="o"/>
      <w:lvlJc w:val="left"/>
      <w:pPr>
        <w:ind w:left="1492" w:hanging="360"/>
      </w:pPr>
      <w:rPr>
        <w:rFonts w:ascii="Courier New" w:hAnsi="Courier New" w:cs="Courier New" w:hint="default"/>
      </w:rPr>
    </w:lvl>
    <w:lvl w:ilvl="2" w:tplc="04050005" w:tentative="1">
      <w:start w:val="1"/>
      <w:numFmt w:val="bullet"/>
      <w:lvlText w:val=""/>
      <w:lvlJc w:val="left"/>
      <w:pPr>
        <w:ind w:left="2212" w:hanging="360"/>
      </w:pPr>
      <w:rPr>
        <w:rFonts w:ascii="Wingdings" w:hAnsi="Wingdings" w:hint="default"/>
      </w:rPr>
    </w:lvl>
    <w:lvl w:ilvl="3" w:tplc="04050001" w:tentative="1">
      <w:start w:val="1"/>
      <w:numFmt w:val="bullet"/>
      <w:lvlText w:val=""/>
      <w:lvlJc w:val="left"/>
      <w:pPr>
        <w:ind w:left="2932" w:hanging="360"/>
      </w:pPr>
      <w:rPr>
        <w:rFonts w:ascii="Symbol" w:hAnsi="Symbol" w:hint="default"/>
      </w:rPr>
    </w:lvl>
    <w:lvl w:ilvl="4" w:tplc="04050003" w:tentative="1">
      <w:start w:val="1"/>
      <w:numFmt w:val="bullet"/>
      <w:lvlText w:val="o"/>
      <w:lvlJc w:val="left"/>
      <w:pPr>
        <w:ind w:left="3652" w:hanging="360"/>
      </w:pPr>
      <w:rPr>
        <w:rFonts w:ascii="Courier New" w:hAnsi="Courier New" w:cs="Courier New" w:hint="default"/>
      </w:rPr>
    </w:lvl>
    <w:lvl w:ilvl="5" w:tplc="04050005" w:tentative="1">
      <w:start w:val="1"/>
      <w:numFmt w:val="bullet"/>
      <w:lvlText w:val=""/>
      <w:lvlJc w:val="left"/>
      <w:pPr>
        <w:ind w:left="4372" w:hanging="360"/>
      </w:pPr>
      <w:rPr>
        <w:rFonts w:ascii="Wingdings" w:hAnsi="Wingdings" w:hint="default"/>
      </w:rPr>
    </w:lvl>
    <w:lvl w:ilvl="6" w:tplc="04050001" w:tentative="1">
      <w:start w:val="1"/>
      <w:numFmt w:val="bullet"/>
      <w:lvlText w:val=""/>
      <w:lvlJc w:val="left"/>
      <w:pPr>
        <w:ind w:left="5092" w:hanging="360"/>
      </w:pPr>
      <w:rPr>
        <w:rFonts w:ascii="Symbol" w:hAnsi="Symbol" w:hint="default"/>
      </w:rPr>
    </w:lvl>
    <w:lvl w:ilvl="7" w:tplc="04050003" w:tentative="1">
      <w:start w:val="1"/>
      <w:numFmt w:val="bullet"/>
      <w:lvlText w:val="o"/>
      <w:lvlJc w:val="left"/>
      <w:pPr>
        <w:ind w:left="5812" w:hanging="360"/>
      </w:pPr>
      <w:rPr>
        <w:rFonts w:ascii="Courier New" w:hAnsi="Courier New" w:cs="Courier New" w:hint="default"/>
      </w:rPr>
    </w:lvl>
    <w:lvl w:ilvl="8" w:tplc="04050005" w:tentative="1">
      <w:start w:val="1"/>
      <w:numFmt w:val="bullet"/>
      <w:lvlText w:val=""/>
      <w:lvlJc w:val="left"/>
      <w:pPr>
        <w:ind w:left="6532" w:hanging="360"/>
      </w:pPr>
      <w:rPr>
        <w:rFonts w:ascii="Wingdings" w:hAnsi="Wingdings" w:hint="default"/>
      </w:rPr>
    </w:lvl>
  </w:abstractNum>
  <w:abstractNum w:abstractNumId="39">
    <w:nsid w:val="3AF76633"/>
    <w:multiLevelType w:val="hybridMultilevel"/>
    <w:tmpl w:val="212263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3C1D6357"/>
    <w:multiLevelType w:val="hybridMultilevel"/>
    <w:tmpl w:val="8BDA8A9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3DA3466E"/>
    <w:multiLevelType w:val="multilevel"/>
    <w:tmpl w:val="3DAC3968"/>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3F530476"/>
    <w:multiLevelType w:val="hybridMultilevel"/>
    <w:tmpl w:val="020A818C"/>
    <w:lvl w:ilvl="0" w:tplc="EC7871D8">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43">
    <w:nsid w:val="3F642048"/>
    <w:multiLevelType w:val="hybridMultilevel"/>
    <w:tmpl w:val="5C5220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3F7B055B"/>
    <w:multiLevelType w:val="multilevel"/>
    <w:tmpl w:val="1374CEB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5">
    <w:nsid w:val="3FDE78AA"/>
    <w:multiLevelType w:val="hybridMultilevel"/>
    <w:tmpl w:val="938E21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45161F6F"/>
    <w:multiLevelType w:val="hybridMultilevel"/>
    <w:tmpl w:val="1EF286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45ED53A7"/>
    <w:multiLevelType w:val="hybridMultilevel"/>
    <w:tmpl w:val="E5CC8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478E4811"/>
    <w:multiLevelType w:val="hybridMultilevel"/>
    <w:tmpl w:val="E3D4D9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4D770349"/>
    <w:multiLevelType w:val="hybridMultilevel"/>
    <w:tmpl w:val="4AB097A8"/>
    <w:lvl w:ilvl="0" w:tplc="04050001">
      <w:start w:val="1"/>
      <w:numFmt w:val="bullet"/>
      <w:lvlText w:val=""/>
      <w:lvlJc w:val="left"/>
      <w:pPr>
        <w:ind w:left="829" w:hanging="360"/>
      </w:pPr>
      <w:rPr>
        <w:rFonts w:ascii="Symbol" w:hAnsi="Symbol" w:hint="default"/>
      </w:rPr>
    </w:lvl>
    <w:lvl w:ilvl="1" w:tplc="04050003" w:tentative="1">
      <w:start w:val="1"/>
      <w:numFmt w:val="bullet"/>
      <w:lvlText w:val="o"/>
      <w:lvlJc w:val="left"/>
      <w:pPr>
        <w:ind w:left="1549" w:hanging="360"/>
      </w:pPr>
      <w:rPr>
        <w:rFonts w:ascii="Courier New" w:hAnsi="Courier New" w:cs="Courier New" w:hint="default"/>
      </w:rPr>
    </w:lvl>
    <w:lvl w:ilvl="2" w:tplc="04050005" w:tentative="1">
      <w:start w:val="1"/>
      <w:numFmt w:val="bullet"/>
      <w:lvlText w:val=""/>
      <w:lvlJc w:val="left"/>
      <w:pPr>
        <w:ind w:left="2269" w:hanging="360"/>
      </w:pPr>
      <w:rPr>
        <w:rFonts w:ascii="Wingdings" w:hAnsi="Wingdings" w:hint="default"/>
      </w:rPr>
    </w:lvl>
    <w:lvl w:ilvl="3" w:tplc="04050001" w:tentative="1">
      <w:start w:val="1"/>
      <w:numFmt w:val="bullet"/>
      <w:lvlText w:val=""/>
      <w:lvlJc w:val="left"/>
      <w:pPr>
        <w:ind w:left="2989" w:hanging="360"/>
      </w:pPr>
      <w:rPr>
        <w:rFonts w:ascii="Symbol" w:hAnsi="Symbol" w:hint="default"/>
      </w:rPr>
    </w:lvl>
    <w:lvl w:ilvl="4" w:tplc="04050003" w:tentative="1">
      <w:start w:val="1"/>
      <w:numFmt w:val="bullet"/>
      <w:lvlText w:val="o"/>
      <w:lvlJc w:val="left"/>
      <w:pPr>
        <w:ind w:left="3709" w:hanging="360"/>
      </w:pPr>
      <w:rPr>
        <w:rFonts w:ascii="Courier New" w:hAnsi="Courier New" w:cs="Courier New" w:hint="default"/>
      </w:rPr>
    </w:lvl>
    <w:lvl w:ilvl="5" w:tplc="04050005" w:tentative="1">
      <w:start w:val="1"/>
      <w:numFmt w:val="bullet"/>
      <w:lvlText w:val=""/>
      <w:lvlJc w:val="left"/>
      <w:pPr>
        <w:ind w:left="4429" w:hanging="360"/>
      </w:pPr>
      <w:rPr>
        <w:rFonts w:ascii="Wingdings" w:hAnsi="Wingdings" w:hint="default"/>
      </w:rPr>
    </w:lvl>
    <w:lvl w:ilvl="6" w:tplc="04050001" w:tentative="1">
      <w:start w:val="1"/>
      <w:numFmt w:val="bullet"/>
      <w:lvlText w:val=""/>
      <w:lvlJc w:val="left"/>
      <w:pPr>
        <w:ind w:left="5149" w:hanging="360"/>
      </w:pPr>
      <w:rPr>
        <w:rFonts w:ascii="Symbol" w:hAnsi="Symbol" w:hint="default"/>
      </w:rPr>
    </w:lvl>
    <w:lvl w:ilvl="7" w:tplc="04050003" w:tentative="1">
      <w:start w:val="1"/>
      <w:numFmt w:val="bullet"/>
      <w:lvlText w:val="o"/>
      <w:lvlJc w:val="left"/>
      <w:pPr>
        <w:ind w:left="5869" w:hanging="360"/>
      </w:pPr>
      <w:rPr>
        <w:rFonts w:ascii="Courier New" w:hAnsi="Courier New" w:cs="Courier New" w:hint="default"/>
      </w:rPr>
    </w:lvl>
    <w:lvl w:ilvl="8" w:tplc="04050005" w:tentative="1">
      <w:start w:val="1"/>
      <w:numFmt w:val="bullet"/>
      <w:lvlText w:val=""/>
      <w:lvlJc w:val="left"/>
      <w:pPr>
        <w:ind w:left="6589" w:hanging="360"/>
      </w:pPr>
      <w:rPr>
        <w:rFonts w:ascii="Wingdings" w:hAnsi="Wingdings" w:hint="default"/>
      </w:rPr>
    </w:lvl>
  </w:abstractNum>
  <w:abstractNum w:abstractNumId="50">
    <w:nsid w:val="4DD82CE9"/>
    <w:multiLevelType w:val="hybridMultilevel"/>
    <w:tmpl w:val="595EC7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50337AD3"/>
    <w:multiLevelType w:val="hybridMultilevel"/>
    <w:tmpl w:val="18864C1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51365CE1"/>
    <w:multiLevelType w:val="hybridMultilevel"/>
    <w:tmpl w:val="F34A19B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52B24728"/>
    <w:multiLevelType w:val="hybridMultilevel"/>
    <w:tmpl w:val="AF62CA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530F359A"/>
    <w:multiLevelType w:val="hybridMultilevel"/>
    <w:tmpl w:val="74E01E8A"/>
    <w:lvl w:ilvl="0" w:tplc="E05223D4">
      <w:start w:val="1"/>
      <w:numFmt w:val="upperLetter"/>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5513742B"/>
    <w:multiLevelType w:val="hybridMultilevel"/>
    <w:tmpl w:val="E2845D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56147E87"/>
    <w:multiLevelType w:val="hybridMultilevel"/>
    <w:tmpl w:val="41E67DDA"/>
    <w:lvl w:ilvl="0" w:tplc="2E34EA7E">
      <w:start w:val="1"/>
      <w:numFmt w:val="bullet"/>
      <w:lvlText w:val="•"/>
      <w:lvlJc w:val="left"/>
      <w:pPr>
        <w:tabs>
          <w:tab w:val="num" w:pos="360"/>
        </w:tabs>
        <w:ind w:left="360" w:hanging="360"/>
      </w:pPr>
      <w:rPr>
        <w:rFonts w:ascii="Times New Roman" w:hAnsi="Times New Roman" w:hint="default"/>
      </w:rPr>
    </w:lvl>
    <w:lvl w:ilvl="1" w:tplc="0405001B">
      <w:start w:val="1"/>
      <w:numFmt w:val="lowerRoman"/>
      <w:lvlText w:val="%2."/>
      <w:lvlJc w:val="right"/>
      <w:pPr>
        <w:tabs>
          <w:tab w:val="num" w:pos="1080"/>
        </w:tabs>
        <w:ind w:left="1080" w:hanging="360"/>
      </w:pPr>
      <w:rPr>
        <w:rFonts w:hint="default"/>
      </w:rPr>
    </w:lvl>
    <w:lvl w:ilvl="2" w:tplc="55F055E2">
      <w:start w:val="1"/>
      <w:numFmt w:val="bullet"/>
      <w:lvlText w:val="•"/>
      <w:lvlJc w:val="left"/>
      <w:pPr>
        <w:tabs>
          <w:tab w:val="num" w:pos="1800"/>
        </w:tabs>
        <w:ind w:left="1800" w:hanging="360"/>
      </w:pPr>
      <w:rPr>
        <w:rFonts w:ascii="Times New Roman" w:hAnsi="Times New Roman" w:hint="default"/>
      </w:rPr>
    </w:lvl>
    <w:lvl w:ilvl="3" w:tplc="2AA0A352" w:tentative="1">
      <w:start w:val="1"/>
      <w:numFmt w:val="bullet"/>
      <w:lvlText w:val="•"/>
      <w:lvlJc w:val="left"/>
      <w:pPr>
        <w:tabs>
          <w:tab w:val="num" w:pos="2520"/>
        </w:tabs>
        <w:ind w:left="2520" w:hanging="360"/>
      </w:pPr>
      <w:rPr>
        <w:rFonts w:ascii="Times New Roman" w:hAnsi="Times New Roman" w:hint="default"/>
      </w:rPr>
    </w:lvl>
    <w:lvl w:ilvl="4" w:tplc="05B681C6" w:tentative="1">
      <w:start w:val="1"/>
      <w:numFmt w:val="bullet"/>
      <w:lvlText w:val="•"/>
      <w:lvlJc w:val="left"/>
      <w:pPr>
        <w:tabs>
          <w:tab w:val="num" w:pos="3240"/>
        </w:tabs>
        <w:ind w:left="3240" w:hanging="360"/>
      </w:pPr>
      <w:rPr>
        <w:rFonts w:ascii="Times New Roman" w:hAnsi="Times New Roman" w:hint="default"/>
      </w:rPr>
    </w:lvl>
    <w:lvl w:ilvl="5" w:tplc="313E9C1C" w:tentative="1">
      <w:start w:val="1"/>
      <w:numFmt w:val="bullet"/>
      <w:lvlText w:val="•"/>
      <w:lvlJc w:val="left"/>
      <w:pPr>
        <w:tabs>
          <w:tab w:val="num" w:pos="3960"/>
        </w:tabs>
        <w:ind w:left="3960" w:hanging="360"/>
      </w:pPr>
      <w:rPr>
        <w:rFonts w:ascii="Times New Roman" w:hAnsi="Times New Roman" w:hint="default"/>
      </w:rPr>
    </w:lvl>
    <w:lvl w:ilvl="6" w:tplc="5FF6CB1C" w:tentative="1">
      <w:start w:val="1"/>
      <w:numFmt w:val="bullet"/>
      <w:lvlText w:val="•"/>
      <w:lvlJc w:val="left"/>
      <w:pPr>
        <w:tabs>
          <w:tab w:val="num" w:pos="4680"/>
        </w:tabs>
        <w:ind w:left="4680" w:hanging="360"/>
      </w:pPr>
      <w:rPr>
        <w:rFonts w:ascii="Times New Roman" w:hAnsi="Times New Roman" w:hint="default"/>
      </w:rPr>
    </w:lvl>
    <w:lvl w:ilvl="7" w:tplc="8618AAB8" w:tentative="1">
      <w:start w:val="1"/>
      <w:numFmt w:val="bullet"/>
      <w:lvlText w:val="•"/>
      <w:lvlJc w:val="left"/>
      <w:pPr>
        <w:tabs>
          <w:tab w:val="num" w:pos="5400"/>
        </w:tabs>
        <w:ind w:left="5400" w:hanging="360"/>
      </w:pPr>
      <w:rPr>
        <w:rFonts w:ascii="Times New Roman" w:hAnsi="Times New Roman" w:hint="default"/>
      </w:rPr>
    </w:lvl>
    <w:lvl w:ilvl="8" w:tplc="E5184B92" w:tentative="1">
      <w:start w:val="1"/>
      <w:numFmt w:val="bullet"/>
      <w:lvlText w:val="•"/>
      <w:lvlJc w:val="left"/>
      <w:pPr>
        <w:tabs>
          <w:tab w:val="num" w:pos="6120"/>
        </w:tabs>
        <w:ind w:left="6120" w:hanging="360"/>
      </w:pPr>
      <w:rPr>
        <w:rFonts w:ascii="Times New Roman" w:hAnsi="Times New Roman" w:hint="default"/>
      </w:rPr>
    </w:lvl>
  </w:abstractNum>
  <w:abstractNum w:abstractNumId="57">
    <w:nsid w:val="57FD3D0F"/>
    <w:multiLevelType w:val="hybridMultilevel"/>
    <w:tmpl w:val="DC16C0B0"/>
    <w:lvl w:ilvl="0" w:tplc="04050001">
      <w:start w:val="1"/>
      <w:numFmt w:val="bullet"/>
      <w:lvlText w:val=""/>
      <w:lvlJc w:val="left"/>
      <w:pPr>
        <w:ind w:left="720" w:hanging="465"/>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59B54C4E"/>
    <w:multiLevelType w:val="hybridMultilevel"/>
    <w:tmpl w:val="26AC03D0"/>
    <w:lvl w:ilvl="0" w:tplc="B7A8557E">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59">
    <w:nsid w:val="5B8301AF"/>
    <w:multiLevelType w:val="hybridMultilevel"/>
    <w:tmpl w:val="941099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5D542A3F"/>
    <w:multiLevelType w:val="hybridMultilevel"/>
    <w:tmpl w:val="606212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5E830577"/>
    <w:multiLevelType w:val="hybridMultilevel"/>
    <w:tmpl w:val="D03E83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61BE0F2F"/>
    <w:multiLevelType w:val="hybridMultilevel"/>
    <w:tmpl w:val="6D3E50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62437ECA"/>
    <w:multiLevelType w:val="hybridMultilevel"/>
    <w:tmpl w:val="CD444E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62A4744F"/>
    <w:multiLevelType w:val="multilevel"/>
    <w:tmpl w:val="1054E2D0"/>
    <w:lvl w:ilvl="0">
      <w:start w:val="1"/>
      <w:numFmt w:val="decimal"/>
      <w:pStyle w:val="smlouvaheading1"/>
      <w:lvlText w:val="%1"/>
      <w:lvlJc w:val="left"/>
      <w:pPr>
        <w:ind w:left="360" w:hanging="360"/>
      </w:pPr>
      <w:rPr>
        <w:rFonts w:ascii="Arial" w:hAnsi="Arial" w:hint="default"/>
        <w:b/>
        <w:i w:val="0"/>
        <w:sz w:val="19"/>
      </w:rPr>
    </w:lvl>
    <w:lvl w:ilvl="1">
      <w:start w:val="1"/>
      <w:numFmt w:val="decimal"/>
      <w:pStyle w:val="smlouvaheading2"/>
      <w:lvlText w:val="%1.%2"/>
      <w:lvlJc w:val="left"/>
      <w:pPr>
        <w:ind w:left="720" w:hanging="360"/>
      </w:pPr>
      <w:rPr>
        <w:rFonts w:ascii="Arial" w:hAnsi="Arial" w:hint="default"/>
        <w:b w:val="0"/>
        <w:i w:val="0"/>
        <w:sz w:val="19"/>
      </w:rPr>
    </w:lvl>
    <w:lvl w:ilvl="2">
      <w:start w:val="1"/>
      <w:numFmt w:val="decimal"/>
      <w:pStyle w:val="smlouvaheading3"/>
      <w:lvlText w:val="%1.%2.%3"/>
      <w:lvlJc w:val="left"/>
      <w:pPr>
        <w:ind w:left="1080" w:hanging="360"/>
      </w:pPr>
      <w:rPr>
        <w:rFonts w:ascii="Arial" w:hAnsi="Arial" w:hint="default"/>
        <w:b w:val="0"/>
        <w:i w:val="0"/>
        <w:sz w:val="19"/>
      </w:rPr>
    </w:lvl>
    <w:lvl w:ilvl="3">
      <w:start w:val="1"/>
      <w:numFmt w:val="decimal"/>
      <w:pStyle w:val="smlouvaheading4"/>
      <w:lvlText w:val="%1.%2.%3.%4"/>
      <w:lvlJc w:val="left"/>
      <w:pPr>
        <w:ind w:left="1440" w:hanging="360"/>
      </w:pPr>
      <w:rPr>
        <w:rFonts w:ascii="Arial" w:hAnsi="Arial" w:hint="default"/>
        <w:b w:val="0"/>
        <w:i w:val="0"/>
        <w:sz w:val="19"/>
      </w:rPr>
    </w:lvl>
    <w:lvl w:ilvl="4">
      <w:start w:val="1"/>
      <w:numFmt w:val="none"/>
      <w:lvlText w:val=""/>
      <w:lvlJc w:val="left"/>
      <w:pPr>
        <w:ind w:left="1800" w:hanging="360"/>
      </w:pPr>
      <w:rPr>
        <w:rFonts w:ascii="Arial" w:hAnsi="Arial" w:hint="default"/>
        <w:b w:val="0"/>
        <w:i/>
        <w:sz w:val="19"/>
      </w:rPr>
    </w:lvl>
    <w:lvl w:ilvl="5">
      <w:start w:val="1"/>
      <w:numFmt w:val="none"/>
      <w:lvlText w:val=""/>
      <w:lvlJc w:val="left"/>
      <w:pPr>
        <w:ind w:left="2160" w:hanging="360"/>
      </w:pPr>
      <w:rPr>
        <w:rFonts w:ascii="Arial" w:hAnsi="Arial" w:hint="default"/>
        <w:b w:val="0"/>
        <w:i/>
        <w:sz w:val="19"/>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34935A9"/>
    <w:multiLevelType w:val="hybridMultilevel"/>
    <w:tmpl w:val="FDAA157A"/>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370036C"/>
    <w:multiLevelType w:val="hybridMultilevel"/>
    <w:tmpl w:val="940C01A0"/>
    <w:lvl w:ilvl="0" w:tplc="0405000B">
      <w:numFmt w:val="bullet"/>
      <w:lvlText w:val=""/>
      <w:lvlJc w:val="left"/>
      <w:pPr>
        <w:ind w:left="720" w:hanging="360"/>
      </w:pPr>
      <w:rPr>
        <w:rFonts w:ascii="Wingdings" w:eastAsia="Times New Roman"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65541CFF"/>
    <w:multiLevelType w:val="hybridMultilevel"/>
    <w:tmpl w:val="46DCF08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nsid w:val="69720739"/>
    <w:multiLevelType w:val="hybridMultilevel"/>
    <w:tmpl w:val="1006FD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6AAD31B1"/>
    <w:multiLevelType w:val="hybridMultilevel"/>
    <w:tmpl w:val="2E9EE0E8"/>
    <w:lvl w:ilvl="0" w:tplc="04050001">
      <w:start w:val="1"/>
      <w:numFmt w:val="bullet"/>
      <w:lvlText w:val=""/>
      <w:lvlJc w:val="left"/>
      <w:pPr>
        <w:ind w:left="774" w:hanging="360"/>
      </w:pPr>
      <w:rPr>
        <w:rFonts w:ascii="Symbol" w:hAnsi="Symbol" w:hint="default"/>
      </w:rPr>
    </w:lvl>
    <w:lvl w:ilvl="1" w:tplc="04050003">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7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71">
    <w:nsid w:val="6C0844A3"/>
    <w:multiLevelType w:val="hybridMultilevel"/>
    <w:tmpl w:val="46DCF08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nsid w:val="6EA1655A"/>
    <w:multiLevelType w:val="hybridMultilevel"/>
    <w:tmpl w:val="0D4A0D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722830FF"/>
    <w:multiLevelType w:val="hybridMultilevel"/>
    <w:tmpl w:val="D394920A"/>
    <w:lvl w:ilvl="0" w:tplc="04050001">
      <w:start w:val="1"/>
      <w:numFmt w:val="bullet"/>
      <w:lvlText w:val=""/>
      <w:lvlJc w:val="left"/>
      <w:pPr>
        <w:ind w:left="975" w:hanging="360"/>
      </w:pPr>
      <w:rPr>
        <w:rFonts w:ascii="Symbol" w:hAnsi="Symbol" w:hint="default"/>
      </w:rPr>
    </w:lvl>
    <w:lvl w:ilvl="1" w:tplc="04050003" w:tentative="1">
      <w:start w:val="1"/>
      <w:numFmt w:val="bullet"/>
      <w:lvlText w:val="o"/>
      <w:lvlJc w:val="left"/>
      <w:pPr>
        <w:ind w:left="1695" w:hanging="360"/>
      </w:pPr>
      <w:rPr>
        <w:rFonts w:ascii="Courier New" w:hAnsi="Courier New" w:cs="Courier New" w:hint="default"/>
      </w:rPr>
    </w:lvl>
    <w:lvl w:ilvl="2" w:tplc="04050005" w:tentative="1">
      <w:start w:val="1"/>
      <w:numFmt w:val="bullet"/>
      <w:lvlText w:val=""/>
      <w:lvlJc w:val="left"/>
      <w:pPr>
        <w:ind w:left="2415" w:hanging="360"/>
      </w:pPr>
      <w:rPr>
        <w:rFonts w:ascii="Wingdings" w:hAnsi="Wingdings" w:hint="default"/>
      </w:rPr>
    </w:lvl>
    <w:lvl w:ilvl="3" w:tplc="04050001" w:tentative="1">
      <w:start w:val="1"/>
      <w:numFmt w:val="bullet"/>
      <w:lvlText w:val=""/>
      <w:lvlJc w:val="left"/>
      <w:pPr>
        <w:ind w:left="3135" w:hanging="360"/>
      </w:pPr>
      <w:rPr>
        <w:rFonts w:ascii="Symbol" w:hAnsi="Symbol" w:hint="default"/>
      </w:rPr>
    </w:lvl>
    <w:lvl w:ilvl="4" w:tplc="04050003" w:tentative="1">
      <w:start w:val="1"/>
      <w:numFmt w:val="bullet"/>
      <w:lvlText w:val="o"/>
      <w:lvlJc w:val="left"/>
      <w:pPr>
        <w:ind w:left="3855" w:hanging="360"/>
      </w:pPr>
      <w:rPr>
        <w:rFonts w:ascii="Courier New" w:hAnsi="Courier New" w:cs="Courier New" w:hint="default"/>
      </w:rPr>
    </w:lvl>
    <w:lvl w:ilvl="5" w:tplc="04050005" w:tentative="1">
      <w:start w:val="1"/>
      <w:numFmt w:val="bullet"/>
      <w:lvlText w:val=""/>
      <w:lvlJc w:val="left"/>
      <w:pPr>
        <w:ind w:left="4575" w:hanging="360"/>
      </w:pPr>
      <w:rPr>
        <w:rFonts w:ascii="Wingdings" w:hAnsi="Wingdings" w:hint="default"/>
      </w:rPr>
    </w:lvl>
    <w:lvl w:ilvl="6" w:tplc="04050001" w:tentative="1">
      <w:start w:val="1"/>
      <w:numFmt w:val="bullet"/>
      <w:lvlText w:val=""/>
      <w:lvlJc w:val="left"/>
      <w:pPr>
        <w:ind w:left="5295" w:hanging="360"/>
      </w:pPr>
      <w:rPr>
        <w:rFonts w:ascii="Symbol" w:hAnsi="Symbol" w:hint="default"/>
      </w:rPr>
    </w:lvl>
    <w:lvl w:ilvl="7" w:tplc="04050003" w:tentative="1">
      <w:start w:val="1"/>
      <w:numFmt w:val="bullet"/>
      <w:lvlText w:val="o"/>
      <w:lvlJc w:val="left"/>
      <w:pPr>
        <w:ind w:left="6015" w:hanging="360"/>
      </w:pPr>
      <w:rPr>
        <w:rFonts w:ascii="Courier New" w:hAnsi="Courier New" w:cs="Courier New" w:hint="default"/>
      </w:rPr>
    </w:lvl>
    <w:lvl w:ilvl="8" w:tplc="04050005" w:tentative="1">
      <w:start w:val="1"/>
      <w:numFmt w:val="bullet"/>
      <w:lvlText w:val=""/>
      <w:lvlJc w:val="left"/>
      <w:pPr>
        <w:ind w:left="6735" w:hanging="360"/>
      </w:pPr>
      <w:rPr>
        <w:rFonts w:ascii="Wingdings" w:hAnsi="Wingdings" w:hint="default"/>
      </w:rPr>
    </w:lvl>
  </w:abstractNum>
  <w:abstractNum w:abstractNumId="74">
    <w:nsid w:val="73B0670B"/>
    <w:multiLevelType w:val="hybridMultilevel"/>
    <w:tmpl w:val="6D40BC86"/>
    <w:lvl w:ilvl="0" w:tplc="185A853E">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nsid w:val="7A042E1C"/>
    <w:multiLevelType w:val="hybridMultilevel"/>
    <w:tmpl w:val="4E965330"/>
    <w:lvl w:ilvl="0" w:tplc="DF020D94">
      <w:start w:val="1"/>
      <w:numFmt w:val="bullet"/>
      <w:lvlText w:val="•"/>
      <w:lvlJc w:val="left"/>
      <w:pPr>
        <w:tabs>
          <w:tab w:val="num" w:pos="720"/>
        </w:tabs>
        <w:ind w:left="720" w:hanging="360"/>
      </w:pPr>
      <w:rPr>
        <w:rFonts w:ascii="Arial" w:hAnsi="Arial" w:hint="default"/>
      </w:rPr>
    </w:lvl>
    <w:lvl w:ilvl="1" w:tplc="479E054E" w:tentative="1">
      <w:start w:val="1"/>
      <w:numFmt w:val="bullet"/>
      <w:lvlText w:val="•"/>
      <w:lvlJc w:val="left"/>
      <w:pPr>
        <w:tabs>
          <w:tab w:val="num" w:pos="1440"/>
        </w:tabs>
        <w:ind w:left="1440" w:hanging="360"/>
      </w:pPr>
      <w:rPr>
        <w:rFonts w:ascii="Arial" w:hAnsi="Arial" w:hint="default"/>
      </w:rPr>
    </w:lvl>
    <w:lvl w:ilvl="2" w:tplc="DED89FA2" w:tentative="1">
      <w:start w:val="1"/>
      <w:numFmt w:val="bullet"/>
      <w:lvlText w:val="•"/>
      <w:lvlJc w:val="left"/>
      <w:pPr>
        <w:tabs>
          <w:tab w:val="num" w:pos="2160"/>
        </w:tabs>
        <w:ind w:left="2160" w:hanging="360"/>
      </w:pPr>
      <w:rPr>
        <w:rFonts w:ascii="Arial" w:hAnsi="Arial" w:hint="default"/>
      </w:rPr>
    </w:lvl>
    <w:lvl w:ilvl="3" w:tplc="7346C342" w:tentative="1">
      <w:start w:val="1"/>
      <w:numFmt w:val="bullet"/>
      <w:lvlText w:val="•"/>
      <w:lvlJc w:val="left"/>
      <w:pPr>
        <w:tabs>
          <w:tab w:val="num" w:pos="2880"/>
        </w:tabs>
        <w:ind w:left="2880" w:hanging="360"/>
      </w:pPr>
      <w:rPr>
        <w:rFonts w:ascii="Arial" w:hAnsi="Arial" w:hint="default"/>
      </w:rPr>
    </w:lvl>
    <w:lvl w:ilvl="4" w:tplc="5D841464" w:tentative="1">
      <w:start w:val="1"/>
      <w:numFmt w:val="bullet"/>
      <w:lvlText w:val="•"/>
      <w:lvlJc w:val="left"/>
      <w:pPr>
        <w:tabs>
          <w:tab w:val="num" w:pos="3600"/>
        </w:tabs>
        <w:ind w:left="3600" w:hanging="360"/>
      </w:pPr>
      <w:rPr>
        <w:rFonts w:ascii="Arial" w:hAnsi="Arial" w:hint="default"/>
      </w:rPr>
    </w:lvl>
    <w:lvl w:ilvl="5" w:tplc="8E1097D4" w:tentative="1">
      <w:start w:val="1"/>
      <w:numFmt w:val="bullet"/>
      <w:lvlText w:val="•"/>
      <w:lvlJc w:val="left"/>
      <w:pPr>
        <w:tabs>
          <w:tab w:val="num" w:pos="4320"/>
        </w:tabs>
        <w:ind w:left="4320" w:hanging="360"/>
      </w:pPr>
      <w:rPr>
        <w:rFonts w:ascii="Arial" w:hAnsi="Arial" w:hint="default"/>
      </w:rPr>
    </w:lvl>
    <w:lvl w:ilvl="6" w:tplc="30FA49CC" w:tentative="1">
      <w:start w:val="1"/>
      <w:numFmt w:val="bullet"/>
      <w:lvlText w:val="•"/>
      <w:lvlJc w:val="left"/>
      <w:pPr>
        <w:tabs>
          <w:tab w:val="num" w:pos="5040"/>
        </w:tabs>
        <w:ind w:left="5040" w:hanging="360"/>
      </w:pPr>
      <w:rPr>
        <w:rFonts w:ascii="Arial" w:hAnsi="Arial" w:hint="default"/>
      </w:rPr>
    </w:lvl>
    <w:lvl w:ilvl="7" w:tplc="9C0E4F5A" w:tentative="1">
      <w:start w:val="1"/>
      <w:numFmt w:val="bullet"/>
      <w:lvlText w:val="•"/>
      <w:lvlJc w:val="left"/>
      <w:pPr>
        <w:tabs>
          <w:tab w:val="num" w:pos="5760"/>
        </w:tabs>
        <w:ind w:left="5760" w:hanging="360"/>
      </w:pPr>
      <w:rPr>
        <w:rFonts w:ascii="Arial" w:hAnsi="Arial" w:hint="default"/>
      </w:rPr>
    </w:lvl>
    <w:lvl w:ilvl="8" w:tplc="8A38F794" w:tentative="1">
      <w:start w:val="1"/>
      <w:numFmt w:val="bullet"/>
      <w:lvlText w:val="•"/>
      <w:lvlJc w:val="left"/>
      <w:pPr>
        <w:tabs>
          <w:tab w:val="num" w:pos="6480"/>
        </w:tabs>
        <w:ind w:left="6480" w:hanging="360"/>
      </w:pPr>
      <w:rPr>
        <w:rFonts w:ascii="Arial" w:hAnsi="Arial" w:hint="default"/>
      </w:rPr>
    </w:lvl>
  </w:abstractNum>
  <w:abstractNum w:abstractNumId="76">
    <w:nsid w:val="7B826C46"/>
    <w:multiLevelType w:val="hybridMultilevel"/>
    <w:tmpl w:val="159C7F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7EB64D90"/>
    <w:multiLevelType w:val="hybridMultilevel"/>
    <w:tmpl w:val="C9265D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5"/>
  </w:num>
  <w:num w:numId="2">
    <w:abstractNumId w:val="44"/>
  </w:num>
  <w:num w:numId="3">
    <w:abstractNumId w:val="17"/>
  </w:num>
  <w:num w:numId="4">
    <w:abstractNumId w:val="64"/>
  </w:num>
  <w:num w:numId="5">
    <w:abstractNumId w:val="28"/>
  </w:num>
  <w:num w:numId="6">
    <w:abstractNumId w:val="70"/>
  </w:num>
  <w:num w:numId="7">
    <w:abstractNumId w:val="56"/>
  </w:num>
  <w:num w:numId="8">
    <w:abstractNumId w:val="67"/>
  </w:num>
  <w:num w:numId="9">
    <w:abstractNumId w:val="71"/>
  </w:num>
  <w:num w:numId="10">
    <w:abstractNumId w:val="23"/>
  </w:num>
  <w:num w:numId="11">
    <w:abstractNumId w:val="14"/>
  </w:num>
  <w:num w:numId="12">
    <w:abstractNumId w:val="31"/>
  </w:num>
  <w:num w:numId="13">
    <w:abstractNumId w:val="4"/>
  </w:num>
  <w:num w:numId="14">
    <w:abstractNumId w:val="6"/>
  </w:num>
  <w:num w:numId="15">
    <w:abstractNumId w:val="39"/>
  </w:num>
  <w:num w:numId="16">
    <w:abstractNumId w:val="26"/>
  </w:num>
  <w:num w:numId="17">
    <w:abstractNumId w:val="42"/>
  </w:num>
  <w:num w:numId="18">
    <w:abstractNumId w:val="58"/>
  </w:num>
  <w:num w:numId="19">
    <w:abstractNumId w:val="73"/>
  </w:num>
  <w:num w:numId="20">
    <w:abstractNumId w:val="57"/>
  </w:num>
  <w:num w:numId="21">
    <w:abstractNumId w:val="45"/>
  </w:num>
  <w:num w:numId="22">
    <w:abstractNumId w:val="69"/>
  </w:num>
  <w:num w:numId="23">
    <w:abstractNumId w:val="24"/>
  </w:num>
  <w:num w:numId="24">
    <w:abstractNumId w:val="30"/>
  </w:num>
  <w:num w:numId="25">
    <w:abstractNumId w:val="51"/>
  </w:num>
  <w:num w:numId="26">
    <w:abstractNumId w:val="52"/>
  </w:num>
  <w:num w:numId="27">
    <w:abstractNumId w:val="74"/>
  </w:num>
  <w:num w:numId="28">
    <w:abstractNumId w:val="19"/>
  </w:num>
  <w:num w:numId="29">
    <w:abstractNumId w:val="62"/>
  </w:num>
  <w:num w:numId="30">
    <w:abstractNumId w:val="38"/>
  </w:num>
  <w:num w:numId="31">
    <w:abstractNumId w:val="7"/>
  </w:num>
  <w:num w:numId="32">
    <w:abstractNumId w:val="2"/>
  </w:num>
  <w:num w:numId="33">
    <w:abstractNumId w:val="32"/>
  </w:num>
  <w:num w:numId="34">
    <w:abstractNumId w:val="11"/>
  </w:num>
  <w:num w:numId="35">
    <w:abstractNumId w:val="13"/>
  </w:num>
  <w:num w:numId="36">
    <w:abstractNumId w:val="12"/>
  </w:num>
  <w:num w:numId="37">
    <w:abstractNumId w:val="47"/>
  </w:num>
  <w:num w:numId="38">
    <w:abstractNumId w:val="72"/>
  </w:num>
  <w:num w:numId="39">
    <w:abstractNumId w:val="34"/>
  </w:num>
  <w:num w:numId="40">
    <w:abstractNumId w:val="33"/>
  </w:num>
  <w:num w:numId="41">
    <w:abstractNumId w:val="9"/>
  </w:num>
  <w:num w:numId="42">
    <w:abstractNumId w:val="15"/>
  </w:num>
  <w:num w:numId="43">
    <w:abstractNumId w:val="1"/>
  </w:num>
  <w:num w:numId="44">
    <w:abstractNumId w:val="60"/>
  </w:num>
  <w:num w:numId="45">
    <w:abstractNumId w:val="20"/>
  </w:num>
  <w:num w:numId="46">
    <w:abstractNumId w:val="40"/>
  </w:num>
  <w:num w:numId="47">
    <w:abstractNumId w:val="53"/>
  </w:num>
  <w:num w:numId="48">
    <w:abstractNumId w:val="54"/>
  </w:num>
  <w:num w:numId="49">
    <w:abstractNumId w:val="48"/>
  </w:num>
  <w:num w:numId="50">
    <w:abstractNumId w:val="43"/>
  </w:num>
  <w:num w:numId="51">
    <w:abstractNumId w:val="63"/>
  </w:num>
  <w:num w:numId="52">
    <w:abstractNumId w:val="49"/>
  </w:num>
  <w:num w:numId="53">
    <w:abstractNumId w:val="37"/>
  </w:num>
  <w:num w:numId="54">
    <w:abstractNumId w:val="21"/>
  </w:num>
  <w:num w:numId="55">
    <w:abstractNumId w:val="22"/>
  </w:num>
  <w:num w:numId="56">
    <w:abstractNumId w:val="50"/>
  </w:num>
  <w:num w:numId="57">
    <w:abstractNumId w:val="8"/>
  </w:num>
  <w:num w:numId="58">
    <w:abstractNumId w:val="77"/>
  </w:num>
  <w:num w:numId="59">
    <w:abstractNumId w:val="55"/>
  </w:num>
  <w:num w:numId="60">
    <w:abstractNumId w:val="59"/>
  </w:num>
  <w:num w:numId="61">
    <w:abstractNumId w:val="76"/>
  </w:num>
  <w:num w:numId="62">
    <w:abstractNumId w:val="5"/>
  </w:num>
  <w:num w:numId="63">
    <w:abstractNumId w:val="36"/>
  </w:num>
  <w:num w:numId="64">
    <w:abstractNumId w:val="76"/>
  </w:num>
  <w:num w:numId="65">
    <w:abstractNumId w:val="27"/>
  </w:num>
  <w:num w:numId="66">
    <w:abstractNumId w:val="18"/>
  </w:num>
  <w:num w:numId="67">
    <w:abstractNumId w:val="3"/>
  </w:num>
  <w:num w:numId="68">
    <w:abstractNumId w:val="61"/>
  </w:num>
  <w:num w:numId="69">
    <w:abstractNumId w:val="0"/>
  </w:num>
  <w:num w:numId="70">
    <w:abstractNumId w:val="10"/>
  </w:num>
  <w:num w:numId="71">
    <w:abstractNumId w:val="68"/>
  </w:num>
  <w:num w:numId="72">
    <w:abstractNumId w:val="25"/>
  </w:num>
  <w:num w:numId="73">
    <w:abstractNumId w:val="75"/>
  </w:num>
  <w:num w:numId="74">
    <w:abstractNumId w:val="16"/>
  </w:num>
  <w:num w:numId="75">
    <w:abstractNumId w:val="66"/>
  </w:num>
  <w:num w:numId="76">
    <w:abstractNumId w:val="29"/>
  </w:num>
  <w:num w:numId="77">
    <w:abstractNumId w:val="46"/>
  </w:num>
  <w:num w:numId="78">
    <w:abstractNumId w:val="35"/>
  </w:num>
  <w:num w:numId="79">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95F"/>
    <w:rsid w:val="000001DA"/>
    <w:rsid w:val="00000B40"/>
    <w:rsid w:val="00000FA0"/>
    <w:rsid w:val="000016A5"/>
    <w:rsid w:val="00002015"/>
    <w:rsid w:val="000025AD"/>
    <w:rsid w:val="000025DC"/>
    <w:rsid w:val="00002DD8"/>
    <w:rsid w:val="00003D22"/>
    <w:rsid w:val="00003F0E"/>
    <w:rsid w:val="00004074"/>
    <w:rsid w:val="000043EF"/>
    <w:rsid w:val="000043F9"/>
    <w:rsid w:val="0000505A"/>
    <w:rsid w:val="00005BCA"/>
    <w:rsid w:val="0000698A"/>
    <w:rsid w:val="00006E63"/>
    <w:rsid w:val="000079AF"/>
    <w:rsid w:val="00010409"/>
    <w:rsid w:val="0001090F"/>
    <w:rsid w:val="00011767"/>
    <w:rsid w:val="00011947"/>
    <w:rsid w:val="00011F73"/>
    <w:rsid w:val="00012452"/>
    <w:rsid w:val="0001338D"/>
    <w:rsid w:val="00013958"/>
    <w:rsid w:val="00013E7A"/>
    <w:rsid w:val="000151F5"/>
    <w:rsid w:val="000155DE"/>
    <w:rsid w:val="00015CDE"/>
    <w:rsid w:val="0001667F"/>
    <w:rsid w:val="00016A56"/>
    <w:rsid w:val="000171CA"/>
    <w:rsid w:val="00020100"/>
    <w:rsid w:val="00020599"/>
    <w:rsid w:val="00020A5B"/>
    <w:rsid w:val="0002147A"/>
    <w:rsid w:val="00021BDA"/>
    <w:rsid w:val="000228EC"/>
    <w:rsid w:val="000229CF"/>
    <w:rsid w:val="00023A38"/>
    <w:rsid w:val="00023FE8"/>
    <w:rsid w:val="00024479"/>
    <w:rsid w:val="00024752"/>
    <w:rsid w:val="000252FB"/>
    <w:rsid w:val="00025463"/>
    <w:rsid w:val="00025E39"/>
    <w:rsid w:val="00026130"/>
    <w:rsid w:val="00027A8C"/>
    <w:rsid w:val="00027EAA"/>
    <w:rsid w:val="000300EB"/>
    <w:rsid w:val="00030A35"/>
    <w:rsid w:val="00030C5B"/>
    <w:rsid w:val="00030CC4"/>
    <w:rsid w:val="00031353"/>
    <w:rsid w:val="000315D4"/>
    <w:rsid w:val="00031DE1"/>
    <w:rsid w:val="000322AF"/>
    <w:rsid w:val="00032433"/>
    <w:rsid w:val="00033F44"/>
    <w:rsid w:val="00035556"/>
    <w:rsid w:val="00035962"/>
    <w:rsid w:val="000359C0"/>
    <w:rsid w:val="0003604F"/>
    <w:rsid w:val="00036243"/>
    <w:rsid w:val="00036753"/>
    <w:rsid w:val="000368BB"/>
    <w:rsid w:val="000371F0"/>
    <w:rsid w:val="00040888"/>
    <w:rsid w:val="000408FC"/>
    <w:rsid w:val="0004141B"/>
    <w:rsid w:val="000425C1"/>
    <w:rsid w:val="000429BA"/>
    <w:rsid w:val="0004327A"/>
    <w:rsid w:val="00043598"/>
    <w:rsid w:val="00043EDB"/>
    <w:rsid w:val="0004486E"/>
    <w:rsid w:val="0004532F"/>
    <w:rsid w:val="000454A3"/>
    <w:rsid w:val="000455DD"/>
    <w:rsid w:val="0004574D"/>
    <w:rsid w:val="00045D18"/>
    <w:rsid w:val="00045FA3"/>
    <w:rsid w:val="00046696"/>
    <w:rsid w:val="000469E8"/>
    <w:rsid w:val="00046E01"/>
    <w:rsid w:val="00050785"/>
    <w:rsid w:val="00050858"/>
    <w:rsid w:val="00050D77"/>
    <w:rsid w:val="000519F9"/>
    <w:rsid w:val="00052204"/>
    <w:rsid w:val="00052A4B"/>
    <w:rsid w:val="0005313A"/>
    <w:rsid w:val="000532CF"/>
    <w:rsid w:val="000538B4"/>
    <w:rsid w:val="0005430D"/>
    <w:rsid w:val="00056347"/>
    <w:rsid w:val="000564C8"/>
    <w:rsid w:val="00056D2B"/>
    <w:rsid w:val="00056EC7"/>
    <w:rsid w:val="00056EEA"/>
    <w:rsid w:val="00057198"/>
    <w:rsid w:val="00060B9F"/>
    <w:rsid w:val="000610A4"/>
    <w:rsid w:val="00061AEC"/>
    <w:rsid w:val="000630DB"/>
    <w:rsid w:val="0006387C"/>
    <w:rsid w:val="000645CA"/>
    <w:rsid w:val="0006463D"/>
    <w:rsid w:val="00064B3D"/>
    <w:rsid w:val="00064F83"/>
    <w:rsid w:val="000652D8"/>
    <w:rsid w:val="00065B97"/>
    <w:rsid w:val="000660B0"/>
    <w:rsid w:val="00066183"/>
    <w:rsid w:val="00067028"/>
    <w:rsid w:val="00067A9C"/>
    <w:rsid w:val="0007020C"/>
    <w:rsid w:val="00070952"/>
    <w:rsid w:val="00070FC4"/>
    <w:rsid w:val="00071428"/>
    <w:rsid w:val="0007219D"/>
    <w:rsid w:val="0007345C"/>
    <w:rsid w:val="000737F8"/>
    <w:rsid w:val="000747B7"/>
    <w:rsid w:val="000748A7"/>
    <w:rsid w:val="00074B6E"/>
    <w:rsid w:val="00074D2F"/>
    <w:rsid w:val="00074EC4"/>
    <w:rsid w:val="00075479"/>
    <w:rsid w:val="0007555C"/>
    <w:rsid w:val="00075C1E"/>
    <w:rsid w:val="00075E23"/>
    <w:rsid w:val="00076EAF"/>
    <w:rsid w:val="0007716E"/>
    <w:rsid w:val="00077786"/>
    <w:rsid w:val="00077E72"/>
    <w:rsid w:val="00080830"/>
    <w:rsid w:val="0008096B"/>
    <w:rsid w:val="0008115C"/>
    <w:rsid w:val="00081533"/>
    <w:rsid w:val="00081B83"/>
    <w:rsid w:val="00081C4B"/>
    <w:rsid w:val="00082528"/>
    <w:rsid w:val="00082B9C"/>
    <w:rsid w:val="00083122"/>
    <w:rsid w:val="000847B0"/>
    <w:rsid w:val="000847F7"/>
    <w:rsid w:val="00084E5F"/>
    <w:rsid w:val="00085548"/>
    <w:rsid w:val="000857D3"/>
    <w:rsid w:val="00085E03"/>
    <w:rsid w:val="00086040"/>
    <w:rsid w:val="00086548"/>
    <w:rsid w:val="000865AD"/>
    <w:rsid w:val="00086A3D"/>
    <w:rsid w:val="00086F47"/>
    <w:rsid w:val="000878C1"/>
    <w:rsid w:val="0008794A"/>
    <w:rsid w:val="00087CA8"/>
    <w:rsid w:val="00087DD3"/>
    <w:rsid w:val="000900CE"/>
    <w:rsid w:val="00090619"/>
    <w:rsid w:val="00090AF2"/>
    <w:rsid w:val="00091802"/>
    <w:rsid w:val="00091DDE"/>
    <w:rsid w:val="00091F91"/>
    <w:rsid w:val="000923F9"/>
    <w:rsid w:val="0009250B"/>
    <w:rsid w:val="00092C71"/>
    <w:rsid w:val="00093071"/>
    <w:rsid w:val="0009318C"/>
    <w:rsid w:val="0009345F"/>
    <w:rsid w:val="00093D58"/>
    <w:rsid w:val="00093E24"/>
    <w:rsid w:val="00093ED5"/>
    <w:rsid w:val="00094580"/>
    <w:rsid w:val="00094761"/>
    <w:rsid w:val="00095956"/>
    <w:rsid w:val="00095CE7"/>
    <w:rsid w:val="00096148"/>
    <w:rsid w:val="000961A0"/>
    <w:rsid w:val="000965B6"/>
    <w:rsid w:val="000966AC"/>
    <w:rsid w:val="0009673C"/>
    <w:rsid w:val="0009695F"/>
    <w:rsid w:val="000976CE"/>
    <w:rsid w:val="0009791B"/>
    <w:rsid w:val="000979B7"/>
    <w:rsid w:val="000979ED"/>
    <w:rsid w:val="00097B50"/>
    <w:rsid w:val="00097D90"/>
    <w:rsid w:val="000A14FE"/>
    <w:rsid w:val="000A17F0"/>
    <w:rsid w:val="000A25AE"/>
    <w:rsid w:val="000A2D4D"/>
    <w:rsid w:val="000A2FB6"/>
    <w:rsid w:val="000A30F6"/>
    <w:rsid w:val="000A3642"/>
    <w:rsid w:val="000A3A02"/>
    <w:rsid w:val="000A4971"/>
    <w:rsid w:val="000A4C39"/>
    <w:rsid w:val="000A4CD9"/>
    <w:rsid w:val="000A505D"/>
    <w:rsid w:val="000A53DD"/>
    <w:rsid w:val="000A544E"/>
    <w:rsid w:val="000A58D4"/>
    <w:rsid w:val="000A602C"/>
    <w:rsid w:val="000A67C9"/>
    <w:rsid w:val="000A6919"/>
    <w:rsid w:val="000A6960"/>
    <w:rsid w:val="000A6B86"/>
    <w:rsid w:val="000A7EC9"/>
    <w:rsid w:val="000B002F"/>
    <w:rsid w:val="000B0043"/>
    <w:rsid w:val="000B024D"/>
    <w:rsid w:val="000B24F1"/>
    <w:rsid w:val="000B2607"/>
    <w:rsid w:val="000B27CB"/>
    <w:rsid w:val="000B32E9"/>
    <w:rsid w:val="000B36CD"/>
    <w:rsid w:val="000B3DD9"/>
    <w:rsid w:val="000B486D"/>
    <w:rsid w:val="000B6A4F"/>
    <w:rsid w:val="000B7233"/>
    <w:rsid w:val="000B735B"/>
    <w:rsid w:val="000B7751"/>
    <w:rsid w:val="000C05AF"/>
    <w:rsid w:val="000C07D2"/>
    <w:rsid w:val="000C1BDF"/>
    <w:rsid w:val="000C36D5"/>
    <w:rsid w:val="000C5837"/>
    <w:rsid w:val="000C5B71"/>
    <w:rsid w:val="000C5FE9"/>
    <w:rsid w:val="000C6034"/>
    <w:rsid w:val="000C608C"/>
    <w:rsid w:val="000C6BE6"/>
    <w:rsid w:val="000C704C"/>
    <w:rsid w:val="000C7976"/>
    <w:rsid w:val="000D00A9"/>
    <w:rsid w:val="000D014A"/>
    <w:rsid w:val="000D046F"/>
    <w:rsid w:val="000D04C5"/>
    <w:rsid w:val="000D0514"/>
    <w:rsid w:val="000D0AA5"/>
    <w:rsid w:val="000D0C74"/>
    <w:rsid w:val="000D0CBA"/>
    <w:rsid w:val="000D0D31"/>
    <w:rsid w:val="000D18CD"/>
    <w:rsid w:val="000D25E4"/>
    <w:rsid w:val="000D2B56"/>
    <w:rsid w:val="000D2BF4"/>
    <w:rsid w:val="000D31E9"/>
    <w:rsid w:val="000D328F"/>
    <w:rsid w:val="000D32A5"/>
    <w:rsid w:val="000D3E27"/>
    <w:rsid w:val="000D4287"/>
    <w:rsid w:val="000D42FA"/>
    <w:rsid w:val="000D4720"/>
    <w:rsid w:val="000D63F0"/>
    <w:rsid w:val="000D6461"/>
    <w:rsid w:val="000D77DB"/>
    <w:rsid w:val="000D7DB9"/>
    <w:rsid w:val="000D7E31"/>
    <w:rsid w:val="000E006F"/>
    <w:rsid w:val="000E03F9"/>
    <w:rsid w:val="000E049A"/>
    <w:rsid w:val="000E0CF8"/>
    <w:rsid w:val="000E1338"/>
    <w:rsid w:val="000E1F57"/>
    <w:rsid w:val="000E25A5"/>
    <w:rsid w:val="000E2A6F"/>
    <w:rsid w:val="000E2C65"/>
    <w:rsid w:val="000E2F48"/>
    <w:rsid w:val="000E310E"/>
    <w:rsid w:val="000E3A40"/>
    <w:rsid w:val="000E403F"/>
    <w:rsid w:val="000E49FF"/>
    <w:rsid w:val="000E4CE4"/>
    <w:rsid w:val="000E56B4"/>
    <w:rsid w:val="000E663A"/>
    <w:rsid w:val="000E72BF"/>
    <w:rsid w:val="000E7A9E"/>
    <w:rsid w:val="000F0FE6"/>
    <w:rsid w:val="000F149C"/>
    <w:rsid w:val="000F158F"/>
    <w:rsid w:val="000F2AFA"/>
    <w:rsid w:val="000F2FFD"/>
    <w:rsid w:val="000F3057"/>
    <w:rsid w:val="000F31DA"/>
    <w:rsid w:val="000F4155"/>
    <w:rsid w:val="000F458A"/>
    <w:rsid w:val="000F4BCA"/>
    <w:rsid w:val="000F55F6"/>
    <w:rsid w:val="000F56B8"/>
    <w:rsid w:val="000F5980"/>
    <w:rsid w:val="000F5EBF"/>
    <w:rsid w:val="000F6779"/>
    <w:rsid w:val="000F6935"/>
    <w:rsid w:val="000F6D41"/>
    <w:rsid w:val="000F729F"/>
    <w:rsid w:val="000F74BD"/>
    <w:rsid w:val="000F7687"/>
    <w:rsid w:val="000F7D71"/>
    <w:rsid w:val="000F7DEB"/>
    <w:rsid w:val="000F7F45"/>
    <w:rsid w:val="00100287"/>
    <w:rsid w:val="0010035E"/>
    <w:rsid w:val="00100D3B"/>
    <w:rsid w:val="00101113"/>
    <w:rsid w:val="00102243"/>
    <w:rsid w:val="00103140"/>
    <w:rsid w:val="0010320F"/>
    <w:rsid w:val="00103611"/>
    <w:rsid w:val="00103C3A"/>
    <w:rsid w:val="00104960"/>
    <w:rsid w:val="00104B28"/>
    <w:rsid w:val="00104C19"/>
    <w:rsid w:val="00104CF9"/>
    <w:rsid w:val="00104E31"/>
    <w:rsid w:val="00105724"/>
    <w:rsid w:val="00107665"/>
    <w:rsid w:val="00107F5E"/>
    <w:rsid w:val="001107EF"/>
    <w:rsid w:val="00111EE4"/>
    <w:rsid w:val="00112062"/>
    <w:rsid w:val="00112085"/>
    <w:rsid w:val="00112588"/>
    <w:rsid w:val="0011374A"/>
    <w:rsid w:val="001148BF"/>
    <w:rsid w:val="00114D2C"/>
    <w:rsid w:val="00115B68"/>
    <w:rsid w:val="0011692E"/>
    <w:rsid w:val="00117284"/>
    <w:rsid w:val="00117898"/>
    <w:rsid w:val="00117A6A"/>
    <w:rsid w:val="001206DF"/>
    <w:rsid w:val="00120CE8"/>
    <w:rsid w:val="001216B7"/>
    <w:rsid w:val="0012189F"/>
    <w:rsid w:val="00121F2D"/>
    <w:rsid w:val="001223BA"/>
    <w:rsid w:val="00122A1A"/>
    <w:rsid w:val="00122FAE"/>
    <w:rsid w:val="0012336B"/>
    <w:rsid w:val="001233A5"/>
    <w:rsid w:val="001234D2"/>
    <w:rsid w:val="001277D4"/>
    <w:rsid w:val="00127950"/>
    <w:rsid w:val="00127B64"/>
    <w:rsid w:val="00130DF5"/>
    <w:rsid w:val="00130E70"/>
    <w:rsid w:val="00131266"/>
    <w:rsid w:val="00131689"/>
    <w:rsid w:val="0013182A"/>
    <w:rsid w:val="0013184D"/>
    <w:rsid w:val="0013198C"/>
    <w:rsid w:val="00132753"/>
    <w:rsid w:val="00132AD1"/>
    <w:rsid w:val="00132CC6"/>
    <w:rsid w:val="001333E5"/>
    <w:rsid w:val="00133951"/>
    <w:rsid w:val="00134221"/>
    <w:rsid w:val="00134E6C"/>
    <w:rsid w:val="00135340"/>
    <w:rsid w:val="001365E4"/>
    <w:rsid w:val="0013675C"/>
    <w:rsid w:val="00137909"/>
    <w:rsid w:val="00137B33"/>
    <w:rsid w:val="00137D54"/>
    <w:rsid w:val="001407E7"/>
    <w:rsid w:val="001415D0"/>
    <w:rsid w:val="00141D59"/>
    <w:rsid w:val="001421E4"/>
    <w:rsid w:val="0014231B"/>
    <w:rsid w:val="0014290C"/>
    <w:rsid w:val="001430AB"/>
    <w:rsid w:val="00143205"/>
    <w:rsid w:val="001436FE"/>
    <w:rsid w:val="00143775"/>
    <w:rsid w:val="00143808"/>
    <w:rsid w:val="00143AD7"/>
    <w:rsid w:val="00143FAC"/>
    <w:rsid w:val="00144FB6"/>
    <w:rsid w:val="001452B6"/>
    <w:rsid w:val="00146483"/>
    <w:rsid w:val="001465DE"/>
    <w:rsid w:val="00146904"/>
    <w:rsid w:val="00146B02"/>
    <w:rsid w:val="00146D48"/>
    <w:rsid w:val="0014724F"/>
    <w:rsid w:val="0015002C"/>
    <w:rsid w:val="00150097"/>
    <w:rsid w:val="00150BB2"/>
    <w:rsid w:val="00150CC0"/>
    <w:rsid w:val="0015189C"/>
    <w:rsid w:val="0015229A"/>
    <w:rsid w:val="0015233E"/>
    <w:rsid w:val="00152CAC"/>
    <w:rsid w:val="00153822"/>
    <w:rsid w:val="00153928"/>
    <w:rsid w:val="00155201"/>
    <w:rsid w:val="0015537B"/>
    <w:rsid w:val="001557F1"/>
    <w:rsid w:val="001566C4"/>
    <w:rsid w:val="00156A4E"/>
    <w:rsid w:val="00156AE9"/>
    <w:rsid w:val="00156C68"/>
    <w:rsid w:val="001570E1"/>
    <w:rsid w:val="001573DD"/>
    <w:rsid w:val="00157660"/>
    <w:rsid w:val="001577C5"/>
    <w:rsid w:val="00157F46"/>
    <w:rsid w:val="00160197"/>
    <w:rsid w:val="0016054C"/>
    <w:rsid w:val="00160DE2"/>
    <w:rsid w:val="001616AE"/>
    <w:rsid w:val="00161E60"/>
    <w:rsid w:val="001633B5"/>
    <w:rsid w:val="0016364D"/>
    <w:rsid w:val="001643FB"/>
    <w:rsid w:val="001645DF"/>
    <w:rsid w:val="001645EA"/>
    <w:rsid w:val="00164FA2"/>
    <w:rsid w:val="00164FE1"/>
    <w:rsid w:val="00164FEA"/>
    <w:rsid w:val="00165453"/>
    <w:rsid w:val="00165FFA"/>
    <w:rsid w:val="0016648D"/>
    <w:rsid w:val="0016673A"/>
    <w:rsid w:val="0016676F"/>
    <w:rsid w:val="00167043"/>
    <w:rsid w:val="00167967"/>
    <w:rsid w:val="00167A27"/>
    <w:rsid w:val="00167A57"/>
    <w:rsid w:val="00167FD3"/>
    <w:rsid w:val="001701B9"/>
    <w:rsid w:val="00170237"/>
    <w:rsid w:val="00170595"/>
    <w:rsid w:val="00170609"/>
    <w:rsid w:val="00170BCF"/>
    <w:rsid w:val="0017190E"/>
    <w:rsid w:val="00171986"/>
    <w:rsid w:val="00172576"/>
    <w:rsid w:val="00172814"/>
    <w:rsid w:val="00172F31"/>
    <w:rsid w:val="001731F7"/>
    <w:rsid w:val="00174A65"/>
    <w:rsid w:val="00174ADF"/>
    <w:rsid w:val="00174AFE"/>
    <w:rsid w:val="00174BA6"/>
    <w:rsid w:val="00175074"/>
    <w:rsid w:val="00175D08"/>
    <w:rsid w:val="0017697C"/>
    <w:rsid w:val="00180976"/>
    <w:rsid w:val="00180BDF"/>
    <w:rsid w:val="00180E33"/>
    <w:rsid w:val="00180F85"/>
    <w:rsid w:val="00181206"/>
    <w:rsid w:val="00181FD4"/>
    <w:rsid w:val="00182989"/>
    <w:rsid w:val="00182A1B"/>
    <w:rsid w:val="00182BAA"/>
    <w:rsid w:val="00182C05"/>
    <w:rsid w:val="00183C37"/>
    <w:rsid w:val="00183D67"/>
    <w:rsid w:val="00184170"/>
    <w:rsid w:val="001841F5"/>
    <w:rsid w:val="00184674"/>
    <w:rsid w:val="00184C04"/>
    <w:rsid w:val="00184EA4"/>
    <w:rsid w:val="001851CD"/>
    <w:rsid w:val="001859ED"/>
    <w:rsid w:val="0018643B"/>
    <w:rsid w:val="00186A76"/>
    <w:rsid w:val="00186C92"/>
    <w:rsid w:val="00186CD7"/>
    <w:rsid w:val="00187448"/>
    <w:rsid w:val="00187D49"/>
    <w:rsid w:val="00190C36"/>
    <w:rsid w:val="00192169"/>
    <w:rsid w:val="0019258B"/>
    <w:rsid w:val="001925DF"/>
    <w:rsid w:val="00192AC5"/>
    <w:rsid w:val="00192D1C"/>
    <w:rsid w:val="00192D2E"/>
    <w:rsid w:val="0019319B"/>
    <w:rsid w:val="00194408"/>
    <w:rsid w:val="001947EF"/>
    <w:rsid w:val="00194930"/>
    <w:rsid w:val="001955EF"/>
    <w:rsid w:val="0019571A"/>
    <w:rsid w:val="00195DF5"/>
    <w:rsid w:val="00196087"/>
    <w:rsid w:val="001A0464"/>
    <w:rsid w:val="001A12A1"/>
    <w:rsid w:val="001A1571"/>
    <w:rsid w:val="001A19F7"/>
    <w:rsid w:val="001A2B93"/>
    <w:rsid w:val="001A3229"/>
    <w:rsid w:val="001A3801"/>
    <w:rsid w:val="001A41CF"/>
    <w:rsid w:val="001A42F7"/>
    <w:rsid w:val="001A4820"/>
    <w:rsid w:val="001A4E24"/>
    <w:rsid w:val="001A55FB"/>
    <w:rsid w:val="001A57C5"/>
    <w:rsid w:val="001A71A4"/>
    <w:rsid w:val="001A7640"/>
    <w:rsid w:val="001B0078"/>
    <w:rsid w:val="001B08B2"/>
    <w:rsid w:val="001B0E53"/>
    <w:rsid w:val="001B12D4"/>
    <w:rsid w:val="001B1796"/>
    <w:rsid w:val="001B1822"/>
    <w:rsid w:val="001B1841"/>
    <w:rsid w:val="001B31DC"/>
    <w:rsid w:val="001B36B5"/>
    <w:rsid w:val="001B3D79"/>
    <w:rsid w:val="001B3F1E"/>
    <w:rsid w:val="001B442D"/>
    <w:rsid w:val="001B4924"/>
    <w:rsid w:val="001B49CA"/>
    <w:rsid w:val="001B4E6E"/>
    <w:rsid w:val="001B536E"/>
    <w:rsid w:val="001B576D"/>
    <w:rsid w:val="001B5A2A"/>
    <w:rsid w:val="001B5E34"/>
    <w:rsid w:val="001B677C"/>
    <w:rsid w:val="001B6950"/>
    <w:rsid w:val="001B6D3C"/>
    <w:rsid w:val="001B6E17"/>
    <w:rsid w:val="001B6EFB"/>
    <w:rsid w:val="001B722C"/>
    <w:rsid w:val="001B74DB"/>
    <w:rsid w:val="001B74F6"/>
    <w:rsid w:val="001B766B"/>
    <w:rsid w:val="001B7A30"/>
    <w:rsid w:val="001C01CC"/>
    <w:rsid w:val="001C176F"/>
    <w:rsid w:val="001C1ABF"/>
    <w:rsid w:val="001C2BDF"/>
    <w:rsid w:val="001C2DB7"/>
    <w:rsid w:val="001C2EF4"/>
    <w:rsid w:val="001C3461"/>
    <w:rsid w:val="001C354C"/>
    <w:rsid w:val="001C385A"/>
    <w:rsid w:val="001C454C"/>
    <w:rsid w:val="001C4829"/>
    <w:rsid w:val="001C4C03"/>
    <w:rsid w:val="001C4CC8"/>
    <w:rsid w:val="001C50FF"/>
    <w:rsid w:val="001C6515"/>
    <w:rsid w:val="001C687C"/>
    <w:rsid w:val="001C71BB"/>
    <w:rsid w:val="001C77D0"/>
    <w:rsid w:val="001C7B33"/>
    <w:rsid w:val="001D0C26"/>
    <w:rsid w:val="001D1557"/>
    <w:rsid w:val="001D1FD9"/>
    <w:rsid w:val="001D267A"/>
    <w:rsid w:val="001D2CEB"/>
    <w:rsid w:val="001D4BE6"/>
    <w:rsid w:val="001D50AD"/>
    <w:rsid w:val="001D50BA"/>
    <w:rsid w:val="001D58A7"/>
    <w:rsid w:val="001D5AEE"/>
    <w:rsid w:val="001D5F2D"/>
    <w:rsid w:val="001D663A"/>
    <w:rsid w:val="001D66FC"/>
    <w:rsid w:val="001D7D69"/>
    <w:rsid w:val="001D7F13"/>
    <w:rsid w:val="001D7FDD"/>
    <w:rsid w:val="001E0AD4"/>
    <w:rsid w:val="001E0FE4"/>
    <w:rsid w:val="001E1169"/>
    <w:rsid w:val="001E1B92"/>
    <w:rsid w:val="001E2459"/>
    <w:rsid w:val="001E280F"/>
    <w:rsid w:val="001E2A77"/>
    <w:rsid w:val="001E348D"/>
    <w:rsid w:val="001E3587"/>
    <w:rsid w:val="001E3617"/>
    <w:rsid w:val="001E4D4A"/>
    <w:rsid w:val="001E5134"/>
    <w:rsid w:val="001E6AD0"/>
    <w:rsid w:val="001E6FDA"/>
    <w:rsid w:val="001E7B1F"/>
    <w:rsid w:val="001F05F7"/>
    <w:rsid w:val="001F0BA2"/>
    <w:rsid w:val="001F0C13"/>
    <w:rsid w:val="001F0C2B"/>
    <w:rsid w:val="001F0E9C"/>
    <w:rsid w:val="001F168E"/>
    <w:rsid w:val="001F177F"/>
    <w:rsid w:val="001F3860"/>
    <w:rsid w:val="001F4AC0"/>
    <w:rsid w:val="001F5C19"/>
    <w:rsid w:val="001F6017"/>
    <w:rsid w:val="001F71A7"/>
    <w:rsid w:val="00200231"/>
    <w:rsid w:val="0020068E"/>
    <w:rsid w:val="00200D33"/>
    <w:rsid w:val="00200E4F"/>
    <w:rsid w:val="00200FF8"/>
    <w:rsid w:val="00201155"/>
    <w:rsid w:val="002019B6"/>
    <w:rsid w:val="00201B2A"/>
    <w:rsid w:val="00201B9D"/>
    <w:rsid w:val="002026B6"/>
    <w:rsid w:val="00202972"/>
    <w:rsid w:val="0020318F"/>
    <w:rsid w:val="002032EF"/>
    <w:rsid w:val="00203520"/>
    <w:rsid w:val="002035F5"/>
    <w:rsid w:val="00203FE3"/>
    <w:rsid w:val="002040E5"/>
    <w:rsid w:val="0020591F"/>
    <w:rsid w:val="00205F26"/>
    <w:rsid w:val="002066F3"/>
    <w:rsid w:val="0020726F"/>
    <w:rsid w:val="00207FCC"/>
    <w:rsid w:val="002101AC"/>
    <w:rsid w:val="0021061D"/>
    <w:rsid w:val="002109E6"/>
    <w:rsid w:val="00210E5E"/>
    <w:rsid w:val="00211191"/>
    <w:rsid w:val="00212006"/>
    <w:rsid w:val="002129AE"/>
    <w:rsid w:val="00212B9D"/>
    <w:rsid w:val="00213203"/>
    <w:rsid w:val="00213AA5"/>
    <w:rsid w:val="00213FE6"/>
    <w:rsid w:val="00214D69"/>
    <w:rsid w:val="00214FB0"/>
    <w:rsid w:val="002159AA"/>
    <w:rsid w:val="00215E08"/>
    <w:rsid w:val="0021606A"/>
    <w:rsid w:val="00216261"/>
    <w:rsid w:val="00216BEA"/>
    <w:rsid w:val="00216CC3"/>
    <w:rsid w:val="00217CD8"/>
    <w:rsid w:val="00220C21"/>
    <w:rsid w:val="00220D57"/>
    <w:rsid w:val="002214D3"/>
    <w:rsid w:val="0022195E"/>
    <w:rsid w:val="00221A02"/>
    <w:rsid w:val="002220EF"/>
    <w:rsid w:val="002225E9"/>
    <w:rsid w:val="00222A98"/>
    <w:rsid w:val="0022305A"/>
    <w:rsid w:val="00223094"/>
    <w:rsid w:val="00223A59"/>
    <w:rsid w:val="00224E75"/>
    <w:rsid w:val="002252A7"/>
    <w:rsid w:val="00225809"/>
    <w:rsid w:val="0022591D"/>
    <w:rsid w:val="00225979"/>
    <w:rsid w:val="00225BF8"/>
    <w:rsid w:val="00226187"/>
    <w:rsid w:val="002265A1"/>
    <w:rsid w:val="00226A3D"/>
    <w:rsid w:val="00226D2E"/>
    <w:rsid w:val="002277E8"/>
    <w:rsid w:val="00227A6D"/>
    <w:rsid w:val="00230F2E"/>
    <w:rsid w:val="00230F57"/>
    <w:rsid w:val="00231B5E"/>
    <w:rsid w:val="00231C8C"/>
    <w:rsid w:val="00231E7D"/>
    <w:rsid w:val="00232416"/>
    <w:rsid w:val="002327C2"/>
    <w:rsid w:val="00232C14"/>
    <w:rsid w:val="00232C18"/>
    <w:rsid w:val="00233438"/>
    <w:rsid w:val="002336E3"/>
    <w:rsid w:val="00233788"/>
    <w:rsid w:val="00233B5A"/>
    <w:rsid w:val="00233BF0"/>
    <w:rsid w:val="00233FAB"/>
    <w:rsid w:val="00234458"/>
    <w:rsid w:val="00234BE7"/>
    <w:rsid w:val="00234E3D"/>
    <w:rsid w:val="00235D74"/>
    <w:rsid w:val="00236144"/>
    <w:rsid w:val="002365C6"/>
    <w:rsid w:val="00236A71"/>
    <w:rsid w:val="00236E39"/>
    <w:rsid w:val="0023705F"/>
    <w:rsid w:val="00237A98"/>
    <w:rsid w:val="002401FD"/>
    <w:rsid w:val="002407B2"/>
    <w:rsid w:val="00240A9B"/>
    <w:rsid w:val="00240AC7"/>
    <w:rsid w:val="00241083"/>
    <w:rsid w:val="002412CA"/>
    <w:rsid w:val="002412CF"/>
    <w:rsid w:val="00241B2B"/>
    <w:rsid w:val="00242A6F"/>
    <w:rsid w:val="00242E42"/>
    <w:rsid w:val="00244A51"/>
    <w:rsid w:val="00244BD9"/>
    <w:rsid w:val="00244ECD"/>
    <w:rsid w:val="0024576C"/>
    <w:rsid w:val="00245788"/>
    <w:rsid w:val="00245D1D"/>
    <w:rsid w:val="00246609"/>
    <w:rsid w:val="0024695A"/>
    <w:rsid w:val="00246BAF"/>
    <w:rsid w:val="00250145"/>
    <w:rsid w:val="002501F9"/>
    <w:rsid w:val="00250DD4"/>
    <w:rsid w:val="0025139D"/>
    <w:rsid w:val="0025175B"/>
    <w:rsid w:val="00251A71"/>
    <w:rsid w:val="00251A9C"/>
    <w:rsid w:val="00253BDF"/>
    <w:rsid w:val="00254DDC"/>
    <w:rsid w:val="002550A3"/>
    <w:rsid w:val="002557C2"/>
    <w:rsid w:val="002557C9"/>
    <w:rsid w:val="002558AB"/>
    <w:rsid w:val="0025617C"/>
    <w:rsid w:val="0025661B"/>
    <w:rsid w:val="002567B9"/>
    <w:rsid w:val="00256BE3"/>
    <w:rsid w:val="00256D29"/>
    <w:rsid w:val="00257BEB"/>
    <w:rsid w:val="00257E50"/>
    <w:rsid w:val="002605A0"/>
    <w:rsid w:val="00260A1D"/>
    <w:rsid w:val="00260FAA"/>
    <w:rsid w:val="00261BED"/>
    <w:rsid w:val="0026227A"/>
    <w:rsid w:val="0026257D"/>
    <w:rsid w:val="00262633"/>
    <w:rsid w:val="00262CD3"/>
    <w:rsid w:val="00263184"/>
    <w:rsid w:val="00263A0E"/>
    <w:rsid w:val="00264806"/>
    <w:rsid w:val="00264D66"/>
    <w:rsid w:val="00264FBA"/>
    <w:rsid w:val="00265BCA"/>
    <w:rsid w:val="002663A9"/>
    <w:rsid w:val="00266EC0"/>
    <w:rsid w:val="00267BF6"/>
    <w:rsid w:val="00267EC9"/>
    <w:rsid w:val="002707C3"/>
    <w:rsid w:val="00270B9E"/>
    <w:rsid w:val="00271018"/>
    <w:rsid w:val="0027118D"/>
    <w:rsid w:val="002719EC"/>
    <w:rsid w:val="00271B42"/>
    <w:rsid w:val="00271CDF"/>
    <w:rsid w:val="00271DD5"/>
    <w:rsid w:val="00272745"/>
    <w:rsid w:val="0027275F"/>
    <w:rsid w:val="00272881"/>
    <w:rsid w:val="00272EE5"/>
    <w:rsid w:val="0027360E"/>
    <w:rsid w:val="002740BC"/>
    <w:rsid w:val="00274B42"/>
    <w:rsid w:val="00274E01"/>
    <w:rsid w:val="00276089"/>
    <w:rsid w:val="00276424"/>
    <w:rsid w:val="002767DD"/>
    <w:rsid w:val="00276CD5"/>
    <w:rsid w:val="00276DB8"/>
    <w:rsid w:val="00276EB0"/>
    <w:rsid w:val="00277ABE"/>
    <w:rsid w:val="00277E7C"/>
    <w:rsid w:val="00277F9D"/>
    <w:rsid w:val="002804ED"/>
    <w:rsid w:val="00280ACA"/>
    <w:rsid w:val="00280EF0"/>
    <w:rsid w:val="00280F42"/>
    <w:rsid w:val="0028118F"/>
    <w:rsid w:val="00281715"/>
    <w:rsid w:val="00281902"/>
    <w:rsid w:val="002819BC"/>
    <w:rsid w:val="00282BC0"/>
    <w:rsid w:val="00282C1E"/>
    <w:rsid w:val="00282CB8"/>
    <w:rsid w:val="0028342B"/>
    <w:rsid w:val="00283888"/>
    <w:rsid w:val="00283E62"/>
    <w:rsid w:val="002848B7"/>
    <w:rsid w:val="002849F8"/>
    <w:rsid w:val="00285099"/>
    <w:rsid w:val="00286158"/>
    <w:rsid w:val="002861FA"/>
    <w:rsid w:val="002862C9"/>
    <w:rsid w:val="00287493"/>
    <w:rsid w:val="002878B9"/>
    <w:rsid w:val="00287D9E"/>
    <w:rsid w:val="00290BF0"/>
    <w:rsid w:val="002914ED"/>
    <w:rsid w:val="00291D92"/>
    <w:rsid w:val="00292642"/>
    <w:rsid w:val="0029315A"/>
    <w:rsid w:val="00293A10"/>
    <w:rsid w:val="00293A42"/>
    <w:rsid w:val="002943AD"/>
    <w:rsid w:val="00295008"/>
    <w:rsid w:val="00296478"/>
    <w:rsid w:val="00296ED2"/>
    <w:rsid w:val="002971B6"/>
    <w:rsid w:val="0029721D"/>
    <w:rsid w:val="002A053C"/>
    <w:rsid w:val="002A05CF"/>
    <w:rsid w:val="002A0A5F"/>
    <w:rsid w:val="002A0E5E"/>
    <w:rsid w:val="002A13D5"/>
    <w:rsid w:val="002A165A"/>
    <w:rsid w:val="002A17F2"/>
    <w:rsid w:val="002A18CF"/>
    <w:rsid w:val="002A1A33"/>
    <w:rsid w:val="002A23FA"/>
    <w:rsid w:val="002A2598"/>
    <w:rsid w:val="002A2D62"/>
    <w:rsid w:val="002A35F6"/>
    <w:rsid w:val="002A36BA"/>
    <w:rsid w:val="002A373A"/>
    <w:rsid w:val="002A37B5"/>
    <w:rsid w:val="002A3C3D"/>
    <w:rsid w:val="002A3D8E"/>
    <w:rsid w:val="002A411C"/>
    <w:rsid w:val="002A4374"/>
    <w:rsid w:val="002A5333"/>
    <w:rsid w:val="002A5428"/>
    <w:rsid w:val="002A5640"/>
    <w:rsid w:val="002A5FE7"/>
    <w:rsid w:val="002A6638"/>
    <w:rsid w:val="002A6A1D"/>
    <w:rsid w:val="002A6B9E"/>
    <w:rsid w:val="002A6CD9"/>
    <w:rsid w:val="002A6E55"/>
    <w:rsid w:val="002A6EC3"/>
    <w:rsid w:val="002A79C8"/>
    <w:rsid w:val="002A7BBE"/>
    <w:rsid w:val="002A7D45"/>
    <w:rsid w:val="002B02F9"/>
    <w:rsid w:val="002B038C"/>
    <w:rsid w:val="002B0688"/>
    <w:rsid w:val="002B0BA5"/>
    <w:rsid w:val="002B1203"/>
    <w:rsid w:val="002B16D1"/>
    <w:rsid w:val="002B22B0"/>
    <w:rsid w:val="002B25F8"/>
    <w:rsid w:val="002B274D"/>
    <w:rsid w:val="002B3CCC"/>
    <w:rsid w:val="002B4C35"/>
    <w:rsid w:val="002B548C"/>
    <w:rsid w:val="002B62E2"/>
    <w:rsid w:val="002B65F6"/>
    <w:rsid w:val="002B6658"/>
    <w:rsid w:val="002B683E"/>
    <w:rsid w:val="002B6C47"/>
    <w:rsid w:val="002B715E"/>
    <w:rsid w:val="002B718F"/>
    <w:rsid w:val="002B721C"/>
    <w:rsid w:val="002C02BB"/>
    <w:rsid w:val="002C070C"/>
    <w:rsid w:val="002C09B7"/>
    <w:rsid w:val="002C0B69"/>
    <w:rsid w:val="002C0BEF"/>
    <w:rsid w:val="002C1067"/>
    <w:rsid w:val="002C11E8"/>
    <w:rsid w:val="002C2B53"/>
    <w:rsid w:val="002C4233"/>
    <w:rsid w:val="002C45AA"/>
    <w:rsid w:val="002C45BE"/>
    <w:rsid w:val="002C46E8"/>
    <w:rsid w:val="002C47A9"/>
    <w:rsid w:val="002C4840"/>
    <w:rsid w:val="002C4AEF"/>
    <w:rsid w:val="002C503E"/>
    <w:rsid w:val="002C5043"/>
    <w:rsid w:val="002C53C4"/>
    <w:rsid w:val="002C60AE"/>
    <w:rsid w:val="002C63C2"/>
    <w:rsid w:val="002C6F19"/>
    <w:rsid w:val="002C741B"/>
    <w:rsid w:val="002C779F"/>
    <w:rsid w:val="002C7D18"/>
    <w:rsid w:val="002D02CD"/>
    <w:rsid w:val="002D0B57"/>
    <w:rsid w:val="002D14DC"/>
    <w:rsid w:val="002D1F4B"/>
    <w:rsid w:val="002D2639"/>
    <w:rsid w:val="002D2729"/>
    <w:rsid w:val="002D2C6A"/>
    <w:rsid w:val="002D32BF"/>
    <w:rsid w:val="002D34D6"/>
    <w:rsid w:val="002D3AA3"/>
    <w:rsid w:val="002D4142"/>
    <w:rsid w:val="002D54DB"/>
    <w:rsid w:val="002D5FCD"/>
    <w:rsid w:val="002D622B"/>
    <w:rsid w:val="002D63CF"/>
    <w:rsid w:val="002D668F"/>
    <w:rsid w:val="002D676E"/>
    <w:rsid w:val="002D7602"/>
    <w:rsid w:val="002E0039"/>
    <w:rsid w:val="002E11D1"/>
    <w:rsid w:val="002E16B8"/>
    <w:rsid w:val="002E1B1C"/>
    <w:rsid w:val="002E1BDE"/>
    <w:rsid w:val="002E1CC6"/>
    <w:rsid w:val="002E29DA"/>
    <w:rsid w:val="002E2C54"/>
    <w:rsid w:val="002E32BC"/>
    <w:rsid w:val="002E3B42"/>
    <w:rsid w:val="002E3EB9"/>
    <w:rsid w:val="002E4309"/>
    <w:rsid w:val="002E4C30"/>
    <w:rsid w:val="002E5C84"/>
    <w:rsid w:val="002E5F4C"/>
    <w:rsid w:val="002E5FBC"/>
    <w:rsid w:val="002E6626"/>
    <w:rsid w:val="002E71BD"/>
    <w:rsid w:val="002E728A"/>
    <w:rsid w:val="002E72C5"/>
    <w:rsid w:val="002E738A"/>
    <w:rsid w:val="002E7527"/>
    <w:rsid w:val="002F023F"/>
    <w:rsid w:val="002F03AE"/>
    <w:rsid w:val="002F053F"/>
    <w:rsid w:val="002F070A"/>
    <w:rsid w:val="002F12FB"/>
    <w:rsid w:val="002F176F"/>
    <w:rsid w:val="002F20A1"/>
    <w:rsid w:val="002F28D4"/>
    <w:rsid w:val="002F33DA"/>
    <w:rsid w:val="002F38FB"/>
    <w:rsid w:val="002F430E"/>
    <w:rsid w:val="002F4C73"/>
    <w:rsid w:val="002F4E49"/>
    <w:rsid w:val="002F4F4E"/>
    <w:rsid w:val="002F5021"/>
    <w:rsid w:val="002F5CC6"/>
    <w:rsid w:val="002F67E7"/>
    <w:rsid w:val="002F6C97"/>
    <w:rsid w:val="002F70A6"/>
    <w:rsid w:val="002F77A5"/>
    <w:rsid w:val="002F7B18"/>
    <w:rsid w:val="002F7BBC"/>
    <w:rsid w:val="00300907"/>
    <w:rsid w:val="00302797"/>
    <w:rsid w:val="00302BBD"/>
    <w:rsid w:val="00302F80"/>
    <w:rsid w:val="00303129"/>
    <w:rsid w:val="0030377C"/>
    <w:rsid w:val="003038D5"/>
    <w:rsid w:val="00303B3A"/>
    <w:rsid w:val="00303E48"/>
    <w:rsid w:val="0030412A"/>
    <w:rsid w:val="00304E74"/>
    <w:rsid w:val="00304F9B"/>
    <w:rsid w:val="0030529C"/>
    <w:rsid w:val="00305574"/>
    <w:rsid w:val="00305734"/>
    <w:rsid w:val="003058B1"/>
    <w:rsid w:val="00305D13"/>
    <w:rsid w:val="00307029"/>
    <w:rsid w:val="003073E6"/>
    <w:rsid w:val="00307475"/>
    <w:rsid w:val="003075FD"/>
    <w:rsid w:val="00307C8F"/>
    <w:rsid w:val="0031021F"/>
    <w:rsid w:val="00310F4A"/>
    <w:rsid w:val="00311223"/>
    <w:rsid w:val="003112FB"/>
    <w:rsid w:val="00311417"/>
    <w:rsid w:val="0031208C"/>
    <w:rsid w:val="003133E7"/>
    <w:rsid w:val="0031390F"/>
    <w:rsid w:val="003146C6"/>
    <w:rsid w:val="00314927"/>
    <w:rsid w:val="00314BE9"/>
    <w:rsid w:val="003151F2"/>
    <w:rsid w:val="003152C7"/>
    <w:rsid w:val="003154D8"/>
    <w:rsid w:val="003156F2"/>
    <w:rsid w:val="0031599A"/>
    <w:rsid w:val="00315C0D"/>
    <w:rsid w:val="00315DFB"/>
    <w:rsid w:val="00317C5A"/>
    <w:rsid w:val="00317F6A"/>
    <w:rsid w:val="00321018"/>
    <w:rsid w:val="00321889"/>
    <w:rsid w:val="00321F89"/>
    <w:rsid w:val="00322313"/>
    <w:rsid w:val="003224BE"/>
    <w:rsid w:val="00322619"/>
    <w:rsid w:val="00323745"/>
    <w:rsid w:val="00323DFC"/>
    <w:rsid w:val="00324593"/>
    <w:rsid w:val="00324596"/>
    <w:rsid w:val="00324A1A"/>
    <w:rsid w:val="003253F8"/>
    <w:rsid w:val="00325494"/>
    <w:rsid w:val="003254B9"/>
    <w:rsid w:val="003267D5"/>
    <w:rsid w:val="00326989"/>
    <w:rsid w:val="00326A0C"/>
    <w:rsid w:val="00327173"/>
    <w:rsid w:val="003277C4"/>
    <w:rsid w:val="003278C5"/>
    <w:rsid w:val="00327A0A"/>
    <w:rsid w:val="00330238"/>
    <w:rsid w:val="00330605"/>
    <w:rsid w:val="003313FB"/>
    <w:rsid w:val="00331BD7"/>
    <w:rsid w:val="00331DC8"/>
    <w:rsid w:val="003325A5"/>
    <w:rsid w:val="003325E2"/>
    <w:rsid w:val="00332E87"/>
    <w:rsid w:val="0033329F"/>
    <w:rsid w:val="00333451"/>
    <w:rsid w:val="00333962"/>
    <w:rsid w:val="00334384"/>
    <w:rsid w:val="003352F2"/>
    <w:rsid w:val="00335764"/>
    <w:rsid w:val="00335AD7"/>
    <w:rsid w:val="003365D5"/>
    <w:rsid w:val="00337437"/>
    <w:rsid w:val="003374C7"/>
    <w:rsid w:val="0033799B"/>
    <w:rsid w:val="00337D58"/>
    <w:rsid w:val="003407B7"/>
    <w:rsid w:val="003407B8"/>
    <w:rsid w:val="00340898"/>
    <w:rsid w:val="00340C4E"/>
    <w:rsid w:val="00340CAF"/>
    <w:rsid w:val="00340DE9"/>
    <w:rsid w:val="0034137D"/>
    <w:rsid w:val="0034143E"/>
    <w:rsid w:val="0034210E"/>
    <w:rsid w:val="0034216B"/>
    <w:rsid w:val="00342350"/>
    <w:rsid w:val="00343263"/>
    <w:rsid w:val="003437C1"/>
    <w:rsid w:val="00343981"/>
    <w:rsid w:val="00344309"/>
    <w:rsid w:val="00344719"/>
    <w:rsid w:val="00344944"/>
    <w:rsid w:val="00344A54"/>
    <w:rsid w:val="00344AF2"/>
    <w:rsid w:val="00344CE2"/>
    <w:rsid w:val="00344D99"/>
    <w:rsid w:val="00345046"/>
    <w:rsid w:val="00345222"/>
    <w:rsid w:val="003458CA"/>
    <w:rsid w:val="00345B96"/>
    <w:rsid w:val="0034778C"/>
    <w:rsid w:val="0034783B"/>
    <w:rsid w:val="00347966"/>
    <w:rsid w:val="00347C07"/>
    <w:rsid w:val="00350D5E"/>
    <w:rsid w:val="00351BD3"/>
    <w:rsid w:val="003530AF"/>
    <w:rsid w:val="0035316A"/>
    <w:rsid w:val="00353CF9"/>
    <w:rsid w:val="00354397"/>
    <w:rsid w:val="003544E3"/>
    <w:rsid w:val="003546C6"/>
    <w:rsid w:val="003549DA"/>
    <w:rsid w:val="00354ED0"/>
    <w:rsid w:val="0035520B"/>
    <w:rsid w:val="00355476"/>
    <w:rsid w:val="00355ACD"/>
    <w:rsid w:val="0035635F"/>
    <w:rsid w:val="00356A06"/>
    <w:rsid w:val="00356B59"/>
    <w:rsid w:val="0035759F"/>
    <w:rsid w:val="00357876"/>
    <w:rsid w:val="003606C3"/>
    <w:rsid w:val="00360EB6"/>
    <w:rsid w:val="0036192E"/>
    <w:rsid w:val="0036209B"/>
    <w:rsid w:val="0036220A"/>
    <w:rsid w:val="003626A0"/>
    <w:rsid w:val="0036274B"/>
    <w:rsid w:val="00363543"/>
    <w:rsid w:val="00363976"/>
    <w:rsid w:val="00365433"/>
    <w:rsid w:val="0036592B"/>
    <w:rsid w:val="003664F8"/>
    <w:rsid w:val="00366A88"/>
    <w:rsid w:val="00366ECE"/>
    <w:rsid w:val="003674AC"/>
    <w:rsid w:val="0036791D"/>
    <w:rsid w:val="00367C0D"/>
    <w:rsid w:val="00367D2A"/>
    <w:rsid w:val="0037064C"/>
    <w:rsid w:val="003716E0"/>
    <w:rsid w:val="00371A3D"/>
    <w:rsid w:val="00371DD0"/>
    <w:rsid w:val="003724A2"/>
    <w:rsid w:val="00372DA8"/>
    <w:rsid w:val="00372E2F"/>
    <w:rsid w:val="003735F6"/>
    <w:rsid w:val="003739E3"/>
    <w:rsid w:val="00373E84"/>
    <w:rsid w:val="00374238"/>
    <w:rsid w:val="00374361"/>
    <w:rsid w:val="00374BB6"/>
    <w:rsid w:val="00375271"/>
    <w:rsid w:val="00375553"/>
    <w:rsid w:val="0037588B"/>
    <w:rsid w:val="003759F7"/>
    <w:rsid w:val="00375CC6"/>
    <w:rsid w:val="00376DAB"/>
    <w:rsid w:val="003770A9"/>
    <w:rsid w:val="00377FA3"/>
    <w:rsid w:val="00380194"/>
    <w:rsid w:val="00380C24"/>
    <w:rsid w:val="00381DBC"/>
    <w:rsid w:val="00382039"/>
    <w:rsid w:val="00382687"/>
    <w:rsid w:val="003826CD"/>
    <w:rsid w:val="003826D5"/>
    <w:rsid w:val="0038271F"/>
    <w:rsid w:val="0038296B"/>
    <w:rsid w:val="003837C0"/>
    <w:rsid w:val="003838D7"/>
    <w:rsid w:val="003839DC"/>
    <w:rsid w:val="00383D1A"/>
    <w:rsid w:val="003840D5"/>
    <w:rsid w:val="00384118"/>
    <w:rsid w:val="00384119"/>
    <w:rsid w:val="0038442B"/>
    <w:rsid w:val="00384515"/>
    <w:rsid w:val="0038472D"/>
    <w:rsid w:val="0038499B"/>
    <w:rsid w:val="00385CDF"/>
    <w:rsid w:val="00386569"/>
    <w:rsid w:val="003874A1"/>
    <w:rsid w:val="003879D2"/>
    <w:rsid w:val="0039044A"/>
    <w:rsid w:val="00390B6B"/>
    <w:rsid w:val="00390E37"/>
    <w:rsid w:val="0039102B"/>
    <w:rsid w:val="00392141"/>
    <w:rsid w:val="00392F8B"/>
    <w:rsid w:val="00392FE4"/>
    <w:rsid w:val="003934C0"/>
    <w:rsid w:val="003937A7"/>
    <w:rsid w:val="00393AD0"/>
    <w:rsid w:val="00393E79"/>
    <w:rsid w:val="003947BC"/>
    <w:rsid w:val="00394C79"/>
    <w:rsid w:val="00394E0A"/>
    <w:rsid w:val="00395978"/>
    <w:rsid w:val="00395B49"/>
    <w:rsid w:val="00395B70"/>
    <w:rsid w:val="0039654B"/>
    <w:rsid w:val="00397045"/>
    <w:rsid w:val="0039728C"/>
    <w:rsid w:val="003A031E"/>
    <w:rsid w:val="003A05C4"/>
    <w:rsid w:val="003A0BE4"/>
    <w:rsid w:val="003A1398"/>
    <w:rsid w:val="003A17CF"/>
    <w:rsid w:val="003A1929"/>
    <w:rsid w:val="003A1A18"/>
    <w:rsid w:val="003A1E62"/>
    <w:rsid w:val="003A1F03"/>
    <w:rsid w:val="003A22BA"/>
    <w:rsid w:val="003A2DDF"/>
    <w:rsid w:val="003A2EB4"/>
    <w:rsid w:val="003A3AE5"/>
    <w:rsid w:val="003A4319"/>
    <w:rsid w:val="003A4406"/>
    <w:rsid w:val="003A46D7"/>
    <w:rsid w:val="003A4769"/>
    <w:rsid w:val="003A4947"/>
    <w:rsid w:val="003A4989"/>
    <w:rsid w:val="003A4E65"/>
    <w:rsid w:val="003A4E9F"/>
    <w:rsid w:val="003A5257"/>
    <w:rsid w:val="003A56BB"/>
    <w:rsid w:val="003A6E0F"/>
    <w:rsid w:val="003A7264"/>
    <w:rsid w:val="003A730D"/>
    <w:rsid w:val="003B007B"/>
    <w:rsid w:val="003B0097"/>
    <w:rsid w:val="003B0832"/>
    <w:rsid w:val="003B0B97"/>
    <w:rsid w:val="003B0BEA"/>
    <w:rsid w:val="003B0F50"/>
    <w:rsid w:val="003B1D39"/>
    <w:rsid w:val="003B1EC3"/>
    <w:rsid w:val="003B287C"/>
    <w:rsid w:val="003B2B26"/>
    <w:rsid w:val="003B3D46"/>
    <w:rsid w:val="003B48CF"/>
    <w:rsid w:val="003B52D7"/>
    <w:rsid w:val="003B5B1B"/>
    <w:rsid w:val="003B600F"/>
    <w:rsid w:val="003B636C"/>
    <w:rsid w:val="003B68E3"/>
    <w:rsid w:val="003B7B61"/>
    <w:rsid w:val="003B7C51"/>
    <w:rsid w:val="003B7FE0"/>
    <w:rsid w:val="003C01BF"/>
    <w:rsid w:val="003C058B"/>
    <w:rsid w:val="003C1312"/>
    <w:rsid w:val="003C132E"/>
    <w:rsid w:val="003C19A7"/>
    <w:rsid w:val="003C2A5C"/>
    <w:rsid w:val="003C3D56"/>
    <w:rsid w:val="003C422D"/>
    <w:rsid w:val="003C4372"/>
    <w:rsid w:val="003C48F2"/>
    <w:rsid w:val="003C4F70"/>
    <w:rsid w:val="003C54FD"/>
    <w:rsid w:val="003C65DB"/>
    <w:rsid w:val="003C66A1"/>
    <w:rsid w:val="003C6C30"/>
    <w:rsid w:val="003C6EC2"/>
    <w:rsid w:val="003C7437"/>
    <w:rsid w:val="003C7C77"/>
    <w:rsid w:val="003D08DB"/>
    <w:rsid w:val="003D09F4"/>
    <w:rsid w:val="003D1217"/>
    <w:rsid w:val="003D1744"/>
    <w:rsid w:val="003D1A0B"/>
    <w:rsid w:val="003D206E"/>
    <w:rsid w:val="003D25A1"/>
    <w:rsid w:val="003D2785"/>
    <w:rsid w:val="003D3126"/>
    <w:rsid w:val="003D36C6"/>
    <w:rsid w:val="003D3795"/>
    <w:rsid w:val="003D38D3"/>
    <w:rsid w:val="003D424B"/>
    <w:rsid w:val="003D472C"/>
    <w:rsid w:val="003D47AF"/>
    <w:rsid w:val="003D48F3"/>
    <w:rsid w:val="003D4ECD"/>
    <w:rsid w:val="003D6630"/>
    <w:rsid w:val="003D6990"/>
    <w:rsid w:val="003D701D"/>
    <w:rsid w:val="003D70DA"/>
    <w:rsid w:val="003D74CE"/>
    <w:rsid w:val="003D7599"/>
    <w:rsid w:val="003D7DC5"/>
    <w:rsid w:val="003E108B"/>
    <w:rsid w:val="003E1237"/>
    <w:rsid w:val="003E12DB"/>
    <w:rsid w:val="003E151A"/>
    <w:rsid w:val="003E1852"/>
    <w:rsid w:val="003E1D2C"/>
    <w:rsid w:val="003E1FA2"/>
    <w:rsid w:val="003E2703"/>
    <w:rsid w:val="003E339E"/>
    <w:rsid w:val="003E584A"/>
    <w:rsid w:val="003E5852"/>
    <w:rsid w:val="003E5FDC"/>
    <w:rsid w:val="003E5FFA"/>
    <w:rsid w:val="003E6BAF"/>
    <w:rsid w:val="003F0080"/>
    <w:rsid w:val="003F0613"/>
    <w:rsid w:val="003F1037"/>
    <w:rsid w:val="003F1436"/>
    <w:rsid w:val="003F1A5F"/>
    <w:rsid w:val="003F1D86"/>
    <w:rsid w:val="003F22DC"/>
    <w:rsid w:val="003F2D80"/>
    <w:rsid w:val="003F324A"/>
    <w:rsid w:val="003F39DD"/>
    <w:rsid w:val="003F3AAA"/>
    <w:rsid w:val="003F460D"/>
    <w:rsid w:val="003F494E"/>
    <w:rsid w:val="003F4996"/>
    <w:rsid w:val="003F605D"/>
    <w:rsid w:val="003F6342"/>
    <w:rsid w:val="003F691C"/>
    <w:rsid w:val="003F6C72"/>
    <w:rsid w:val="003F7118"/>
    <w:rsid w:val="003F7288"/>
    <w:rsid w:val="003F7CCD"/>
    <w:rsid w:val="004008E4"/>
    <w:rsid w:val="00400CE8"/>
    <w:rsid w:val="00400CFB"/>
    <w:rsid w:val="00402360"/>
    <w:rsid w:val="0040246A"/>
    <w:rsid w:val="00402DEA"/>
    <w:rsid w:val="0040398D"/>
    <w:rsid w:val="004040B0"/>
    <w:rsid w:val="0040428D"/>
    <w:rsid w:val="0040483C"/>
    <w:rsid w:val="00405AB7"/>
    <w:rsid w:val="00405D62"/>
    <w:rsid w:val="00406568"/>
    <w:rsid w:val="00407B97"/>
    <w:rsid w:val="00407C73"/>
    <w:rsid w:val="00410190"/>
    <w:rsid w:val="00410DCD"/>
    <w:rsid w:val="00410E76"/>
    <w:rsid w:val="00410ED9"/>
    <w:rsid w:val="004118B6"/>
    <w:rsid w:val="0041294A"/>
    <w:rsid w:val="00412A8D"/>
    <w:rsid w:val="00412D9B"/>
    <w:rsid w:val="0041305E"/>
    <w:rsid w:val="004134F2"/>
    <w:rsid w:val="00413A2F"/>
    <w:rsid w:val="00414BBF"/>
    <w:rsid w:val="00414E0D"/>
    <w:rsid w:val="004156C6"/>
    <w:rsid w:val="00415F72"/>
    <w:rsid w:val="004163FC"/>
    <w:rsid w:val="004169EC"/>
    <w:rsid w:val="00416E90"/>
    <w:rsid w:val="0041778C"/>
    <w:rsid w:val="00417AB1"/>
    <w:rsid w:val="00417E2D"/>
    <w:rsid w:val="00420084"/>
    <w:rsid w:val="0042090A"/>
    <w:rsid w:val="00420D19"/>
    <w:rsid w:val="004211E3"/>
    <w:rsid w:val="0042148A"/>
    <w:rsid w:val="0042186F"/>
    <w:rsid w:val="00421AF5"/>
    <w:rsid w:val="004227B5"/>
    <w:rsid w:val="00422C8C"/>
    <w:rsid w:val="00423335"/>
    <w:rsid w:val="0042347B"/>
    <w:rsid w:val="00423A52"/>
    <w:rsid w:val="00423CF1"/>
    <w:rsid w:val="00424241"/>
    <w:rsid w:val="004247C9"/>
    <w:rsid w:val="00424C75"/>
    <w:rsid w:val="004257D7"/>
    <w:rsid w:val="00426435"/>
    <w:rsid w:val="00426CB5"/>
    <w:rsid w:val="00426E16"/>
    <w:rsid w:val="004274F3"/>
    <w:rsid w:val="0042755E"/>
    <w:rsid w:val="004275D9"/>
    <w:rsid w:val="004278AC"/>
    <w:rsid w:val="00427F78"/>
    <w:rsid w:val="00430D1C"/>
    <w:rsid w:val="00430DCF"/>
    <w:rsid w:val="00431136"/>
    <w:rsid w:val="00431715"/>
    <w:rsid w:val="00432058"/>
    <w:rsid w:val="004320E3"/>
    <w:rsid w:val="00432189"/>
    <w:rsid w:val="00433A84"/>
    <w:rsid w:val="00433C47"/>
    <w:rsid w:val="00434329"/>
    <w:rsid w:val="0043451D"/>
    <w:rsid w:val="00435EF6"/>
    <w:rsid w:val="00436706"/>
    <w:rsid w:val="00436860"/>
    <w:rsid w:val="00436F50"/>
    <w:rsid w:val="0043715B"/>
    <w:rsid w:val="00437465"/>
    <w:rsid w:val="00437FA8"/>
    <w:rsid w:val="00441074"/>
    <w:rsid w:val="00441746"/>
    <w:rsid w:val="004419A6"/>
    <w:rsid w:val="00441AAE"/>
    <w:rsid w:val="00441BD3"/>
    <w:rsid w:val="00441C88"/>
    <w:rsid w:val="00442970"/>
    <w:rsid w:val="00442B01"/>
    <w:rsid w:val="00442D5F"/>
    <w:rsid w:val="00444546"/>
    <w:rsid w:val="004447C8"/>
    <w:rsid w:val="00445473"/>
    <w:rsid w:val="004458E0"/>
    <w:rsid w:val="004473E5"/>
    <w:rsid w:val="00447423"/>
    <w:rsid w:val="004476D3"/>
    <w:rsid w:val="00447FD1"/>
    <w:rsid w:val="00450273"/>
    <w:rsid w:val="004507E2"/>
    <w:rsid w:val="00450949"/>
    <w:rsid w:val="00450AA6"/>
    <w:rsid w:val="00451343"/>
    <w:rsid w:val="004519BF"/>
    <w:rsid w:val="00451C45"/>
    <w:rsid w:val="00452058"/>
    <w:rsid w:val="00452C8F"/>
    <w:rsid w:val="00453943"/>
    <w:rsid w:val="00454603"/>
    <w:rsid w:val="004552BD"/>
    <w:rsid w:val="00455E20"/>
    <w:rsid w:val="00455F2F"/>
    <w:rsid w:val="00456721"/>
    <w:rsid w:val="0045772E"/>
    <w:rsid w:val="00457737"/>
    <w:rsid w:val="00457A2A"/>
    <w:rsid w:val="00457AB4"/>
    <w:rsid w:val="00457E66"/>
    <w:rsid w:val="00460219"/>
    <w:rsid w:val="00460483"/>
    <w:rsid w:val="00460FDE"/>
    <w:rsid w:val="00461B77"/>
    <w:rsid w:val="00462140"/>
    <w:rsid w:val="00462ED6"/>
    <w:rsid w:val="004630AF"/>
    <w:rsid w:val="00463630"/>
    <w:rsid w:val="00463F58"/>
    <w:rsid w:val="00464226"/>
    <w:rsid w:val="0046431C"/>
    <w:rsid w:val="00464388"/>
    <w:rsid w:val="00464C9D"/>
    <w:rsid w:val="00464ECE"/>
    <w:rsid w:val="004655A7"/>
    <w:rsid w:val="00465AF2"/>
    <w:rsid w:val="004669B9"/>
    <w:rsid w:val="00470537"/>
    <w:rsid w:val="00470ABE"/>
    <w:rsid w:val="00470FB0"/>
    <w:rsid w:val="00471AE9"/>
    <w:rsid w:val="00471D2D"/>
    <w:rsid w:val="00471F55"/>
    <w:rsid w:val="00472286"/>
    <w:rsid w:val="00472847"/>
    <w:rsid w:val="00472A5E"/>
    <w:rsid w:val="00472AF3"/>
    <w:rsid w:val="00472C97"/>
    <w:rsid w:val="00472E4D"/>
    <w:rsid w:val="004730FA"/>
    <w:rsid w:val="0047352F"/>
    <w:rsid w:val="00473701"/>
    <w:rsid w:val="00473C64"/>
    <w:rsid w:val="0047515D"/>
    <w:rsid w:val="00475939"/>
    <w:rsid w:val="004759A2"/>
    <w:rsid w:val="00476517"/>
    <w:rsid w:val="00476A3D"/>
    <w:rsid w:val="00476CF9"/>
    <w:rsid w:val="0047744E"/>
    <w:rsid w:val="00477F28"/>
    <w:rsid w:val="004809A1"/>
    <w:rsid w:val="00481697"/>
    <w:rsid w:val="004819F1"/>
    <w:rsid w:val="00481E83"/>
    <w:rsid w:val="00481F8D"/>
    <w:rsid w:val="004829A0"/>
    <w:rsid w:val="00482CC3"/>
    <w:rsid w:val="00482E5E"/>
    <w:rsid w:val="00483256"/>
    <w:rsid w:val="00483680"/>
    <w:rsid w:val="004837CD"/>
    <w:rsid w:val="00484379"/>
    <w:rsid w:val="004852A2"/>
    <w:rsid w:val="00485943"/>
    <w:rsid w:val="00485E09"/>
    <w:rsid w:val="00486495"/>
    <w:rsid w:val="0048671A"/>
    <w:rsid w:val="00486BE0"/>
    <w:rsid w:val="004873E1"/>
    <w:rsid w:val="00490504"/>
    <w:rsid w:val="00490556"/>
    <w:rsid w:val="00490B56"/>
    <w:rsid w:val="00491A4A"/>
    <w:rsid w:val="00492465"/>
    <w:rsid w:val="00492BC5"/>
    <w:rsid w:val="004930A8"/>
    <w:rsid w:val="004930F7"/>
    <w:rsid w:val="0049385D"/>
    <w:rsid w:val="004943F5"/>
    <w:rsid w:val="00494704"/>
    <w:rsid w:val="0049497C"/>
    <w:rsid w:val="00495697"/>
    <w:rsid w:val="00495C47"/>
    <w:rsid w:val="00495CC1"/>
    <w:rsid w:val="004966E2"/>
    <w:rsid w:val="004968C2"/>
    <w:rsid w:val="0049696F"/>
    <w:rsid w:val="00496B11"/>
    <w:rsid w:val="00496CE1"/>
    <w:rsid w:val="00497304"/>
    <w:rsid w:val="004976A0"/>
    <w:rsid w:val="00497768"/>
    <w:rsid w:val="004A033D"/>
    <w:rsid w:val="004A0B6C"/>
    <w:rsid w:val="004A0C47"/>
    <w:rsid w:val="004A1E49"/>
    <w:rsid w:val="004A1E60"/>
    <w:rsid w:val="004A23F5"/>
    <w:rsid w:val="004A2AE8"/>
    <w:rsid w:val="004A3380"/>
    <w:rsid w:val="004A343E"/>
    <w:rsid w:val="004A3B89"/>
    <w:rsid w:val="004A423A"/>
    <w:rsid w:val="004A4A43"/>
    <w:rsid w:val="004A531E"/>
    <w:rsid w:val="004A544E"/>
    <w:rsid w:val="004A5569"/>
    <w:rsid w:val="004A63AF"/>
    <w:rsid w:val="004A67C7"/>
    <w:rsid w:val="004A6C86"/>
    <w:rsid w:val="004A6E26"/>
    <w:rsid w:val="004A6E71"/>
    <w:rsid w:val="004A7097"/>
    <w:rsid w:val="004A73C8"/>
    <w:rsid w:val="004A7B69"/>
    <w:rsid w:val="004A7FA6"/>
    <w:rsid w:val="004B026F"/>
    <w:rsid w:val="004B0901"/>
    <w:rsid w:val="004B0A74"/>
    <w:rsid w:val="004B0CD6"/>
    <w:rsid w:val="004B143B"/>
    <w:rsid w:val="004B18B3"/>
    <w:rsid w:val="004B20B9"/>
    <w:rsid w:val="004B2416"/>
    <w:rsid w:val="004B24C1"/>
    <w:rsid w:val="004B3003"/>
    <w:rsid w:val="004B35C8"/>
    <w:rsid w:val="004B3C2A"/>
    <w:rsid w:val="004B47F4"/>
    <w:rsid w:val="004B4EF0"/>
    <w:rsid w:val="004B4FFD"/>
    <w:rsid w:val="004B5032"/>
    <w:rsid w:val="004B5987"/>
    <w:rsid w:val="004B67CC"/>
    <w:rsid w:val="004B6A1A"/>
    <w:rsid w:val="004C0919"/>
    <w:rsid w:val="004C0A71"/>
    <w:rsid w:val="004C1286"/>
    <w:rsid w:val="004C1A0C"/>
    <w:rsid w:val="004C1B86"/>
    <w:rsid w:val="004C1F0A"/>
    <w:rsid w:val="004C23B9"/>
    <w:rsid w:val="004C274F"/>
    <w:rsid w:val="004C28DF"/>
    <w:rsid w:val="004C2AEB"/>
    <w:rsid w:val="004C2CFD"/>
    <w:rsid w:val="004C2D27"/>
    <w:rsid w:val="004C2FFF"/>
    <w:rsid w:val="004C3158"/>
    <w:rsid w:val="004C355E"/>
    <w:rsid w:val="004C37F0"/>
    <w:rsid w:val="004C3FB2"/>
    <w:rsid w:val="004C4367"/>
    <w:rsid w:val="004C4439"/>
    <w:rsid w:val="004C4667"/>
    <w:rsid w:val="004C46F1"/>
    <w:rsid w:val="004C48AB"/>
    <w:rsid w:val="004C56A0"/>
    <w:rsid w:val="004C5736"/>
    <w:rsid w:val="004C57E9"/>
    <w:rsid w:val="004C5AF3"/>
    <w:rsid w:val="004C5AFE"/>
    <w:rsid w:val="004C6114"/>
    <w:rsid w:val="004C6638"/>
    <w:rsid w:val="004C68C0"/>
    <w:rsid w:val="004C76EB"/>
    <w:rsid w:val="004D00B1"/>
    <w:rsid w:val="004D0EAF"/>
    <w:rsid w:val="004D1292"/>
    <w:rsid w:val="004D1913"/>
    <w:rsid w:val="004D19BC"/>
    <w:rsid w:val="004D2090"/>
    <w:rsid w:val="004D348F"/>
    <w:rsid w:val="004D3671"/>
    <w:rsid w:val="004D3928"/>
    <w:rsid w:val="004D677B"/>
    <w:rsid w:val="004D6A31"/>
    <w:rsid w:val="004D6B50"/>
    <w:rsid w:val="004D6F6F"/>
    <w:rsid w:val="004E05EA"/>
    <w:rsid w:val="004E0FC6"/>
    <w:rsid w:val="004E16DE"/>
    <w:rsid w:val="004E18D7"/>
    <w:rsid w:val="004E2778"/>
    <w:rsid w:val="004E28A1"/>
    <w:rsid w:val="004E2B44"/>
    <w:rsid w:val="004E2E3E"/>
    <w:rsid w:val="004E36EA"/>
    <w:rsid w:val="004E4258"/>
    <w:rsid w:val="004E42A3"/>
    <w:rsid w:val="004E42A9"/>
    <w:rsid w:val="004E42F0"/>
    <w:rsid w:val="004E4576"/>
    <w:rsid w:val="004E4D02"/>
    <w:rsid w:val="004E4FD0"/>
    <w:rsid w:val="004E57CC"/>
    <w:rsid w:val="004E60C4"/>
    <w:rsid w:val="004E6377"/>
    <w:rsid w:val="004E65EF"/>
    <w:rsid w:val="004E68A6"/>
    <w:rsid w:val="004E6B5F"/>
    <w:rsid w:val="004E6F4E"/>
    <w:rsid w:val="004E729D"/>
    <w:rsid w:val="004E7C97"/>
    <w:rsid w:val="004E7CFD"/>
    <w:rsid w:val="004F021B"/>
    <w:rsid w:val="004F04D1"/>
    <w:rsid w:val="004F15CE"/>
    <w:rsid w:val="004F2056"/>
    <w:rsid w:val="004F2A1A"/>
    <w:rsid w:val="004F3B51"/>
    <w:rsid w:val="004F3F09"/>
    <w:rsid w:val="004F42AF"/>
    <w:rsid w:val="004F447D"/>
    <w:rsid w:val="004F4C08"/>
    <w:rsid w:val="004F4E5E"/>
    <w:rsid w:val="004F558F"/>
    <w:rsid w:val="004F58C7"/>
    <w:rsid w:val="004F6214"/>
    <w:rsid w:val="004F68C7"/>
    <w:rsid w:val="004F6C18"/>
    <w:rsid w:val="004F7F11"/>
    <w:rsid w:val="00501419"/>
    <w:rsid w:val="00501468"/>
    <w:rsid w:val="00501D28"/>
    <w:rsid w:val="0050204E"/>
    <w:rsid w:val="005023FD"/>
    <w:rsid w:val="00502C53"/>
    <w:rsid w:val="005046A1"/>
    <w:rsid w:val="005053E9"/>
    <w:rsid w:val="0050551E"/>
    <w:rsid w:val="005055DE"/>
    <w:rsid w:val="005058E3"/>
    <w:rsid w:val="0050647C"/>
    <w:rsid w:val="0050748B"/>
    <w:rsid w:val="0050766E"/>
    <w:rsid w:val="00507C26"/>
    <w:rsid w:val="00507E91"/>
    <w:rsid w:val="00507F19"/>
    <w:rsid w:val="005100A7"/>
    <w:rsid w:val="005109F0"/>
    <w:rsid w:val="005115AE"/>
    <w:rsid w:val="00511C26"/>
    <w:rsid w:val="0051269A"/>
    <w:rsid w:val="005147C0"/>
    <w:rsid w:val="00514B4D"/>
    <w:rsid w:val="00515042"/>
    <w:rsid w:val="00516F7C"/>
    <w:rsid w:val="00517061"/>
    <w:rsid w:val="0052045F"/>
    <w:rsid w:val="0052052C"/>
    <w:rsid w:val="00521270"/>
    <w:rsid w:val="00521427"/>
    <w:rsid w:val="00521ECB"/>
    <w:rsid w:val="00522EFA"/>
    <w:rsid w:val="00522F22"/>
    <w:rsid w:val="00523241"/>
    <w:rsid w:val="0052332E"/>
    <w:rsid w:val="00523A7F"/>
    <w:rsid w:val="00523D14"/>
    <w:rsid w:val="00523D62"/>
    <w:rsid w:val="00524BC5"/>
    <w:rsid w:val="00525022"/>
    <w:rsid w:val="00525789"/>
    <w:rsid w:val="00525CE0"/>
    <w:rsid w:val="00525CF9"/>
    <w:rsid w:val="00525E93"/>
    <w:rsid w:val="005263CE"/>
    <w:rsid w:val="00526DCF"/>
    <w:rsid w:val="005276B0"/>
    <w:rsid w:val="0053030E"/>
    <w:rsid w:val="00530A58"/>
    <w:rsid w:val="00530CA8"/>
    <w:rsid w:val="0053109E"/>
    <w:rsid w:val="00531F9A"/>
    <w:rsid w:val="00532D0A"/>
    <w:rsid w:val="00533038"/>
    <w:rsid w:val="005332C7"/>
    <w:rsid w:val="00533C74"/>
    <w:rsid w:val="00533D31"/>
    <w:rsid w:val="00533F98"/>
    <w:rsid w:val="00535856"/>
    <w:rsid w:val="00535C94"/>
    <w:rsid w:val="0053626E"/>
    <w:rsid w:val="0053696B"/>
    <w:rsid w:val="0053723B"/>
    <w:rsid w:val="00537614"/>
    <w:rsid w:val="00537CC1"/>
    <w:rsid w:val="00540D43"/>
    <w:rsid w:val="00541695"/>
    <w:rsid w:val="00541CA6"/>
    <w:rsid w:val="00541DA8"/>
    <w:rsid w:val="00541F4E"/>
    <w:rsid w:val="0054261F"/>
    <w:rsid w:val="00542731"/>
    <w:rsid w:val="00543076"/>
    <w:rsid w:val="00543166"/>
    <w:rsid w:val="0054327E"/>
    <w:rsid w:val="00543866"/>
    <w:rsid w:val="005456D5"/>
    <w:rsid w:val="00545A4C"/>
    <w:rsid w:val="00546307"/>
    <w:rsid w:val="0054691C"/>
    <w:rsid w:val="00547240"/>
    <w:rsid w:val="005503E6"/>
    <w:rsid w:val="005508D1"/>
    <w:rsid w:val="005520C7"/>
    <w:rsid w:val="005524FD"/>
    <w:rsid w:val="0055292B"/>
    <w:rsid w:val="005529DE"/>
    <w:rsid w:val="00552D55"/>
    <w:rsid w:val="0055359C"/>
    <w:rsid w:val="00554A6F"/>
    <w:rsid w:val="00555B24"/>
    <w:rsid w:val="00556140"/>
    <w:rsid w:val="005567B6"/>
    <w:rsid w:val="005574B3"/>
    <w:rsid w:val="00557600"/>
    <w:rsid w:val="0055775E"/>
    <w:rsid w:val="005579D8"/>
    <w:rsid w:val="00557C29"/>
    <w:rsid w:val="00557FAA"/>
    <w:rsid w:val="00560C35"/>
    <w:rsid w:val="00560EB4"/>
    <w:rsid w:val="00561F69"/>
    <w:rsid w:val="00562304"/>
    <w:rsid w:val="005623C0"/>
    <w:rsid w:val="00562C87"/>
    <w:rsid w:val="0056418C"/>
    <w:rsid w:val="0056512D"/>
    <w:rsid w:val="005652F3"/>
    <w:rsid w:val="005654C8"/>
    <w:rsid w:val="0056561C"/>
    <w:rsid w:val="00565D4E"/>
    <w:rsid w:val="00566534"/>
    <w:rsid w:val="0056686E"/>
    <w:rsid w:val="00566926"/>
    <w:rsid w:val="00566996"/>
    <w:rsid w:val="00566CF9"/>
    <w:rsid w:val="005675B0"/>
    <w:rsid w:val="0056771A"/>
    <w:rsid w:val="00567BCB"/>
    <w:rsid w:val="00570676"/>
    <w:rsid w:val="0057119D"/>
    <w:rsid w:val="00571327"/>
    <w:rsid w:val="00571382"/>
    <w:rsid w:val="00571578"/>
    <w:rsid w:val="0057166E"/>
    <w:rsid w:val="0057223B"/>
    <w:rsid w:val="0057263B"/>
    <w:rsid w:val="005726E5"/>
    <w:rsid w:val="0057284A"/>
    <w:rsid w:val="00572AA9"/>
    <w:rsid w:val="00572FB0"/>
    <w:rsid w:val="005732A0"/>
    <w:rsid w:val="00573669"/>
    <w:rsid w:val="00574291"/>
    <w:rsid w:val="00574510"/>
    <w:rsid w:val="00575B94"/>
    <w:rsid w:val="00575EF4"/>
    <w:rsid w:val="0057648F"/>
    <w:rsid w:val="005771D4"/>
    <w:rsid w:val="00577689"/>
    <w:rsid w:val="00577745"/>
    <w:rsid w:val="00580593"/>
    <w:rsid w:val="0058093B"/>
    <w:rsid w:val="00580BB9"/>
    <w:rsid w:val="00581289"/>
    <w:rsid w:val="00581350"/>
    <w:rsid w:val="00581C00"/>
    <w:rsid w:val="005826DF"/>
    <w:rsid w:val="0058295B"/>
    <w:rsid w:val="00582A84"/>
    <w:rsid w:val="00582B72"/>
    <w:rsid w:val="00582D43"/>
    <w:rsid w:val="00582DBC"/>
    <w:rsid w:val="00582F7F"/>
    <w:rsid w:val="005836BB"/>
    <w:rsid w:val="0058450E"/>
    <w:rsid w:val="0058462B"/>
    <w:rsid w:val="00584A24"/>
    <w:rsid w:val="00584A7F"/>
    <w:rsid w:val="005858D0"/>
    <w:rsid w:val="00586570"/>
    <w:rsid w:val="00587688"/>
    <w:rsid w:val="00587689"/>
    <w:rsid w:val="00590F63"/>
    <w:rsid w:val="005913BC"/>
    <w:rsid w:val="00591404"/>
    <w:rsid w:val="00592D1D"/>
    <w:rsid w:val="0059308E"/>
    <w:rsid w:val="00593582"/>
    <w:rsid w:val="005936FF"/>
    <w:rsid w:val="00593AA3"/>
    <w:rsid w:val="00593BB5"/>
    <w:rsid w:val="005943C2"/>
    <w:rsid w:val="00594844"/>
    <w:rsid w:val="00595BF2"/>
    <w:rsid w:val="00595DD1"/>
    <w:rsid w:val="00596A01"/>
    <w:rsid w:val="0059722F"/>
    <w:rsid w:val="0059788D"/>
    <w:rsid w:val="00597A4F"/>
    <w:rsid w:val="00597F02"/>
    <w:rsid w:val="005A03ED"/>
    <w:rsid w:val="005A049A"/>
    <w:rsid w:val="005A09D4"/>
    <w:rsid w:val="005A09DB"/>
    <w:rsid w:val="005A0DF7"/>
    <w:rsid w:val="005A0E88"/>
    <w:rsid w:val="005A11C1"/>
    <w:rsid w:val="005A1AE1"/>
    <w:rsid w:val="005A1FC4"/>
    <w:rsid w:val="005A22FC"/>
    <w:rsid w:val="005A27CB"/>
    <w:rsid w:val="005A4099"/>
    <w:rsid w:val="005A4B59"/>
    <w:rsid w:val="005A5146"/>
    <w:rsid w:val="005A5957"/>
    <w:rsid w:val="005A62FD"/>
    <w:rsid w:val="005A6C00"/>
    <w:rsid w:val="005A79D2"/>
    <w:rsid w:val="005A7CB5"/>
    <w:rsid w:val="005A7DC1"/>
    <w:rsid w:val="005B05A0"/>
    <w:rsid w:val="005B0FBA"/>
    <w:rsid w:val="005B10E3"/>
    <w:rsid w:val="005B23ED"/>
    <w:rsid w:val="005B3B1F"/>
    <w:rsid w:val="005B3BF6"/>
    <w:rsid w:val="005B46EC"/>
    <w:rsid w:val="005B477A"/>
    <w:rsid w:val="005B4971"/>
    <w:rsid w:val="005B4C67"/>
    <w:rsid w:val="005B4CAD"/>
    <w:rsid w:val="005B5AF1"/>
    <w:rsid w:val="005B5F96"/>
    <w:rsid w:val="005B6F7E"/>
    <w:rsid w:val="005B73B4"/>
    <w:rsid w:val="005B770E"/>
    <w:rsid w:val="005B7987"/>
    <w:rsid w:val="005B7E40"/>
    <w:rsid w:val="005C0CF7"/>
    <w:rsid w:val="005C138C"/>
    <w:rsid w:val="005C1647"/>
    <w:rsid w:val="005C281A"/>
    <w:rsid w:val="005C2DA5"/>
    <w:rsid w:val="005C305A"/>
    <w:rsid w:val="005C3881"/>
    <w:rsid w:val="005C45EF"/>
    <w:rsid w:val="005C47B1"/>
    <w:rsid w:val="005C5232"/>
    <w:rsid w:val="005C5389"/>
    <w:rsid w:val="005C56FC"/>
    <w:rsid w:val="005C5D09"/>
    <w:rsid w:val="005C5F53"/>
    <w:rsid w:val="005C6373"/>
    <w:rsid w:val="005C63D4"/>
    <w:rsid w:val="005C7414"/>
    <w:rsid w:val="005C7438"/>
    <w:rsid w:val="005D00F9"/>
    <w:rsid w:val="005D140D"/>
    <w:rsid w:val="005D31AC"/>
    <w:rsid w:val="005D35FD"/>
    <w:rsid w:val="005D386D"/>
    <w:rsid w:val="005D541C"/>
    <w:rsid w:val="005D5774"/>
    <w:rsid w:val="005D57AF"/>
    <w:rsid w:val="005D670E"/>
    <w:rsid w:val="005E0AE8"/>
    <w:rsid w:val="005E0E64"/>
    <w:rsid w:val="005E22CF"/>
    <w:rsid w:val="005E27DC"/>
    <w:rsid w:val="005E2932"/>
    <w:rsid w:val="005E29A5"/>
    <w:rsid w:val="005E3158"/>
    <w:rsid w:val="005E3918"/>
    <w:rsid w:val="005E497E"/>
    <w:rsid w:val="005E4984"/>
    <w:rsid w:val="005E4BFE"/>
    <w:rsid w:val="005E4D44"/>
    <w:rsid w:val="005E511E"/>
    <w:rsid w:val="005E5D84"/>
    <w:rsid w:val="005E630F"/>
    <w:rsid w:val="005E6314"/>
    <w:rsid w:val="005E63B2"/>
    <w:rsid w:val="005E6624"/>
    <w:rsid w:val="005E6BF1"/>
    <w:rsid w:val="005E7A4C"/>
    <w:rsid w:val="005F0444"/>
    <w:rsid w:val="005F0693"/>
    <w:rsid w:val="005F1096"/>
    <w:rsid w:val="005F1143"/>
    <w:rsid w:val="005F1685"/>
    <w:rsid w:val="005F17C4"/>
    <w:rsid w:val="005F1ED4"/>
    <w:rsid w:val="005F2CD0"/>
    <w:rsid w:val="005F34FF"/>
    <w:rsid w:val="005F3609"/>
    <w:rsid w:val="005F3EBB"/>
    <w:rsid w:val="005F4145"/>
    <w:rsid w:val="005F4857"/>
    <w:rsid w:val="005F4FDF"/>
    <w:rsid w:val="005F5953"/>
    <w:rsid w:val="005F5DC8"/>
    <w:rsid w:val="005F6087"/>
    <w:rsid w:val="005F6964"/>
    <w:rsid w:val="005F6B1E"/>
    <w:rsid w:val="005F6CFD"/>
    <w:rsid w:val="005F76EA"/>
    <w:rsid w:val="005F7B9D"/>
    <w:rsid w:val="005F7DA2"/>
    <w:rsid w:val="00600E6E"/>
    <w:rsid w:val="00601220"/>
    <w:rsid w:val="00601A27"/>
    <w:rsid w:val="006022E6"/>
    <w:rsid w:val="0060230C"/>
    <w:rsid w:val="00602796"/>
    <w:rsid w:val="00602A2C"/>
    <w:rsid w:val="00602BB9"/>
    <w:rsid w:val="006036FF"/>
    <w:rsid w:val="00603895"/>
    <w:rsid w:val="006039C9"/>
    <w:rsid w:val="00604655"/>
    <w:rsid w:val="0060515C"/>
    <w:rsid w:val="00605A79"/>
    <w:rsid w:val="00606034"/>
    <w:rsid w:val="0060621C"/>
    <w:rsid w:val="006066EF"/>
    <w:rsid w:val="006067BC"/>
    <w:rsid w:val="00606CD4"/>
    <w:rsid w:val="006071EC"/>
    <w:rsid w:val="00607488"/>
    <w:rsid w:val="006077CF"/>
    <w:rsid w:val="00607A2F"/>
    <w:rsid w:val="00607DCE"/>
    <w:rsid w:val="00607F88"/>
    <w:rsid w:val="0061021A"/>
    <w:rsid w:val="00610753"/>
    <w:rsid w:val="00610E17"/>
    <w:rsid w:val="00610FBC"/>
    <w:rsid w:val="0061174C"/>
    <w:rsid w:val="00611BAC"/>
    <w:rsid w:val="00613172"/>
    <w:rsid w:val="0061328B"/>
    <w:rsid w:val="00613DCF"/>
    <w:rsid w:val="00614093"/>
    <w:rsid w:val="0061434F"/>
    <w:rsid w:val="0061475B"/>
    <w:rsid w:val="00614AC7"/>
    <w:rsid w:val="00614B55"/>
    <w:rsid w:val="00614D7B"/>
    <w:rsid w:val="0061535D"/>
    <w:rsid w:val="0061567A"/>
    <w:rsid w:val="00615742"/>
    <w:rsid w:val="00615D78"/>
    <w:rsid w:val="006169C4"/>
    <w:rsid w:val="00616EFB"/>
    <w:rsid w:val="006172C3"/>
    <w:rsid w:val="0061789F"/>
    <w:rsid w:val="00620736"/>
    <w:rsid w:val="00620F41"/>
    <w:rsid w:val="006213E4"/>
    <w:rsid w:val="006218F9"/>
    <w:rsid w:val="00622831"/>
    <w:rsid w:val="00622B71"/>
    <w:rsid w:val="00622BE7"/>
    <w:rsid w:val="00623DC8"/>
    <w:rsid w:val="006246FE"/>
    <w:rsid w:val="00624997"/>
    <w:rsid w:val="00624B6D"/>
    <w:rsid w:val="006255A3"/>
    <w:rsid w:val="006264C3"/>
    <w:rsid w:val="00626690"/>
    <w:rsid w:val="00626FA8"/>
    <w:rsid w:val="006271F7"/>
    <w:rsid w:val="006302E2"/>
    <w:rsid w:val="006307EF"/>
    <w:rsid w:val="006315E9"/>
    <w:rsid w:val="00631A70"/>
    <w:rsid w:val="00631E13"/>
    <w:rsid w:val="006328F5"/>
    <w:rsid w:val="00632D35"/>
    <w:rsid w:val="0063309B"/>
    <w:rsid w:val="006330AD"/>
    <w:rsid w:val="00633C3D"/>
    <w:rsid w:val="00633D76"/>
    <w:rsid w:val="006344D6"/>
    <w:rsid w:val="0063536F"/>
    <w:rsid w:val="00635EF2"/>
    <w:rsid w:val="00636ADC"/>
    <w:rsid w:val="00637497"/>
    <w:rsid w:val="00637573"/>
    <w:rsid w:val="00637ABC"/>
    <w:rsid w:val="006400E4"/>
    <w:rsid w:val="00640260"/>
    <w:rsid w:val="00640866"/>
    <w:rsid w:val="006409E7"/>
    <w:rsid w:val="00640B29"/>
    <w:rsid w:val="00640F22"/>
    <w:rsid w:val="00641792"/>
    <w:rsid w:val="00641F1B"/>
    <w:rsid w:val="006421CA"/>
    <w:rsid w:val="00642F78"/>
    <w:rsid w:val="00643A3D"/>
    <w:rsid w:val="00643BA0"/>
    <w:rsid w:val="00643E58"/>
    <w:rsid w:val="00644265"/>
    <w:rsid w:val="00644848"/>
    <w:rsid w:val="00644B50"/>
    <w:rsid w:val="00645504"/>
    <w:rsid w:val="00645CA6"/>
    <w:rsid w:val="0064666B"/>
    <w:rsid w:val="00646B60"/>
    <w:rsid w:val="00646FC9"/>
    <w:rsid w:val="00647261"/>
    <w:rsid w:val="00647398"/>
    <w:rsid w:val="006473AC"/>
    <w:rsid w:val="006479E6"/>
    <w:rsid w:val="00647DE3"/>
    <w:rsid w:val="00647E10"/>
    <w:rsid w:val="00650B1D"/>
    <w:rsid w:val="006510CD"/>
    <w:rsid w:val="0065123E"/>
    <w:rsid w:val="006514C5"/>
    <w:rsid w:val="00651608"/>
    <w:rsid w:val="0065188B"/>
    <w:rsid w:val="006521A7"/>
    <w:rsid w:val="00652727"/>
    <w:rsid w:val="00653EB7"/>
    <w:rsid w:val="00654536"/>
    <w:rsid w:val="00654641"/>
    <w:rsid w:val="00654836"/>
    <w:rsid w:val="006548D4"/>
    <w:rsid w:val="00655A6E"/>
    <w:rsid w:val="00655CC2"/>
    <w:rsid w:val="00655F1E"/>
    <w:rsid w:val="006574BC"/>
    <w:rsid w:val="00657716"/>
    <w:rsid w:val="00660031"/>
    <w:rsid w:val="00660332"/>
    <w:rsid w:val="006605A5"/>
    <w:rsid w:val="00660888"/>
    <w:rsid w:val="00660A2B"/>
    <w:rsid w:val="00661DF2"/>
    <w:rsid w:val="00661E2F"/>
    <w:rsid w:val="00662869"/>
    <w:rsid w:val="0066362F"/>
    <w:rsid w:val="00663BF7"/>
    <w:rsid w:val="0066430B"/>
    <w:rsid w:val="006644F3"/>
    <w:rsid w:val="0066481D"/>
    <w:rsid w:val="0066528F"/>
    <w:rsid w:val="00665735"/>
    <w:rsid w:val="006657D4"/>
    <w:rsid w:val="0066651E"/>
    <w:rsid w:val="006669E1"/>
    <w:rsid w:val="00666F25"/>
    <w:rsid w:val="00667160"/>
    <w:rsid w:val="00670284"/>
    <w:rsid w:val="00670580"/>
    <w:rsid w:val="006709F0"/>
    <w:rsid w:val="00670AD1"/>
    <w:rsid w:val="00670BE4"/>
    <w:rsid w:val="006712AB"/>
    <w:rsid w:val="00671382"/>
    <w:rsid w:val="006716D7"/>
    <w:rsid w:val="00671F57"/>
    <w:rsid w:val="00672F7E"/>
    <w:rsid w:val="006737E7"/>
    <w:rsid w:val="00674446"/>
    <w:rsid w:val="0067445B"/>
    <w:rsid w:val="00674F5F"/>
    <w:rsid w:val="00675FD4"/>
    <w:rsid w:val="00676E1A"/>
    <w:rsid w:val="0068019F"/>
    <w:rsid w:val="00680355"/>
    <w:rsid w:val="006804B1"/>
    <w:rsid w:val="006809DA"/>
    <w:rsid w:val="00680F58"/>
    <w:rsid w:val="006816C1"/>
    <w:rsid w:val="00681936"/>
    <w:rsid w:val="00681B6A"/>
    <w:rsid w:val="00682010"/>
    <w:rsid w:val="00682752"/>
    <w:rsid w:val="00682C79"/>
    <w:rsid w:val="00683340"/>
    <w:rsid w:val="00683516"/>
    <w:rsid w:val="0068377D"/>
    <w:rsid w:val="00683872"/>
    <w:rsid w:val="0068463D"/>
    <w:rsid w:val="00684788"/>
    <w:rsid w:val="006849E1"/>
    <w:rsid w:val="0068518E"/>
    <w:rsid w:val="00685452"/>
    <w:rsid w:val="006858DB"/>
    <w:rsid w:val="006859B7"/>
    <w:rsid w:val="00686468"/>
    <w:rsid w:val="00687B88"/>
    <w:rsid w:val="00690381"/>
    <w:rsid w:val="00690A17"/>
    <w:rsid w:val="00691364"/>
    <w:rsid w:val="0069147F"/>
    <w:rsid w:val="006924B3"/>
    <w:rsid w:val="00692C22"/>
    <w:rsid w:val="00693768"/>
    <w:rsid w:val="00693964"/>
    <w:rsid w:val="00693B17"/>
    <w:rsid w:val="006945F8"/>
    <w:rsid w:val="006947B4"/>
    <w:rsid w:val="00694895"/>
    <w:rsid w:val="0069564D"/>
    <w:rsid w:val="00695D20"/>
    <w:rsid w:val="00695D68"/>
    <w:rsid w:val="00696068"/>
    <w:rsid w:val="00696700"/>
    <w:rsid w:val="00696C5E"/>
    <w:rsid w:val="0069716F"/>
    <w:rsid w:val="00697394"/>
    <w:rsid w:val="00697796"/>
    <w:rsid w:val="00697C88"/>
    <w:rsid w:val="006A04D0"/>
    <w:rsid w:val="006A10B7"/>
    <w:rsid w:val="006A122C"/>
    <w:rsid w:val="006A129E"/>
    <w:rsid w:val="006A1BCA"/>
    <w:rsid w:val="006A269A"/>
    <w:rsid w:val="006A28C1"/>
    <w:rsid w:val="006A3B0F"/>
    <w:rsid w:val="006A4015"/>
    <w:rsid w:val="006A401B"/>
    <w:rsid w:val="006A494E"/>
    <w:rsid w:val="006A49A7"/>
    <w:rsid w:val="006A5221"/>
    <w:rsid w:val="006A588F"/>
    <w:rsid w:val="006A6066"/>
    <w:rsid w:val="006A6CA7"/>
    <w:rsid w:val="006A72D6"/>
    <w:rsid w:val="006A7C32"/>
    <w:rsid w:val="006B0073"/>
    <w:rsid w:val="006B05EF"/>
    <w:rsid w:val="006B0652"/>
    <w:rsid w:val="006B0797"/>
    <w:rsid w:val="006B0FBB"/>
    <w:rsid w:val="006B1E1F"/>
    <w:rsid w:val="006B1EFF"/>
    <w:rsid w:val="006B2114"/>
    <w:rsid w:val="006B22AD"/>
    <w:rsid w:val="006B485C"/>
    <w:rsid w:val="006B49B3"/>
    <w:rsid w:val="006B4ACE"/>
    <w:rsid w:val="006B4F90"/>
    <w:rsid w:val="006B6272"/>
    <w:rsid w:val="006B6DCA"/>
    <w:rsid w:val="006B6E30"/>
    <w:rsid w:val="006B70CE"/>
    <w:rsid w:val="006B70D8"/>
    <w:rsid w:val="006B7182"/>
    <w:rsid w:val="006B7402"/>
    <w:rsid w:val="006C01B3"/>
    <w:rsid w:val="006C06FA"/>
    <w:rsid w:val="006C0793"/>
    <w:rsid w:val="006C0D37"/>
    <w:rsid w:val="006C11DF"/>
    <w:rsid w:val="006C12A8"/>
    <w:rsid w:val="006C1F2B"/>
    <w:rsid w:val="006C1F7D"/>
    <w:rsid w:val="006C2861"/>
    <w:rsid w:val="006C296C"/>
    <w:rsid w:val="006C30ED"/>
    <w:rsid w:val="006C349A"/>
    <w:rsid w:val="006C424D"/>
    <w:rsid w:val="006C430A"/>
    <w:rsid w:val="006C4AE2"/>
    <w:rsid w:val="006C4E53"/>
    <w:rsid w:val="006C51F4"/>
    <w:rsid w:val="006C527D"/>
    <w:rsid w:val="006C5FD6"/>
    <w:rsid w:val="006C6ACA"/>
    <w:rsid w:val="006C6B04"/>
    <w:rsid w:val="006D02FC"/>
    <w:rsid w:val="006D1113"/>
    <w:rsid w:val="006D1261"/>
    <w:rsid w:val="006D1628"/>
    <w:rsid w:val="006D1B44"/>
    <w:rsid w:val="006D1E07"/>
    <w:rsid w:val="006D2486"/>
    <w:rsid w:val="006D2587"/>
    <w:rsid w:val="006D358C"/>
    <w:rsid w:val="006D3B91"/>
    <w:rsid w:val="006D3C6B"/>
    <w:rsid w:val="006D3FD0"/>
    <w:rsid w:val="006D427D"/>
    <w:rsid w:val="006D44D9"/>
    <w:rsid w:val="006D4DCF"/>
    <w:rsid w:val="006D4DF0"/>
    <w:rsid w:val="006D6107"/>
    <w:rsid w:val="006D6E37"/>
    <w:rsid w:val="006D7B8A"/>
    <w:rsid w:val="006D7C12"/>
    <w:rsid w:val="006E2564"/>
    <w:rsid w:val="006E26E3"/>
    <w:rsid w:val="006E2836"/>
    <w:rsid w:val="006E3FB6"/>
    <w:rsid w:val="006E41F0"/>
    <w:rsid w:val="006E461F"/>
    <w:rsid w:val="006E489C"/>
    <w:rsid w:val="006E4A42"/>
    <w:rsid w:val="006E4B3C"/>
    <w:rsid w:val="006E53CF"/>
    <w:rsid w:val="006E56F9"/>
    <w:rsid w:val="006E57D7"/>
    <w:rsid w:val="006E5878"/>
    <w:rsid w:val="006E5E90"/>
    <w:rsid w:val="006E64A5"/>
    <w:rsid w:val="006E6D36"/>
    <w:rsid w:val="006E6FA7"/>
    <w:rsid w:val="006E7CAB"/>
    <w:rsid w:val="006E7F3B"/>
    <w:rsid w:val="006F03B3"/>
    <w:rsid w:val="006F044D"/>
    <w:rsid w:val="006F1175"/>
    <w:rsid w:val="006F125C"/>
    <w:rsid w:val="006F1333"/>
    <w:rsid w:val="006F14F1"/>
    <w:rsid w:val="006F2618"/>
    <w:rsid w:val="006F280B"/>
    <w:rsid w:val="006F2C90"/>
    <w:rsid w:val="006F2F7E"/>
    <w:rsid w:val="006F3506"/>
    <w:rsid w:val="006F35CC"/>
    <w:rsid w:val="006F45ED"/>
    <w:rsid w:val="006F49B9"/>
    <w:rsid w:val="006F49CD"/>
    <w:rsid w:val="006F4ADA"/>
    <w:rsid w:val="006F50B6"/>
    <w:rsid w:val="006F5840"/>
    <w:rsid w:val="006F5862"/>
    <w:rsid w:val="006F64A9"/>
    <w:rsid w:val="006F6887"/>
    <w:rsid w:val="006F6BAD"/>
    <w:rsid w:val="006F6C05"/>
    <w:rsid w:val="006F6CD7"/>
    <w:rsid w:val="006F70F9"/>
    <w:rsid w:val="006F7B80"/>
    <w:rsid w:val="006F7CE2"/>
    <w:rsid w:val="006F7E04"/>
    <w:rsid w:val="006F7F49"/>
    <w:rsid w:val="00700BEF"/>
    <w:rsid w:val="00701161"/>
    <w:rsid w:val="00701CB3"/>
    <w:rsid w:val="00701E8C"/>
    <w:rsid w:val="00701F45"/>
    <w:rsid w:val="007021D8"/>
    <w:rsid w:val="007021E9"/>
    <w:rsid w:val="00703C90"/>
    <w:rsid w:val="00704A88"/>
    <w:rsid w:val="00705051"/>
    <w:rsid w:val="00705F77"/>
    <w:rsid w:val="00706378"/>
    <w:rsid w:val="0070676A"/>
    <w:rsid w:val="007069B8"/>
    <w:rsid w:val="00706ADB"/>
    <w:rsid w:val="00707BB8"/>
    <w:rsid w:val="00710778"/>
    <w:rsid w:val="00710A3B"/>
    <w:rsid w:val="00710A60"/>
    <w:rsid w:val="00711003"/>
    <w:rsid w:val="00712261"/>
    <w:rsid w:val="00712AA9"/>
    <w:rsid w:val="007141AE"/>
    <w:rsid w:val="007141D6"/>
    <w:rsid w:val="00714574"/>
    <w:rsid w:val="0071474D"/>
    <w:rsid w:val="0071527B"/>
    <w:rsid w:val="007157C0"/>
    <w:rsid w:val="00715F1F"/>
    <w:rsid w:val="00720503"/>
    <w:rsid w:val="00721CD0"/>
    <w:rsid w:val="00722E09"/>
    <w:rsid w:val="007233B0"/>
    <w:rsid w:val="00723B6B"/>
    <w:rsid w:val="00723BA9"/>
    <w:rsid w:val="00723C89"/>
    <w:rsid w:val="00723DC7"/>
    <w:rsid w:val="00724251"/>
    <w:rsid w:val="00724255"/>
    <w:rsid w:val="00724B1F"/>
    <w:rsid w:val="00725FA0"/>
    <w:rsid w:val="0072638A"/>
    <w:rsid w:val="00726878"/>
    <w:rsid w:val="00726CE6"/>
    <w:rsid w:val="00726FE1"/>
    <w:rsid w:val="0072712B"/>
    <w:rsid w:val="0072744E"/>
    <w:rsid w:val="00727D45"/>
    <w:rsid w:val="00727E3E"/>
    <w:rsid w:val="00730B54"/>
    <w:rsid w:val="00730F38"/>
    <w:rsid w:val="007313CA"/>
    <w:rsid w:val="007321BD"/>
    <w:rsid w:val="00732596"/>
    <w:rsid w:val="00732BB6"/>
    <w:rsid w:val="00732D1B"/>
    <w:rsid w:val="007331AE"/>
    <w:rsid w:val="007335F2"/>
    <w:rsid w:val="00733A2C"/>
    <w:rsid w:val="00734AD3"/>
    <w:rsid w:val="00735657"/>
    <w:rsid w:val="007357D4"/>
    <w:rsid w:val="00735B59"/>
    <w:rsid w:val="00735FA8"/>
    <w:rsid w:val="0073604A"/>
    <w:rsid w:val="007360AC"/>
    <w:rsid w:val="0073621C"/>
    <w:rsid w:val="007363A4"/>
    <w:rsid w:val="00736628"/>
    <w:rsid w:val="007367C9"/>
    <w:rsid w:val="007369C2"/>
    <w:rsid w:val="0073779B"/>
    <w:rsid w:val="007401EC"/>
    <w:rsid w:val="0074030D"/>
    <w:rsid w:val="007404EC"/>
    <w:rsid w:val="00740706"/>
    <w:rsid w:val="007408C1"/>
    <w:rsid w:val="00740A99"/>
    <w:rsid w:val="00741238"/>
    <w:rsid w:val="00741FBF"/>
    <w:rsid w:val="0074257B"/>
    <w:rsid w:val="007427D2"/>
    <w:rsid w:val="00742FB5"/>
    <w:rsid w:val="00743D1A"/>
    <w:rsid w:val="00744816"/>
    <w:rsid w:val="00744D79"/>
    <w:rsid w:val="007455EC"/>
    <w:rsid w:val="00745FE4"/>
    <w:rsid w:val="00746936"/>
    <w:rsid w:val="00746F7A"/>
    <w:rsid w:val="0074704B"/>
    <w:rsid w:val="00747056"/>
    <w:rsid w:val="00747509"/>
    <w:rsid w:val="00747672"/>
    <w:rsid w:val="0074793D"/>
    <w:rsid w:val="00750341"/>
    <w:rsid w:val="007512E0"/>
    <w:rsid w:val="007518B5"/>
    <w:rsid w:val="0075278A"/>
    <w:rsid w:val="00752D4F"/>
    <w:rsid w:val="007537C7"/>
    <w:rsid w:val="00753AF9"/>
    <w:rsid w:val="00753C7A"/>
    <w:rsid w:val="00753DC0"/>
    <w:rsid w:val="00753FAE"/>
    <w:rsid w:val="007549F5"/>
    <w:rsid w:val="00754AEE"/>
    <w:rsid w:val="00754B17"/>
    <w:rsid w:val="00755063"/>
    <w:rsid w:val="007556DD"/>
    <w:rsid w:val="00755837"/>
    <w:rsid w:val="00756954"/>
    <w:rsid w:val="00756A40"/>
    <w:rsid w:val="00756ABB"/>
    <w:rsid w:val="00757702"/>
    <w:rsid w:val="0075783A"/>
    <w:rsid w:val="00757966"/>
    <w:rsid w:val="00760223"/>
    <w:rsid w:val="007602DD"/>
    <w:rsid w:val="00760726"/>
    <w:rsid w:val="00760825"/>
    <w:rsid w:val="00760F59"/>
    <w:rsid w:val="00761401"/>
    <w:rsid w:val="007616D5"/>
    <w:rsid w:val="00761CD5"/>
    <w:rsid w:val="00761CFC"/>
    <w:rsid w:val="00762F5C"/>
    <w:rsid w:val="00763B0B"/>
    <w:rsid w:val="00765037"/>
    <w:rsid w:val="007653D9"/>
    <w:rsid w:val="00765A3F"/>
    <w:rsid w:val="00765D86"/>
    <w:rsid w:val="00766B28"/>
    <w:rsid w:val="00766C4A"/>
    <w:rsid w:val="00766FA0"/>
    <w:rsid w:val="0077027F"/>
    <w:rsid w:val="00770747"/>
    <w:rsid w:val="00770A39"/>
    <w:rsid w:val="00770B51"/>
    <w:rsid w:val="00770C2F"/>
    <w:rsid w:val="007711B0"/>
    <w:rsid w:val="00771988"/>
    <w:rsid w:val="00771B76"/>
    <w:rsid w:val="00772028"/>
    <w:rsid w:val="0077225E"/>
    <w:rsid w:val="007727AF"/>
    <w:rsid w:val="007729DF"/>
    <w:rsid w:val="00772C4D"/>
    <w:rsid w:val="007736CB"/>
    <w:rsid w:val="00773B7E"/>
    <w:rsid w:val="00773C3A"/>
    <w:rsid w:val="00773E08"/>
    <w:rsid w:val="00774218"/>
    <w:rsid w:val="007752D2"/>
    <w:rsid w:val="007765E3"/>
    <w:rsid w:val="00776B4B"/>
    <w:rsid w:val="00776BAD"/>
    <w:rsid w:val="00777B34"/>
    <w:rsid w:val="0078019E"/>
    <w:rsid w:val="00780486"/>
    <w:rsid w:val="007808DC"/>
    <w:rsid w:val="00780B53"/>
    <w:rsid w:val="00781139"/>
    <w:rsid w:val="007813A3"/>
    <w:rsid w:val="00781509"/>
    <w:rsid w:val="007823F4"/>
    <w:rsid w:val="00782480"/>
    <w:rsid w:val="0078250C"/>
    <w:rsid w:val="00782ABF"/>
    <w:rsid w:val="00783127"/>
    <w:rsid w:val="007846B8"/>
    <w:rsid w:val="00784721"/>
    <w:rsid w:val="00785B99"/>
    <w:rsid w:val="00786426"/>
    <w:rsid w:val="0078767D"/>
    <w:rsid w:val="007876C0"/>
    <w:rsid w:val="007877D4"/>
    <w:rsid w:val="007879F0"/>
    <w:rsid w:val="00787F87"/>
    <w:rsid w:val="007900EF"/>
    <w:rsid w:val="007907F1"/>
    <w:rsid w:val="00790A53"/>
    <w:rsid w:val="00790A7F"/>
    <w:rsid w:val="00790B23"/>
    <w:rsid w:val="0079109B"/>
    <w:rsid w:val="007916D7"/>
    <w:rsid w:val="00792128"/>
    <w:rsid w:val="00792A92"/>
    <w:rsid w:val="00793432"/>
    <w:rsid w:val="00793905"/>
    <w:rsid w:val="00794C67"/>
    <w:rsid w:val="0079594D"/>
    <w:rsid w:val="00795E5F"/>
    <w:rsid w:val="00796B08"/>
    <w:rsid w:val="00796B47"/>
    <w:rsid w:val="00796EE8"/>
    <w:rsid w:val="00797DE9"/>
    <w:rsid w:val="007A0592"/>
    <w:rsid w:val="007A075A"/>
    <w:rsid w:val="007A11FF"/>
    <w:rsid w:val="007A1AEE"/>
    <w:rsid w:val="007A220D"/>
    <w:rsid w:val="007A28AF"/>
    <w:rsid w:val="007A318F"/>
    <w:rsid w:val="007A3B30"/>
    <w:rsid w:val="007A3F8D"/>
    <w:rsid w:val="007A44D3"/>
    <w:rsid w:val="007A4C8A"/>
    <w:rsid w:val="007A52CA"/>
    <w:rsid w:val="007A55A9"/>
    <w:rsid w:val="007A5D60"/>
    <w:rsid w:val="007A618E"/>
    <w:rsid w:val="007A64F1"/>
    <w:rsid w:val="007A76B7"/>
    <w:rsid w:val="007B0D19"/>
    <w:rsid w:val="007B1226"/>
    <w:rsid w:val="007B1559"/>
    <w:rsid w:val="007B18F1"/>
    <w:rsid w:val="007B1F5A"/>
    <w:rsid w:val="007B24CA"/>
    <w:rsid w:val="007B2CAE"/>
    <w:rsid w:val="007B3619"/>
    <w:rsid w:val="007B37FB"/>
    <w:rsid w:val="007B47CF"/>
    <w:rsid w:val="007B5A23"/>
    <w:rsid w:val="007B6239"/>
    <w:rsid w:val="007B6A38"/>
    <w:rsid w:val="007C170E"/>
    <w:rsid w:val="007C1D97"/>
    <w:rsid w:val="007C1FB4"/>
    <w:rsid w:val="007C220B"/>
    <w:rsid w:val="007C4AE9"/>
    <w:rsid w:val="007C5158"/>
    <w:rsid w:val="007C51EE"/>
    <w:rsid w:val="007C57F5"/>
    <w:rsid w:val="007C5AF3"/>
    <w:rsid w:val="007C5DDE"/>
    <w:rsid w:val="007C6A3C"/>
    <w:rsid w:val="007C7335"/>
    <w:rsid w:val="007C7E7D"/>
    <w:rsid w:val="007C7FDC"/>
    <w:rsid w:val="007D008E"/>
    <w:rsid w:val="007D0A44"/>
    <w:rsid w:val="007D1325"/>
    <w:rsid w:val="007D1548"/>
    <w:rsid w:val="007D1887"/>
    <w:rsid w:val="007D18A8"/>
    <w:rsid w:val="007D190F"/>
    <w:rsid w:val="007D1BF1"/>
    <w:rsid w:val="007D22CE"/>
    <w:rsid w:val="007D2336"/>
    <w:rsid w:val="007D2394"/>
    <w:rsid w:val="007D2669"/>
    <w:rsid w:val="007D2A5A"/>
    <w:rsid w:val="007D32EB"/>
    <w:rsid w:val="007D3B89"/>
    <w:rsid w:val="007D411C"/>
    <w:rsid w:val="007D43A9"/>
    <w:rsid w:val="007D4678"/>
    <w:rsid w:val="007D4FBE"/>
    <w:rsid w:val="007D514F"/>
    <w:rsid w:val="007D53E1"/>
    <w:rsid w:val="007D5751"/>
    <w:rsid w:val="007D62DF"/>
    <w:rsid w:val="007D64AD"/>
    <w:rsid w:val="007D65A6"/>
    <w:rsid w:val="007D6C24"/>
    <w:rsid w:val="007E01D6"/>
    <w:rsid w:val="007E0747"/>
    <w:rsid w:val="007E0867"/>
    <w:rsid w:val="007E0873"/>
    <w:rsid w:val="007E0ADF"/>
    <w:rsid w:val="007E0F4E"/>
    <w:rsid w:val="007E1026"/>
    <w:rsid w:val="007E2319"/>
    <w:rsid w:val="007E266A"/>
    <w:rsid w:val="007E27FA"/>
    <w:rsid w:val="007E2C58"/>
    <w:rsid w:val="007E33AE"/>
    <w:rsid w:val="007E3598"/>
    <w:rsid w:val="007E3A57"/>
    <w:rsid w:val="007E4875"/>
    <w:rsid w:val="007E4C64"/>
    <w:rsid w:val="007E50AF"/>
    <w:rsid w:val="007E5135"/>
    <w:rsid w:val="007E51BC"/>
    <w:rsid w:val="007E53BD"/>
    <w:rsid w:val="007E6262"/>
    <w:rsid w:val="007E62F5"/>
    <w:rsid w:val="007E6485"/>
    <w:rsid w:val="007E7206"/>
    <w:rsid w:val="007E7322"/>
    <w:rsid w:val="007E7520"/>
    <w:rsid w:val="007F03A6"/>
    <w:rsid w:val="007F055D"/>
    <w:rsid w:val="007F0B23"/>
    <w:rsid w:val="007F11EE"/>
    <w:rsid w:val="007F2067"/>
    <w:rsid w:val="007F20F2"/>
    <w:rsid w:val="007F2248"/>
    <w:rsid w:val="007F3B40"/>
    <w:rsid w:val="007F3F70"/>
    <w:rsid w:val="007F49F6"/>
    <w:rsid w:val="007F56E3"/>
    <w:rsid w:val="007F5D0B"/>
    <w:rsid w:val="007F5E9A"/>
    <w:rsid w:val="007F6193"/>
    <w:rsid w:val="007F635F"/>
    <w:rsid w:val="007F6469"/>
    <w:rsid w:val="007F6839"/>
    <w:rsid w:val="007F6C2E"/>
    <w:rsid w:val="007F797F"/>
    <w:rsid w:val="007F79A4"/>
    <w:rsid w:val="007F7A46"/>
    <w:rsid w:val="007F7BCA"/>
    <w:rsid w:val="008012CB"/>
    <w:rsid w:val="008020D8"/>
    <w:rsid w:val="00802ACC"/>
    <w:rsid w:val="0080358B"/>
    <w:rsid w:val="0080584F"/>
    <w:rsid w:val="00806086"/>
    <w:rsid w:val="008060A6"/>
    <w:rsid w:val="00806472"/>
    <w:rsid w:val="008070A7"/>
    <w:rsid w:val="008072FC"/>
    <w:rsid w:val="008075D7"/>
    <w:rsid w:val="00807E77"/>
    <w:rsid w:val="00807E91"/>
    <w:rsid w:val="0081069E"/>
    <w:rsid w:val="00810A8F"/>
    <w:rsid w:val="0081130A"/>
    <w:rsid w:val="00812BE6"/>
    <w:rsid w:val="0081370A"/>
    <w:rsid w:val="00813B8C"/>
    <w:rsid w:val="00813F07"/>
    <w:rsid w:val="00814844"/>
    <w:rsid w:val="00815075"/>
    <w:rsid w:val="008150A7"/>
    <w:rsid w:val="00815401"/>
    <w:rsid w:val="008155C0"/>
    <w:rsid w:val="00815B07"/>
    <w:rsid w:val="00815E6A"/>
    <w:rsid w:val="00815FB8"/>
    <w:rsid w:val="00817268"/>
    <w:rsid w:val="00817302"/>
    <w:rsid w:val="00817450"/>
    <w:rsid w:val="00820015"/>
    <w:rsid w:val="008201A2"/>
    <w:rsid w:val="008201CE"/>
    <w:rsid w:val="008202EA"/>
    <w:rsid w:val="0082035C"/>
    <w:rsid w:val="00820879"/>
    <w:rsid w:val="00820EF1"/>
    <w:rsid w:val="008214AB"/>
    <w:rsid w:val="0082162C"/>
    <w:rsid w:val="00821CF7"/>
    <w:rsid w:val="00821F0D"/>
    <w:rsid w:val="00822273"/>
    <w:rsid w:val="0082287D"/>
    <w:rsid w:val="00822BC8"/>
    <w:rsid w:val="00823534"/>
    <w:rsid w:val="00823709"/>
    <w:rsid w:val="008238E1"/>
    <w:rsid w:val="00824343"/>
    <w:rsid w:val="00825528"/>
    <w:rsid w:val="008256F4"/>
    <w:rsid w:val="008259B5"/>
    <w:rsid w:val="00827E97"/>
    <w:rsid w:val="0083039D"/>
    <w:rsid w:val="008310C2"/>
    <w:rsid w:val="0083124E"/>
    <w:rsid w:val="0083158B"/>
    <w:rsid w:val="00831A89"/>
    <w:rsid w:val="008327FE"/>
    <w:rsid w:val="00832CC5"/>
    <w:rsid w:val="0083313C"/>
    <w:rsid w:val="008335C7"/>
    <w:rsid w:val="008337CB"/>
    <w:rsid w:val="00833CE1"/>
    <w:rsid w:val="00833F3E"/>
    <w:rsid w:val="008342CC"/>
    <w:rsid w:val="008349BD"/>
    <w:rsid w:val="00834F4C"/>
    <w:rsid w:val="008357B3"/>
    <w:rsid w:val="008359ED"/>
    <w:rsid w:val="00836123"/>
    <w:rsid w:val="008365A2"/>
    <w:rsid w:val="00837914"/>
    <w:rsid w:val="00837F27"/>
    <w:rsid w:val="00841239"/>
    <w:rsid w:val="0084126D"/>
    <w:rsid w:val="00842164"/>
    <w:rsid w:val="00842230"/>
    <w:rsid w:val="0084244F"/>
    <w:rsid w:val="008426C4"/>
    <w:rsid w:val="00842908"/>
    <w:rsid w:val="00842E83"/>
    <w:rsid w:val="00843790"/>
    <w:rsid w:val="00843D83"/>
    <w:rsid w:val="0084462F"/>
    <w:rsid w:val="00844B30"/>
    <w:rsid w:val="00845A0D"/>
    <w:rsid w:val="00845B76"/>
    <w:rsid w:val="00846B80"/>
    <w:rsid w:val="00847ABC"/>
    <w:rsid w:val="00847CA7"/>
    <w:rsid w:val="00847F95"/>
    <w:rsid w:val="008503A8"/>
    <w:rsid w:val="00850FE7"/>
    <w:rsid w:val="00851531"/>
    <w:rsid w:val="00851939"/>
    <w:rsid w:val="00851E76"/>
    <w:rsid w:val="00852A71"/>
    <w:rsid w:val="00852AD1"/>
    <w:rsid w:val="0085344C"/>
    <w:rsid w:val="00853DBA"/>
    <w:rsid w:val="00854584"/>
    <w:rsid w:val="00854A9F"/>
    <w:rsid w:val="00854FD8"/>
    <w:rsid w:val="008550A3"/>
    <w:rsid w:val="00855288"/>
    <w:rsid w:val="0085646E"/>
    <w:rsid w:val="00856B36"/>
    <w:rsid w:val="00856F9E"/>
    <w:rsid w:val="0085756F"/>
    <w:rsid w:val="00857754"/>
    <w:rsid w:val="00857B63"/>
    <w:rsid w:val="00860775"/>
    <w:rsid w:val="00861217"/>
    <w:rsid w:val="008616DD"/>
    <w:rsid w:val="00861A31"/>
    <w:rsid w:val="00861AA7"/>
    <w:rsid w:val="008620D2"/>
    <w:rsid w:val="00862550"/>
    <w:rsid w:val="00862DC5"/>
    <w:rsid w:val="0086312F"/>
    <w:rsid w:val="008631CC"/>
    <w:rsid w:val="008632AA"/>
    <w:rsid w:val="00863701"/>
    <w:rsid w:val="00863B65"/>
    <w:rsid w:val="00863BE7"/>
    <w:rsid w:val="00863C4A"/>
    <w:rsid w:val="00864572"/>
    <w:rsid w:val="00864986"/>
    <w:rsid w:val="00865447"/>
    <w:rsid w:val="00865B39"/>
    <w:rsid w:val="00865BAF"/>
    <w:rsid w:val="00865F35"/>
    <w:rsid w:val="00866086"/>
    <w:rsid w:val="00866456"/>
    <w:rsid w:val="008670AB"/>
    <w:rsid w:val="00867EC2"/>
    <w:rsid w:val="00870640"/>
    <w:rsid w:val="008712A0"/>
    <w:rsid w:val="00872452"/>
    <w:rsid w:val="008732BC"/>
    <w:rsid w:val="00873BA4"/>
    <w:rsid w:val="0087417F"/>
    <w:rsid w:val="008742D4"/>
    <w:rsid w:val="008742DC"/>
    <w:rsid w:val="00874DFD"/>
    <w:rsid w:val="0087544E"/>
    <w:rsid w:val="00875834"/>
    <w:rsid w:val="00875E04"/>
    <w:rsid w:val="008765A2"/>
    <w:rsid w:val="00876C54"/>
    <w:rsid w:val="00876CE8"/>
    <w:rsid w:val="0088059B"/>
    <w:rsid w:val="00881E2D"/>
    <w:rsid w:val="00882763"/>
    <w:rsid w:val="00882C02"/>
    <w:rsid w:val="008830B5"/>
    <w:rsid w:val="008833FA"/>
    <w:rsid w:val="00883589"/>
    <w:rsid w:val="00883627"/>
    <w:rsid w:val="008837EB"/>
    <w:rsid w:val="00883B06"/>
    <w:rsid w:val="00884652"/>
    <w:rsid w:val="008848F7"/>
    <w:rsid w:val="008854E9"/>
    <w:rsid w:val="008869C5"/>
    <w:rsid w:val="00886ECD"/>
    <w:rsid w:val="008874F9"/>
    <w:rsid w:val="0089054F"/>
    <w:rsid w:val="0089057C"/>
    <w:rsid w:val="00890D61"/>
    <w:rsid w:val="008911C2"/>
    <w:rsid w:val="008916F3"/>
    <w:rsid w:val="008919CA"/>
    <w:rsid w:val="00892336"/>
    <w:rsid w:val="008931C0"/>
    <w:rsid w:val="0089355C"/>
    <w:rsid w:val="00893653"/>
    <w:rsid w:val="00893E0F"/>
    <w:rsid w:val="00893F38"/>
    <w:rsid w:val="00894227"/>
    <w:rsid w:val="00894843"/>
    <w:rsid w:val="00894CF3"/>
    <w:rsid w:val="008953D1"/>
    <w:rsid w:val="00896147"/>
    <w:rsid w:val="0089637B"/>
    <w:rsid w:val="00896557"/>
    <w:rsid w:val="00896AF4"/>
    <w:rsid w:val="00896C5D"/>
    <w:rsid w:val="00896CB1"/>
    <w:rsid w:val="00897070"/>
    <w:rsid w:val="0089721A"/>
    <w:rsid w:val="008976C7"/>
    <w:rsid w:val="00897CC5"/>
    <w:rsid w:val="008A0AFB"/>
    <w:rsid w:val="008A0CC7"/>
    <w:rsid w:val="008A11A3"/>
    <w:rsid w:val="008A120C"/>
    <w:rsid w:val="008A1683"/>
    <w:rsid w:val="008A1D16"/>
    <w:rsid w:val="008A2B81"/>
    <w:rsid w:val="008A309F"/>
    <w:rsid w:val="008A42FE"/>
    <w:rsid w:val="008A47A4"/>
    <w:rsid w:val="008A4895"/>
    <w:rsid w:val="008A4B02"/>
    <w:rsid w:val="008A4CA4"/>
    <w:rsid w:val="008A5A35"/>
    <w:rsid w:val="008A645D"/>
    <w:rsid w:val="008A727B"/>
    <w:rsid w:val="008A7544"/>
    <w:rsid w:val="008B105A"/>
    <w:rsid w:val="008B2244"/>
    <w:rsid w:val="008B232F"/>
    <w:rsid w:val="008B27CF"/>
    <w:rsid w:val="008B2E3C"/>
    <w:rsid w:val="008B3030"/>
    <w:rsid w:val="008B31DB"/>
    <w:rsid w:val="008B351D"/>
    <w:rsid w:val="008B3AF0"/>
    <w:rsid w:val="008B3E76"/>
    <w:rsid w:val="008B44AF"/>
    <w:rsid w:val="008B4AC0"/>
    <w:rsid w:val="008B5FCE"/>
    <w:rsid w:val="008B606F"/>
    <w:rsid w:val="008B62EC"/>
    <w:rsid w:val="008B66F0"/>
    <w:rsid w:val="008B688E"/>
    <w:rsid w:val="008B689E"/>
    <w:rsid w:val="008B6945"/>
    <w:rsid w:val="008B76AC"/>
    <w:rsid w:val="008B7749"/>
    <w:rsid w:val="008B77B4"/>
    <w:rsid w:val="008B77E2"/>
    <w:rsid w:val="008C05C5"/>
    <w:rsid w:val="008C06A8"/>
    <w:rsid w:val="008C1199"/>
    <w:rsid w:val="008C1557"/>
    <w:rsid w:val="008C16F3"/>
    <w:rsid w:val="008C217A"/>
    <w:rsid w:val="008C21E4"/>
    <w:rsid w:val="008C252A"/>
    <w:rsid w:val="008C25AE"/>
    <w:rsid w:val="008C2D38"/>
    <w:rsid w:val="008C394E"/>
    <w:rsid w:val="008C3E19"/>
    <w:rsid w:val="008C3FA4"/>
    <w:rsid w:val="008C47FB"/>
    <w:rsid w:val="008C4A6F"/>
    <w:rsid w:val="008C4A99"/>
    <w:rsid w:val="008C501B"/>
    <w:rsid w:val="008C5EDC"/>
    <w:rsid w:val="008C6338"/>
    <w:rsid w:val="008C66F3"/>
    <w:rsid w:val="008C6A9E"/>
    <w:rsid w:val="008C6C8D"/>
    <w:rsid w:val="008C760B"/>
    <w:rsid w:val="008C793A"/>
    <w:rsid w:val="008C7D69"/>
    <w:rsid w:val="008C7E21"/>
    <w:rsid w:val="008D0988"/>
    <w:rsid w:val="008D1302"/>
    <w:rsid w:val="008D1391"/>
    <w:rsid w:val="008D1553"/>
    <w:rsid w:val="008D15D9"/>
    <w:rsid w:val="008D2A62"/>
    <w:rsid w:val="008D3657"/>
    <w:rsid w:val="008D4EDF"/>
    <w:rsid w:val="008D62FF"/>
    <w:rsid w:val="008D647A"/>
    <w:rsid w:val="008D6F3C"/>
    <w:rsid w:val="008D72AF"/>
    <w:rsid w:val="008D75D7"/>
    <w:rsid w:val="008D7A4A"/>
    <w:rsid w:val="008D7AD9"/>
    <w:rsid w:val="008D7BFB"/>
    <w:rsid w:val="008E00BC"/>
    <w:rsid w:val="008E08D8"/>
    <w:rsid w:val="008E1610"/>
    <w:rsid w:val="008E1C24"/>
    <w:rsid w:val="008E2587"/>
    <w:rsid w:val="008E25F0"/>
    <w:rsid w:val="008E29AC"/>
    <w:rsid w:val="008E2B7D"/>
    <w:rsid w:val="008E3CC9"/>
    <w:rsid w:val="008E46AA"/>
    <w:rsid w:val="008E46B8"/>
    <w:rsid w:val="008E489C"/>
    <w:rsid w:val="008E4A35"/>
    <w:rsid w:val="008E4E07"/>
    <w:rsid w:val="008E4E34"/>
    <w:rsid w:val="008E5255"/>
    <w:rsid w:val="008E5282"/>
    <w:rsid w:val="008E587B"/>
    <w:rsid w:val="008E6769"/>
    <w:rsid w:val="008E6B67"/>
    <w:rsid w:val="008E7ED1"/>
    <w:rsid w:val="008F0623"/>
    <w:rsid w:val="008F06EC"/>
    <w:rsid w:val="008F078F"/>
    <w:rsid w:val="008F08C5"/>
    <w:rsid w:val="008F1891"/>
    <w:rsid w:val="008F18B9"/>
    <w:rsid w:val="008F2CF7"/>
    <w:rsid w:val="008F3401"/>
    <w:rsid w:val="008F35CB"/>
    <w:rsid w:val="008F3D8E"/>
    <w:rsid w:val="008F4643"/>
    <w:rsid w:val="008F4C12"/>
    <w:rsid w:val="008F4DB4"/>
    <w:rsid w:val="008F5330"/>
    <w:rsid w:val="008F589A"/>
    <w:rsid w:val="008F617E"/>
    <w:rsid w:val="008F64C4"/>
    <w:rsid w:val="008F69DD"/>
    <w:rsid w:val="008F6B66"/>
    <w:rsid w:val="008F71E3"/>
    <w:rsid w:val="008F7CC6"/>
    <w:rsid w:val="009000E4"/>
    <w:rsid w:val="00900A37"/>
    <w:rsid w:val="00901448"/>
    <w:rsid w:val="00901952"/>
    <w:rsid w:val="00902380"/>
    <w:rsid w:val="00902662"/>
    <w:rsid w:val="00903796"/>
    <w:rsid w:val="00903B18"/>
    <w:rsid w:val="00903B19"/>
    <w:rsid w:val="00904000"/>
    <w:rsid w:val="00904C75"/>
    <w:rsid w:val="00905364"/>
    <w:rsid w:val="00905638"/>
    <w:rsid w:val="00905A50"/>
    <w:rsid w:val="00905EAF"/>
    <w:rsid w:val="009069FD"/>
    <w:rsid w:val="009070DD"/>
    <w:rsid w:val="00907131"/>
    <w:rsid w:val="00907754"/>
    <w:rsid w:val="00907B0B"/>
    <w:rsid w:val="00910308"/>
    <w:rsid w:val="00910374"/>
    <w:rsid w:val="00910575"/>
    <w:rsid w:val="00910803"/>
    <w:rsid w:val="0091097D"/>
    <w:rsid w:val="00911A6D"/>
    <w:rsid w:val="00911E2C"/>
    <w:rsid w:val="00911E99"/>
    <w:rsid w:val="00913048"/>
    <w:rsid w:val="009134B2"/>
    <w:rsid w:val="00913EA3"/>
    <w:rsid w:val="009168A8"/>
    <w:rsid w:val="009168C6"/>
    <w:rsid w:val="00916924"/>
    <w:rsid w:val="00916CB3"/>
    <w:rsid w:val="00916F4E"/>
    <w:rsid w:val="00916FFF"/>
    <w:rsid w:val="00920687"/>
    <w:rsid w:val="009217C2"/>
    <w:rsid w:val="00921C7F"/>
    <w:rsid w:val="00922247"/>
    <w:rsid w:val="0092282E"/>
    <w:rsid w:val="0092284D"/>
    <w:rsid w:val="00922D0D"/>
    <w:rsid w:val="0092350C"/>
    <w:rsid w:val="00924154"/>
    <w:rsid w:val="00924E24"/>
    <w:rsid w:val="00924FAF"/>
    <w:rsid w:val="00924FF5"/>
    <w:rsid w:val="00925512"/>
    <w:rsid w:val="00925796"/>
    <w:rsid w:val="00925FB7"/>
    <w:rsid w:val="0092650D"/>
    <w:rsid w:val="00926B5C"/>
    <w:rsid w:val="00926C66"/>
    <w:rsid w:val="00926F83"/>
    <w:rsid w:val="009275BE"/>
    <w:rsid w:val="00927D5E"/>
    <w:rsid w:val="0093001C"/>
    <w:rsid w:val="009300CE"/>
    <w:rsid w:val="009305D1"/>
    <w:rsid w:val="00930FC7"/>
    <w:rsid w:val="0093139A"/>
    <w:rsid w:val="00932A48"/>
    <w:rsid w:val="00932B46"/>
    <w:rsid w:val="0093353B"/>
    <w:rsid w:val="009335EA"/>
    <w:rsid w:val="009339C2"/>
    <w:rsid w:val="00933A22"/>
    <w:rsid w:val="00933B43"/>
    <w:rsid w:val="00933BFD"/>
    <w:rsid w:val="00933C2B"/>
    <w:rsid w:val="00933D62"/>
    <w:rsid w:val="009343C6"/>
    <w:rsid w:val="009344A3"/>
    <w:rsid w:val="00934EC8"/>
    <w:rsid w:val="00935030"/>
    <w:rsid w:val="00935256"/>
    <w:rsid w:val="0093527E"/>
    <w:rsid w:val="0093581F"/>
    <w:rsid w:val="00935BFB"/>
    <w:rsid w:val="00940084"/>
    <w:rsid w:val="00940247"/>
    <w:rsid w:val="00940406"/>
    <w:rsid w:val="00940413"/>
    <w:rsid w:val="00941C6D"/>
    <w:rsid w:val="00942694"/>
    <w:rsid w:val="00942958"/>
    <w:rsid w:val="00942E45"/>
    <w:rsid w:val="009431CA"/>
    <w:rsid w:val="009431DC"/>
    <w:rsid w:val="009432D2"/>
    <w:rsid w:val="009433C5"/>
    <w:rsid w:val="009436F9"/>
    <w:rsid w:val="00943876"/>
    <w:rsid w:val="00943CD0"/>
    <w:rsid w:val="00944BEC"/>
    <w:rsid w:val="0094539B"/>
    <w:rsid w:val="00945AC1"/>
    <w:rsid w:val="00945B0A"/>
    <w:rsid w:val="00945EE3"/>
    <w:rsid w:val="00946284"/>
    <w:rsid w:val="00947035"/>
    <w:rsid w:val="00947961"/>
    <w:rsid w:val="00947AC6"/>
    <w:rsid w:val="00950497"/>
    <w:rsid w:val="0095090D"/>
    <w:rsid w:val="00950A4E"/>
    <w:rsid w:val="00950F26"/>
    <w:rsid w:val="00950F63"/>
    <w:rsid w:val="00951093"/>
    <w:rsid w:val="009522C8"/>
    <w:rsid w:val="009534F6"/>
    <w:rsid w:val="00953665"/>
    <w:rsid w:val="0095402A"/>
    <w:rsid w:val="009541EA"/>
    <w:rsid w:val="0095433A"/>
    <w:rsid w:val="009543FA"/>
    <w:rsid w:val="00954657"/>
    <w:rsid w:val="009554C3"/>
    <w:rsid w:val="00955A78"/>
    <w:rsid w:val="009563E3"/>
    <w:rsid w:val="009568DA"/>
    <w:rsid w:val="00956973"/>
    <w:rsid w:val="0095735E"/>
    <w:rsid w:val="00957C36"/>
    <w:rsid w:val="00957F4A"/>
    <w:rsid w:val="009604BA"/>
    <w:rsid w:val="00960569"/>
    <w:rsid w:val="00960B47"/>
    <w:rsid w:val="00960E95"/>
    <w:rsid w:val="00960FCA"/>
    <w:rsid w:val="009612B9"/>
    <w:rsid w:val="0096135D"/>
    <w:rsid w:val="009619F9"/>
    <w:rsid w:val="00962584"/>
    <w:rsid w:val="00962C59"/>
    <w:rsid w:val="0096487E"/>
    <w:rsid w:val="00964EB1"/>
    <w:rsid w:val="00965274"/>
    <w:rsid w:val="00965565"/>
    <w:rsid w:val="00965799"/>
    <w:rsid w:val="00966306"/>
    <w:rsid w:val="00966829"/>
    <w:rsid w:val="009669AF"/>
    <w:rsid w:val="00966BF4"/>
    <w:rsid w:val="00966E61"/>
    <w:rsid w:val="00966EE4"/>
    <w:rsid w:val="009705C5"/>
    <w:rsid w:val="009708F6"/>
    <w:rsid w:val="00970A84"/>
    <w:rsid w:val="0097159B"/>
    <w:rsid w:val="00971DF3"/>
    <w:rsid w:val="00971E3C"/>
    <w:rsid w:val="00972B05"/>
    <w:rsid w:val="0097364E"/>
    <w:rsid w:val="00973CA6"/>
    <w:rsid w:val="009744D4"/>
    <w:rsid w:val="0097455A"/>
    <w:rsid w:val="00974598"/>
    <w:rsid w:val="00974632"/>
    <w:rsid w:val="0097463A"/>
    <w:rsid w:val="0097469B"/>
    <w:rsid w:val="00974C43"/>
    <w:rsid w:val="00974DA2"/>
    <w:rsid w:val="009751B4"/>
    <w:rsid w:val="0097528E"/>
    <w:rsid w:val="00975832"/>
    <w:rsid w:val="00975D52"/>
    <w:rsid w:val="0097698A"/>
    <w:rsid w:val="00977E4A"/>
    <w:rsid w:val="00980626"/>
    <w:rsid w:val="009808B3"/>
    <w:rsid w:val="009819B0"/>
    <w:rsid w:val="009837A5"/>
    <w:rsid w:val="009838B8"/>
    <w:rsid w:val="00984D0D"/>
    <w:rsid w:val="00984FA9"/>
    <w:rsid w:val="0098528F"/>
    <w:rsid w:val="00985D95"/>
    <w:rsid w:val="00986446"/>
    <w:rsid w:val="0098653D"/>
    <w:rsid w:val="00986A31"/>
    <w:rsid w:val="0098784F"/>
    <w:rsid w:val="00987C3A"/>
    <w:rsid w:val="009906D6"/>
    <w:rsid w:val="00991549"/>
    <w:rsid w:val="00991839"/>
    <w:rsid w:val="009922D3"/>
    <w:rsid w:val="0099230F"/>
    <w:rsid w:val="00993177"/>
    <w:rsid w:val="00993E34"/>
    <w:rsid w:val="00994028"/>
    <w:rsid w:val="009940E1"/>
    <w:rsid w:val="0099411F"/>
    <w:rsid w:val="009946B5"/>
    <w:rsid w:val="0099514A"/>
    <w:rsid w:val="00995A6B"/>
    <w:rsid w:val="00996666"/>
    <w:rsid w:val="00997390"/>
    <w:rsid w:val="0099770C"/>
    <w:rsid w:val="00997FCA"/>
    <w:rsid w:val="009A12BB"/>
    <w:rsid w:val="009A17F1"/>
    <w:rsid w:val="009A1BAE"/>
    <w:rsid w:val="009A27F7"/>
    <w:rsid w:val="009A389B"/>
    <w:rsid w:val="009A42D0"/>
    <w:rsid w:val="009A44CC"/>
    <w:rsid w:val="009A4FDF"/>
    <w:rsid w:val="009A5050"/>
    <w:rsid w:val="009A5984"/>
    <w:rsid w:val="009A61BA"/>
    <w:rsid w:val="009A6EC8"/>
    <w:rsid w:val="009A6F9D"/>
    <w:rsid w:val="009A7AE8"/>
    <w:rsid w:val="009B1E4F"/>
    <w:rsid w:val="009B20EA"/>
    <w:rsid w:val="009B2692"/>
    <w:rsid w:val="009B2B23"/>
    <w:rsid w:val="009B2BD4"/>
    <w:rsid w:val="009B2CC2"/>
    <w:rsid w:val="009B2CF8"/>
    <w:rsid w:val="009B2E63"/>
    <w:rsid w:val="009B32F0"/>
    <w:rsid w:val="009B3AA4"/>
    <w:rsid w:val="009B40DA"/>
    <w:rsid w:val="009B414A"/>
    <w:rsid w:val="009B48E7"/>
    <w:rsid w:val="009B4E89"/>
    <w:rsid w:val="009B702E"/>
    <w:rsid w:val="009B70D9"/>
    <w:rsid w:val="009B71E8"/>
    <w:rsid w:val="009B72FB"/>
    <w:rsid w:val="009B7E0D"/>
    <w:rsid w:val="009C09F7"/>
    <w:rsid w:val="009C0FD7"/>
    <w:rsid w:val="009C1069"/>
    <w:rsid w:val="009C1279"/>
    <w:rsid w:val="009C190C"/>
    <w:rsid w:val="009C1E3E"/>
    <w:rsid w:val="009C21AD"/>
    <w:rsid w:val="009C21EB"/>
    <w:rsid w:val="009C2333"/>
    <w:rsid w:val="009C2825"/>
    <w:rsid w:val="009C2C9D"/>
    <w:rsid w:val="009C31E9"/>
    <w:rsid w:val="009C347A"/>
    <w:rsid w:val="009C3A1B"/>
    <w:rsid w:val="009C50A8"/>
    <w:rsid w:val="009C5D3E"/>
    <w:rsid w:val="009C5D77"/>
    <w:rsid w:val="009C6001"/>
    <w:rsid w:val="009C6021"/>
    <w:rsid w:val="009C6036"/>
    <w:rsid w:val="009C6284"/>
    <w:rsid w:val="009C685C"/>
    <w:rsid w:val="009C70CA"/>
    <w:rsid w:val="009C754D"/>
    <w:rsid w:val="009D008B"/>
    <w:rsid w:val="009D084E"/>
    <w:rsid w:val="009D0D70"/>
    <w:rsid w:val="009D0F0B"/>
    <w:rsid w:val="009D0FA7"/>
    <w:rsid w:val="009D194D"/>
    <w:rsid w:val="009D19AE"/>
    <w:rsid w:val="009D1E10"/>
    <w:rsid w:val="009D2866"/>
    <w:rsid w:val="009D3268"/>
    <w:rsid w:val="009D3BE6"/>
    <w:rsid w:val="009D3FBE"/>
    <w:rsid w:val="009D4B36"/>
    <w:rsid w:val="009D59AF"/>
    <w:rsid w:val="009D5C41"/>
    <w:rsid w:val="009D5E46"/>
    <w:rsid w:val="009D63F9"/>
    <w:rsid w:val="009D65D7"/>
    <w:rsid w:val="009D695D"/>
    <w:rsid w:val="009D7487"/>
    <w:rsid w:val="009D7ED9"/>
    <w:rsid w:val="009E027D"/>
    <w:rsid w:val="009E0501"/>
    <w:rsid w:val="009E057F"/>
    <w:rsid w:val="009E0840"/>
    <w:rsid w:val="009E21D5"/>
    <w:rsid w:val="009E3051"/>
    <w:rsid w:val="009E33AF"/>
    <w:rsid w:val="009E35E5"/>
    <w:rsid w:val="009E3DD5"/>
    <w:rsid w:val="009E4004"/>
    <w:rsid w:val="009E4ADA"/>
    <w:rsid w:val="009E6035"/>
    <w:rsid w:val="009E6FF7"/>
    <w:rsid w:val="009E7B58"/>
    <w:rsid w:val="009F0842"/>
    <w:rsid w:val="009F0C20"/>
    <w:rsid w:val="009F0C21"/>
    <w:rsid w:val="009F0D19"/>
    <w:rsid w:val="009F1A91"/>
    <w:rsid w:val="009F1B9A"/>
    <w:rsid w:val="009F2BD9"/>
    <w:rsid w:val="009F30F8"/>
    <w:rsid w:val="009F329D"/>
    <w:rsid w:val="009F4602"/>
    <w:rsid w:val="009F4CD7"/>
    <w:rsid w:val="009F52DC"/>
    <w:rsid w:val="009F5369"/>
    <w:rsid w:val="009F568A"/>
    <w:rsid w:val="009F7147"/>
    <w:rsid w:val="009F795F"/>
    <w:rsid w:val="009F79A3"/>
    <w:rsid w:val="00A004D0"/>
    <w:rsid w:val="00A00695"/>
    <w:rsid w:val="00A00D96"/>
    <w:rsid w:val="00A01062"/>
    <w:rsid w:val="00A0109F"/>
    <w:rsid w:val="00A01765"/>
    <w:rsid w:val="00A0185D"/>
    <w:rsid w:val="00A04010"/>
    <w:rsid w:val="00A040E1"/>
    <w:rsid w:val="00A048BB"/>
    <w:rsid w:val="00A05EEA"/>
    <w:rsid w:val="00A0681B"/>
    <w:rsid w:val="00A06919"/>
    <w:rsid w:val="00A06D78"/>
    <w:rsid w:val="00A06E61"/>
    <w:rsid w:val="00A074D3"/>
    <w:rsid w:val="00A07F60"/>
    <w:rsid w:val="00A10F6D"/>
    <w:rsid w:val="00A115B1"/>
    <w:rsid w:val="00A117C0"/>
    <w:rsid w:val="00A11A26"/>
    <w:rsid w:val="00A127BF"/>
    <w:rsid w:val="00A12A22"/>
    <w:rsid w:val="00A12D6C"/>
    <w:rsid w:val="00A132DF"/>
    <w:rsid w:val="00A13364"/>
    <w:rsid w:val="00A139C4"/>
    <w:rsid w:val="00A13CAF"/>
    <w:rsid w:val="00A141A3"/>
    <w:rsid w:val="00A14444"/>
    <w:rsid w:val="00A14C70"/>
    <w:rsid w:val="00A14E90"/>
    <w:rsid w:val="00A15632"/>
    <w:rsid w:val="00A16248"/>
    <w:rsid w:val="00A16727"/>
    <w:rsid w:val="00A1685B"/>
    <w:rsid w:val="00A16E0A"/>
    <w:rsid w:val="00A175C6"/>
    <w:rsid w:val="00A1776C"/>
    <w:rsid w:val="00A17EE8"/>
    <w:rsid w:val="00A21164"/>
    <w:rsid w:val="00A213B9"/>
    <w:rsid w:val="00A21615"/>
    <w:rsid w:val="00A21C24"/>
    <w:rsid w:val="00A2215B"/>
    <w:rsid w:val="00A2238F"/>
    <w:rsid w:val="00A24A00"/>
    <w:rsid w:val="00A24B4D"/>
    <w:rsid w:val="00A25CB0"/>
    <w:rsid w:val="00A25FD8"/>
    <w:rsid w:val="00A2682F"/>
    <w:rsid w:val="00A26B0E"/>
    <w:rsid w:val="00A276D1"/>
    <w:rsid w:val="00A27E80"/>
    <w:rsid w:val="00A30AB8"/>
    <w:rsid w:val="00A30F8D"/>
    <w:rsid w:val="00A3105F"/>
    <w:rsid w:val="00A31381"/>
    <w:rsid w:val="00A313CB"/>
    <w:rsid w:val="00A3210D"/>
    <w:rsid w:val="00A322A2"/>
    <w:rsid w:val="00A325CC"/>
    <w:rsid w:val="00A3265E"/>
    <w:rsid w:val="00A3348C"/>
    <w:rsid w:val="00A339D9"/>
    <w:rsid w:val="00A35AC1"/>
    <w:rsid w:val="00A36393"/>
    <w:rsid w:val="00A36DDF"/>
    <w:rsid w:val="00A37563"/>
    <w:rsid w:val="00A37FC3"/>
    <w:rsid w:val="00A40230"/>
    <w:rsid w:val="00A40465"/>
    <w:rsid w:val="00A409C5"/>
    <w:rsid w:val="00A40A05"/>
    <w:rsid w:val="00A40D00"/>
    <w:rsid w:val="00A41A83"/>
    <w:rsid w:val="00A41AA9"/>
    <w:rsid w:val="00A41D53"/>
    <w:rsid w:val="00A422D4"/>
    <w:rsid w:val="00A42327"/>
    <w:rsid w:val="00A429CA"/>
    <w:rsid w:val="00A4378C"/>
    <w:rsid w:val="00A43871"/>
    <w:rsid w:val="00A450C0"/>
    <w:rsid w:val="00A458E3"/>
    <w:rsid w:val="00A45CBF"/>
    <w:rsid w:val="00A4643F"/>
    <w:rsid w:val="00A46756"/>
    <w:rsid w:val="00A4740E"/>
    <w:rsid w:val="00A47540"/>
    <w:rsid w:val="00A513EC"/>
    <w:rsid w:val="00A51D3A"/>
    <w:rsid w:val="00A51DE8"/>
    <w:rsid w:val="00A521DD"/>
    <w:rsid w:val="00A524D2"/>
    <w:rsid w:val="00A527C3"/>
    <w:rsid w:val="00A5286D"/>
    <w:rsid w:val="00A5398E"/>
    <w:rsid w:val="00A541FF"/>
    <w:rsid w:val="00A548F0"/>
    <w:rsid w:val="00A54B63"/>
    <w:rsid w:val="00A5572D"/>
    <w:rsid w:val="00A55BA8"/>
    <w:rsid w:val="00A55F88"/>
    <w:rsid w:val="00A55FFE"/>
    <w:rsid w:val="00A56196"/>
    <w:rsid w:val="00A56330"/>
    <w:rsid w:val="00A56F1E"/>
    <w:rsid w:val="00A56F78"/>
    <w:rsid w:val="00A572C0"/>
    <w:rsid w:val="00A61609"/>
    <w:rsid w:val="00A61737"/>
    <w:rsid w:val="00A62142"/>
    <w:rsid w:val="00A62165"/>
    <w:rsid w:val="00A6333F"/>
    <w:rsid w:val="00A6360C"/>
    <w:rsid w:val="00A63AC6"/>
    <w:rsid w:val="00A649E8"/>
    <w:rsid w:val="00A64F4F"/>
    <w:rsid w:val="00A652C5"/>
    <w:rsid w:val="00A65A20"/>
    <w:rsid w:val="00A65B80"/>
    <w:rsid w:val="00A65E6F"/>
    <w:rsid w:val="00A664B0"/>
    <w:rsid w:val="00A66681"/>
    <w:rsid w:val="00A667E2"/>
    <w:rsid w:val="00A669D3"/>
    <w:rsid w:val="00A67705"/>
    <w:rsid w:val="00A67A85"/>
    <w:rsid w:val="00A70B0A"/>
    <w:rsid w:val="00A70D34"/>
    <w:rsid w:val="00A7140C"/>
    <w:rsid w:val="00A717DA"/>
    <w:rsid w:val="00A721CE"/>
    <w:rsid w:val="00A7266A"/>
    <w:rsid w:val="00A729E4"/>
    <w:rsid w:val="00A72D17"/>
    <w:rsid w:val="00A737BA"/>
    <w:rsid w:val="00A73CAE"/>
    <w:rsid w:val="00A74F2C"/>
    <w:rsid w:val="00A759CB"/>
    <w:rsid w:val="00A75C0C"/>
    <w:rsid w:val="00A76BD3"/>
    <w:rsid w:val="00A76ECC"/>
    <w:rsid w:val="00A76F9B"/>
    <w:rsid w:val="00A7714D"/>
    <w:rsid w:val="00A776AA"/>
    <w:rsid w:val="00A77CEA"/>
    <w:rsid w:val="00A77EA1"/>
    <w:rsid w:val="00A77F37"/>
    <w:rsid w:val="00A80923"/>
    <w:rsid w:val="00A80E67"/>
    <w:rsid w:val="00A81273"/>
    <w:rsid w:val="00A8177C"/>
    <w:rsid w:val="00A81ACB"/>
    <w:rsid w:val="00A81CF2"/>
    <w:rsid w:val="00A821F6"/>
    <w:rsid w:val="00A825E5"/>
    <w:rsid w:val="00A83B2F"/>
    <w:rsid w:val="00A84478"/>
    <w:rsid w:val="00A848DC"/>
    <w:rsid w:val="00A85C82"/>
    <w:rsid w:val="00A8670E"/>
    <w:rsid w:val="00A86819"/>
    <w:rsid w:val="00A871FE"/>
    <w:rsid w:val="00A874B9"/>
    <w:rsid w:val="00A8755B"/>
    <w:rsid w:val="00A875D7"/>
    <w:rsid w:val="00A8783A"/>
    <w:rsid w:val="00A901DB"/>
    <w:rsid w:val="00A91BA4"/>
    <w:rsid w:val="00A92527"/>
    <w:rsid w:val="00A9253B"/>
    <w:rsid w:val="00A92E72"/>
    <w:rsid w:val="00A94200"/>
    <w:rsid w:val="00A94434"/>
    <w:rsid w:val="00A94904"/>
    <w:rsid w:val="00A9494F"/>
    <w:rsid w:val="00A9568C"/>
    <w:rsid w:val="00A9643B"/>
    <w:rsid w:val="00A96657"/>
    <w:rsid w:val="00A966A8"/>
    <w:rsid w:val="00A967C0"/>
    <w:rsid w:val="00A97651"/>
    <w:rsid w:val="00A97B5B"/>
    <w:rsid w:val="00A97C73"/>
    <w:rsid w:val="00AA0C25"/>
    <w:rsid w:val="00AA119C"/>
    <w:rsid w:val="00AA11D4"/>
    <w:rsid w:val="00AA13D8"/>
    <w:rsid w:val="00AA2167"/>
    <w:rsid w:val="00AA2ABB"/>
    <w:rsid w:val="00AA2FD9"/>
    <w:rsid w:val="00AA3C88"/>
    <w:rsid w:val="00AA4577"/>
    <w:rsid w:val="00AA45D2"/>
    <w:rsid w:val="00AA493B"/>
    <w:rsid w:val="00AA5793"/>
    <w:rsid w:val="00AA6008"/>
    <w:rsid w:val="00AA625E"/>
    <w:rsid w:val="00AA63E0"/>
    <w:rsid w:val="00AA6513"/>
    <w:rsid w:val="00AA6F7B"/>
    <w:rsid w:val="00AA79A6"/>
    <w:rsid w:val="00AB0931"/>
    <w:rsid w:val="00AB1026"/>
    <w:rsid w:val="00AB10CD"/>
    <w:rsid w:val="00AB12AB"/>
    <w:rsid w:val="00AB233E"/>
    <w:rsid w:val="00AB281B"/>
    <w:rsid w:val="00AB358A"/>
    <w:rsid w:val="00AB3AC6"/>
    <w:rsid w:val="00AB5AF4"/>
    <w:rsid w:val="00AB639E"/>
    <w:rsid w:val="00AB63D1"/>
    <w:rsid w:val="00AB65DD"/>
    <w:rsid w:val="00AB6AB4"/>
    <w:rsid w:val="00AB6B55"/>
    <w:rsid w:val="00AC0277"/>
    <w:rsid w:val="00AC04DC"/>
    <w:rsid w:val="00AC09F0"/>
    <w:rsid w:val="00AC1147"/>
    <w:rsid w:val="00AC21BF"/>
    <w:rsid w:val="00AC292D"/>
    <w:rsid w:val="00AC29CF"/>
    <w:rsid w:val="00AC2C00"/>
    <w:rsid w:val="00AC2E18"/>
    <w:rsid w:val="00AC2F9B"/>
    <w:rsid w:val="00AC34CF"/>
    <w:rsid w:val="00AC4AA3"/>
    <w:rsid w:val="00AC4C1B"/>
    <w:rsid w:val="00AC507A"/>
    <w:rsid w:val="00AC54BB"/>
    <w:rsid w:val="00AC5681"/>
    <w:rsid w:val="00AC5A92"/>
    <w:rsid w:val="00AC5CDB"/>
    <w:rsid w:val="00AC6B79"/>
    <w:rsid w:val="00AC742F"/>
    <w:rsid w:val="00AC76A0"/>
    <w:rsid w:val="00AC7B62"/>
    <w:rsid w:val="00AD002D"/>
    <w:rsid w:val="00AD05FD"/>
    <w:rsid w:val="00AD0947"/>
    <w:rsid w:val="00AD0DE5"/>
    <w:rsid w:val="00AD0F65"/>
    <w:rsid w:val="00AD1326"/>
    <w:rsid w:val="00AD18A9"/>
    <w:rsid w:val="00AD220C"/>
    <w:rsid w:val="00AD2449"/>
    <w:rsid w:val="00AD2AB1"/>
    <w:rsid w:val="00AD38BF"/>
    <w:rsid w:val="00AD3AB4"/>
    <w:rsid w:val="00AD3C3D"/>
    <w:rsid w:val="00AD3C72"/>
    <w:rsid w:val="00AD3E93"/>
    <w:rsid w:val="00AD41A1"/>
    <w:rsid w:val="00AD4299"/>
    <w:rsid w:val="00AD456B"/>
    <w:rsid w:val="00AD4883"/>
    <w:rsid w:val="00AD4B33"/>
    <w:rsid w:val="00AD5923"/>
    <w:rsid w:val="00AD5B3D"/>
    <w:rsid w:val="00AD61C4"/>
    <w:rsid w:val="00AD62DD"/>
    <w:rsid w:val="00AD67E2"/>
    <w:rsid w:val="00AD6811"/>
    <w:rsid w:val="00AD6C3F"/>
    <w:rsid w:val="00AD755A"/>
    <w:rsid w:val="00AD768D"/>
    <w:rsid w:val="00AD7836"/>
    <w:rsid w:val="00AE0D0A"/>
    <w:rsid w:val="00AE0D5E"/>
    <w:rsid w:val="00AE0DD9"/>
    <w:rsid w:val="00AE1942"/>
    <w:rsid w:val="00AE1E5D"/>
    <w:rsid w:val="00AE1E7D"/>
    <w:rsid w:val="00AE2AAF"/>
    <w:rsid w:val="00AE2E28"/>
    <w:rsid w:val="00AE3278"/>
    <w:rsid w:val="00AE3554"/>
    <w:rsid w:val="00AE37BA"/>
    <w:rsid w:val="00AE3E2C"/>
    <w:rsid w:val="00AE46EF"/>
    <w:rsid w:val="00AE48D5"/>
    <w:rsid w:val="00AE4E8E"/>
    <w:rsid w:val="00AE5364"/>
    <w:rsid w:val="00AE5424"/>
    <w:rsid w:val="00AE5B5B"/>
    <w:rsid w:val="00AE5E86"/>
    <w:rsid w:val="00AE5FAD"/>
    <w:rsid w:val="00AE6786"/>
    <w:rsid w:val="00AE67C5"/>
    <w:rsid w:val="00AE6BAB"/>
    <w:rsid w:val="00AE6E8E"/>
    <w:rsid w:val="00AE75E0"/>
    <w:rsid w:val="00AE77D2"/>
    <w:rsid w:val="00AF004D"/>
    <w:rsid w:val="00AF00CD"/>
    <w:rsid w:val="00AF0159"/>
    <w:rsid w:val="00AF0A1E"/>
    <w:rsid w:val="00AF136F"/>
    <w:rsid w:val="00AF1BCF"/>
    <w:rsid w:val="00AF23B3"/>
    <w:rsid w:val="00AF2D35"/>
    <w:rsid w:val="00AF5733"/>
    <w:rsid w:val="00AF5C80"/>
    <w:rsid w:val="00AF66CC"/>
    <w:rsid w:val="00AF6A2A"/>
    <w:rsid w:val="00AF6C62"/>
    <w:rsid w:val="00AF6CF4"/>
    <w:rsid w:val="00AF6EC4"/>
    <w:rsid w:val="00AF74D8"/>
    <w:rsid w:val="00AF7693"/>
    <w:rsid w:val="00AF7C46"/>
    <w:rsid w:val="00B00383"/>
    <w:rsid w:val="00B0074C"/>
    <w:rsid w:val="00B00AA5"/>
    <w:rsid w:val="00B00C6F"/>
    <w:rsid w:val="00B013FE"/>
    <w:rsid w:val="00B015E5"/>
    <w:rsid w:val="00B016CE"/>
    <w:rsid w:val="00B01AA8"/>
    <w:rsid w:val="00B02066"/>
    <w:rsid w:val="00B02AC0"/>
    <w:rsid w:val="00B02F93"/>
    <w:rsid w:val="00B03194"/>
    <w:rsid w:val="00B03B60"/>
    <w:rsid w:val="00B0440C"/>
    <w:rsid w:val="00B0484D"/>
    <w:rsid w:val="00B06F31"/>
    <w:rsid w:val="00B07017"/>
    <w:rsid w:val="00B07116"/>
    <w:rsid w:val="00B07340"/>
    <w:rsid w:val="00B07C8C"/>
    <w:rsid w:val="00B101F5"/>
    <w:rsid w:val="00B10368"/>
    <w:rsid w:val="00B106FD"/>
    <w:rsid w:val="00B112BB"/>
    <w:rsid w:val="00B1172B"/>
    <w:rsid w:val="00B11D0A"/>
    <w:rsid w:val="00B11D25"/>
    <w:rsid w:val="00B11D91"/>
    <w:rsid w:val="00B1341B"/>
    <w:rsid w:val="00B13878"/>
    <w:rsid w:val="00B13A62"/>
    <w:rsid w:val="00B13B65"/>
    <w:rsid w:val="00B13D88"/>
    <w:rsid w:val="00B140B2"/>
    <w:rsid w:val="00B1446F"/>
    <w:rsid w:val="00B14E16"/>
    <w:rsid w:val="00B1557B"/>
    <w:rsid w:val="00B155A1"/>
    <w:rsid w:val="00B15C19"/>
    <w:rsid w:val="00B15D28"/>
    <w:rsid w:val="00B166E7"/>
    <w:rsid w:val="00B16FC1"/>
    <w:rsid w:val="00B17963"/>
    <w:rsid w:val="00B17FE3"/>
    <w:rsid w:val="00B20343"/>
    <w:rsid w:val="00B20785"/>
    <w:rsid w:val="00B20A98"/>
    <w:rsid w:val="00B20C04"/>
    <w:rsid w:val="00B20C5B"/>
    <w:rsid w:val="00B20EED"/>
    <w:rsid w:val="00B213CD"/>
    <w:rsid w:val="00B215D7"/>
    <w:rsid w:val="00B219B5"/>
    <w:rsid w:val="00B2347B"/>
    <w:rsid w:val="00B238EE"/>
    <w:rsid w:val="00B23F3B"/>
    <w:rsid w:val="00B25A3A"/>
    <w:rsid w:val="00B25A80"/>
    <w:rsid w:val="00B2640A"/>
    <w:rsid w:val="00B269AC"/>
    <w:rsid w:val="00B26AB7"/>
    <w:rsid w:val="00B26B5C"/>
    <w:rsid w:val="00B26BCC"/>
    <w:rsid w:val="00B26EC6"/>
    <w:rsid w:val="00B276D5"/>
    <w:rsid w:val="00B2788B"/>
    <w:rsid w:val="00B278B9"/>
    <w:rsid w:val="00B27F59"/>
    <w:rsid w:val="00B30CB3"/>
    <w:rsid w:val="00B3131C"/>
    <w:rsid w:val="00B3159C"/>
    <w:rsid w:val="00B3164A"/>
    <w:rsid w:val="00B3169C"/>
    <w:rsid w:val="00B31AF8"/>
    <w:rsid w:val="00B31D88"/>
    <w:rsid w:val="00B31DD8"/>
    <w:rsid w:val="00B31F05"/>
    <w:rsid w:val="00B32BED"/>
    <w:rsid w:val="00B32E5C"/>
    <w:rsid w:val="00B340E6"/>
    <w:rsid w:val="00B342B4"/>
    <w:rsid w:val="00B34894"/>
    <w:rsid w:val="00B34DEE"/>
    <w:rsid w:val="00B351D9"/>
    <w:rsid w:val="00B351ED"/>
    <w:rsid w:val="00B35267"/>
    <w:rsid w:val="00B35586"/>
    <w:rsid w:val="00B35D3F"/>
    <w:rsid w:val="00B36565"/>
    <w:rsid w:val="00B3675D"/>
    <w:rsid w:val="00B369E4"/>
    <w:rsid w:val="00B37178"/>
    <w:rsid w:val="00B3742E"/>
    <w:rsid w:val="00B3782B"/>
    <w:rsid w:val="00B37F14"/>
    <w:rsid w:val="00B37F6C"/>
    <w:rsid w:val="00B40713"/>
    <w:rsid w:val="00B40B7D"/>
    <w:rsid w:val="00B413A1"/>
    <w:rsid w:val="00B42329"/>
    <w:rsid w:val="00B4240A"/>
    <w:rsid w:val="00B42C88"/>
    <w:rsid w:val="00B437FC"/>
    <w:rsid w:val="00B43807"/>
    <w:rsid w:val="00B442BC"/>
    <w:rsid w:val="00B445B7"/>
    <w:rsid w:val="00B44712"/>
    <w:rsid w:val="00B44FF0"/>
    <w:rsid w:val="00B465ED"/>
    <w:rsid w:val="00B469B5"/>
    <w:rsid w:val="00B46A96"/>
    <w:rsid w:val="00B46AB2"/>
    <w:rsid w:val="00B46D9B"/>
    <w:rsid w:val="00B47C4A"/>
    <w:rsid w:val="00B47C87"/>
    <w:rsid w:val="00B51558"/>
    <w:rsid w:val="00B51BCE"/>
    <w:rsid w:val="00B526E0"/>
    <w:rsid w:val="00B52ADD"/>
    <w:rsid w:val="00B52DFB"/>
    <w:rsid w:val="00B53436"/>
    <w:rsid w:val="00B536C7"/>
    <w:rsid w:val="00B5380D"/>
    <w:rsid w:val="00B53D5C"/>
    <w:rsid w:val="00B54010"/>
    <w:rsid w:val="00B546FD"/>
    <w:rsid w:val="00B547F8"/>
    <w:rsid w:val="00B5494C"/>
    <w:rsid w:val="00B54986"/>
    <w:rsid w:val="00B54D7C"/>
    <w:rsid w:val="00B55BDF"/>
    <w:rsid w:val="00B55D20"/>
    <w:rsid w:val="00B5627D"/>
    <w:rsid w:val="00B56763"/>
    <w:rsid w:val="00B56B22"/>
    <w:rsid w:val="00B56B7F"/>
    <w:rsid w:val="00B5704F"/>
    <w:rsid w:val="00B570A6"/>
    <w:rsid w:val="00B57367"/>
    <w:rsid w:val="00B5753E"/>
    <w:rsid w:val="00B577A1"/>
    <w:rsid w:val="00B607B2"/>
    <w:rsid w:val="00B60C55"/>
    <w:rsid w:val="00B60EAA"/>
    <w:rsid w:val="00B61B37"/>
    <w:rsid w:val="00B61EE8"/>
    <w:rsid w:val="00B62655"/>
    <w:rsid w:val="00B62D55"/>
    <w:rsid w:val="00B6306E"/>
    <w:rsid w:val="00B63326"/>
    <w:rsid w:val="00B63564"/>
    <w:rsid w:val="00B63DBF"/>
    <w:rsid w:val="00B63E67"/>
    <w:rsid w:val="00B64473"/>
    <w:rsid w:val="00B644DF"/>
    <w:rsid w:val="00B649EB"/>
    <w:rsid w:val="00B64AD1"/>
    <w:rsid w:val="00B64B10"/>
    <w:rsid w:val="00B64EDF"/>
    <w:rsid w:val="00B652F4"/>
    <w:rsid w:val="00B65A10"/>
    <w:rsid w:val="00B65BC6"/>
    <w:rsid w:val="00B65C48"/>
    <w:rsid w:val="00B6648B"/>
    <w:rsid w:val="00B66B6D"/>
    <w:rsid w:val="00B66D5A"/>
    <w:rsid w:val="00B670CC"/>
    <w:rsid w:val="00B6710B"/>
    <w:rsid w:val="00B675FF"/>
    <w:rsid w:val="00B71FF6"/>
    <w:rsid w:val="00B72460"/>
    <w:rsid w:val="00B73162"/>
    <w:rsid w:val="00B73A53"/>
    <w:rsid w:val="00B73D2A"/>
    <w:rsid w:val="00B7402E"/>
    <w:rsid w:val="00B74069"/>
    <w:rsid w:val="00B740BF"/>
    <w:rsid w:val="00B7420B"/>
    <w:rsid w:val="00B746FF"/>
    <w:rsid w:val="00B74721"/>
    <w:rsid w:val="00B7688E"/>
    <w:rsid w:val="00B76DA4"/>
    <w:rsid w:val="00B7705A"/>
    <w:rsid w:val="00B77494"/>
    <w:rsid w:val="00B80A2B"/>
    <w:rsid w:val="00B81059"/>
    <w:rsid w:val="00B81BE7"/>
    <w:rsid w:val="00B8209F"/>
    <w:rsid w:val="00B822AF"/>
    <w:rsid w:val="00B82F90"/>
    <w:rsid w:val="00B83A1F"/>
    <w:rsid w:val="00B83F26"/>
    <w:rsid w:val="00B84390"/>
    <w:rsid w:val="00B8477D"/>
    <w:rsid w:val="00B8478F"/>
    <w:rsid w:val="00B8481E"/>
    <w:rsid w:val="00B853F3"/>
    <w:rsid w:val="00B859B0"/>
    <w:rsid w:val="00B85DC4"/>
    <w:rsid w:val="00B85FEC"/>
    <w:rsid w:val="00B86382"/>
    <w:rsid w:val="00B86FF6"/>
    <w:rsid w:val="00B870F0"/>
    <w:rsid w:val="00B8751A"/>
    <w:rsid w:val="00B87C88"/>
    <w:rsid w:val="00B87CAC"/>
    <w:rsid w:val="00B87D90"/>
    <w:rsid w:val="00B906EE"/>
    <w:rsid w:val="00B9126A"/>
    <w:rsid w:val="00B91952"/>
    <w:rsid w:val="00B91D57"/>
    <w:rsid w:val="00B9286C"/>
    <w:rsid w:val="00B929C6"/>
    <w:rsid w:val="00B92FB1"/>
    <w:rsid w:val="00B934E8"/>
    <w:rsid w:val="00B93BD8"/>
    <w:rsid w:val="00B94660"/>
    <w:rsid w:val="00B960C3"/>
    <w:rsid w:val="00B96696"/>
    <w:rsid w:val="00B968DF"/>
    <w:rsid w:val="00B97750"/>
    <w:rsid w:val="00B97EAD"/>
    <w:rsid w:val="00BA1D3C"/>
    <w:rsid w:val="00BA25E8"/>
    <w:rsid w:val="00BA28D7"/>
    <w:rsid w:val="00BA303C"/>
    <w:rsid w:val="00BA3059"/>
    <w:rsid w:val="00BA34A4"/>
    <w:rsid w:val="00BA3AB8"/>
    <w:rsid w:val="00BA4321"/>
    <w:rsid w:val="00BA4DC5"/>
    <w:rsid w:val="00BA5724"/>
    <w:rsid w:val="00BA5C97"/>
    <w:rsid w:val="00BA6C1E"/>
    <w:rsid w:val="00BA7CF4"/>
    <w:rsid w:val="00BB0A8D"/>
    <w:rsid w:val="00BB14F4"/>
    <w:rsid w:val="00BB1770"/>
    <w:rsid w:val="00BB1A15"/>
    <w:rsid w:val="00BB27B3"/>
    <w:rsid w:val="00BB2B77"/>
    <w:rsid w:val="00BB2E0F"/>
    <w:rsid w:val="00BB3322"/>
    <w:rsid w:val="00BB3642"/>
    <w:rsid w:val="00BB37EA"/>
    <w:rsid w:val="00BB45CE"/>
    <w:rsid w:val="00BB4DE3"/>
    <w:rsid w:val="00BB4E4D"/>
    <w:rsid w:val="00BB549F"/>
    <w:rsid w:val="00BB55AF"/>
    <w:rsid w:val="00BB5D4E"/>
    <w:rsid w:val="00BB6246"/>
    <w:rsid w:val="00BB65ED"/>
    <w:rsid w:val="00BB71C5"/>
    <w:rsid w:val="00BB735D"/>
    <w:rsid w:val="00BB74AB"/>
    <w:rsid w:val="00BB7EF1"/>
    <w:rsid w:val="00BC01B7"/>
    <w:rsid w:val="00BC1ACE"/>
    <w:rsid w:val="00BC1E43"/>
    <w:rsid w:val="00BC3BBF"/>
    <w:rsid w:val="00BC44F7"/>
    <w:rsid w:val="00BC598B"/>
    <w:rsid w:val="00BC5FAA"/>
    <w:rsid w:val="00BC79C3"/>
    <w:rsid w:val="00BC7B36"/>
    <w:rsid w:val="00BD0890"/>
    <w:rsid w:val="00BD0BF9"/>
    <w:rsid w:val="00BD1343"/>
    <w:rsid w:val="00BD1785"/>
    <w:rsid w:val="00BD18DB"/>
    <w:rsid w:val="00BD1C99"/>
    <w:rsid w:val="00BD27B9"/>
    <w:rsid w:val="00BD28D5"/>
    <w:rsid w:val="00BD3937"/>
    <w:rsid w:val="00BD3F6D"/>
    <w:rsid w:val="00BD408B"/>
    <w:rsid w:val="00BD4947"/>
    <w:rsid w:val="00BD498D"/>
    <w:rsid w:val="00BD57CE"/>
    <w:rsid w:val="00BD59AA"/>
    <w:rsid w:val="00BD59EE"/>
    <w:rsid w:val="00BD5BCC"/>
    <w:rsid w:val="00BD652F"/>
    <w:rsid w:val="00BD66EE"/>
    <w:rsid w:val="00BD6A1F"/>
    <w:rsid w:val="00BD7664"/>
    <w:rsid w:val="00BD77C6"/>
    <w:rsid w:val="00BD7C89"/>
    <w:rsid w:val="00BE03A3"/>
    <w:rsid w:val="00BE03AC"/>
    <w:rsid w:val="00BE0DE4"/>
    <w:rsid w:val="00BE1A39"/>
    <w:rsid w:val="00BE2043"/>
    <w:rsid w:val="00BE22B2"/>
    <w:rsid w:val="00BE231D"/>
    <w:rsid w:val="00BE273B"/>
    <w:rsid w:val="00BE28C0"/>
    <w:rsid w:val="00BE2A91"/>
    <w:rsid w:val="00BE317E"/>
    <w:rsid w:val="00BE31F6"/>
    <w:rsid w:val="00BE3223"/>
    <w:rsid w:val="00BE3405"/>
    <w:rsid w:val="00BE4579"/>
    <w:rsid w:val="00BE49BC"/>
    <w:rsid w:val="00BE4F45"/>
    <w:rsid w:val="00BE573E"/>
    <w:rsid w:val="00BE5751"/>
    <w:rsid w:val="00BE5D22"/>
    <w:rsid w:val="00BE5EBB"/>
    <w:rsid w:val="00BE6734"/>
    <w:rsid w:val="00BE7056"/>
    <w:rsid w:val="00BE7423"/>
    <w:rsid w:val="00BE7C10"/>
    <w:rsid w:val="00BE7CC5"/>
    <w:rsid w:val="00BF0DD4"/>
    <w:rsid w:val="00BF18BE"/>
    <w:rsid w:val="00BF1D60"/>
    <w:rsid w:val="00BF23ED"/>
    <w:rsid w:val="00BF2C6F"/>
    <w:rsid w:val="00BF31E9"/>
    <w:rsid w:val="00BF3BBF"/>
    <w:rsid w:val="00BF4039"/>
    <w:rsid w:val="00BF45C0"/>
    <w:rsid w:val="00BF497A"/>
    <w:rsid w:val="00BF4A37"/>
    <w:rsid w:val="00BF617C"/>
    <w:rsid w:val="00C0032D"/>
    <w:rsid w:val="00C0125B"/>
    <w:rsid w:val="00C013B3"/>
    <w:rsid w:val="00C0186E"/>
    <w:rsid w:val="00C01C79"/>
    <w:rsid w:val="00C01CB5"/>
    <w:rsid w:val="00C034BC"/>
    <w:rsid w:val="00C03B40"/>
    <w:rsid w:val="00C03BB9"/>
    <w:rsid w:val="00C048A2"/>
    <w:rsid w:val="00C04BD3"/>
    <w:rsid w:val="00C05492"/>
    <w:rsid w:val="00C0553A"/>
    <w:rsid w:val="00C05675"/>
    <w:rsid w:val="00C05975"/>
    <w:rsid w:val="00C05ADF"/>
    <w:rsid w:val="00C05BF1"/>
    <w:rsid w:val="00C05DCE"/>
    <w:rsid w:val="00C06DDC"/>
    <w:rsid w:val="00C0756B"/>
    <w:rsid w:val="00C07636"/>
    <w:rsid w:val="00C0794E"/>
    <w:rsid w:val="00C07FF0"/>
    <w:rsid w:val="00C10DD3"/>
    <w:rsid w:val="00C11BBE"/>
    <w:rsid w:val="00C12012"/>
    <w:rsid w:val="00C12B01"/>
    <w:rsid w:val="00C1316E"/>
    <w:rsid w:val="00C13C0D"/>
    <w:rsid w:val="00C13EDA"/>
    <w:rsid w:val="00C14484"/>
    <w:rsid w:val="00C14758"/>
    <w:rsid w:val="00C1497B"/>
    <w:rsid w:val="00C149E7"/>
    <w:rsid w:val="00C14A37"/>
    <w:rsid w:val="00C14A4C"/>
    <w:rsid w:val="00C15515"/>
    <w:rsid w:val="00C15D4A"/>
    <w:rsid w:val="00C161A0"/>
    <w:rsid w:val="00C1637F"/>
    <w:rsid w:val="00C16623"/>
    <w:rsid w:val="00C1692B"/>
    <w:rsid w:val="00C16B1B"/>
    <w:rsid w:val="00C172EB"/>
    <w:rsid w:val="00C1744D"/>
    <w:rsid w:val="00C17978"/>
    <w:rsid w:val="00C17A18"/>
    <w:rsid w:val="00C20CEA"/>
    <w:rsid w:val="00C20EC3"/>
    <w:rsid w:val="00C21F9A"/>
    <w:rsid w:val="00C22D28"/>
    <w:rsid w:val="00C22FAE"/>
    <w:rsid w:val="00C235EE"/>
    <w:rsid w:val="00C2360E"/>
    <w:rsid w:val="00C2383F"/>
    <w:rsid w:val="00C23AD9"/>
    <w:rsid w:val="00C23AE7"/>
    <w:rsid w:val="00C23D05"/>
    <w:rsid w:val="00C247EC"/>
    <w:rsid w:val="00C248E6"/>
    <w:rsid w:val="00C24C68"/>
    <w:rsid w:val="00C24E0F"/>
    <w:rsid w:val="00C24E64"/>
    <w:rsid w:val="00C24EFB"/>
    <w:rsid w:val="00C24F4F"/>
    <w:rsid w:val="00C24FD7"/>
    <w:rsid w:val="00C254BA"/>
    <w:rsid w:val="00C25568"/>
    <w:rsid w:val="00C262FC"/>
    <w:rsid w:val="00C265DB"/>
    <w:rsid w:val="00C26ADE"/>
    <w:rsid w:val="00C273C5"/>
    <w:rsid w:val="00C303C5"/>
    <w:rsid w:val="00C31E43"/>
    <w:rsid w:val="00C32283"/>
    <w:rsid w:val="00C3263D"/>
    <w:rsid w:val="00C32B84"/>
    <w:rsid w:val="00C337C5"/>
    <w:rsid w:val="00C33F62"/>
    <w:rsid w:val="00C3421B"/>
    <w:rsid w:val="00C34296"/>
    <w:rsid w:val="00C34956"/>
    <w:rsid w:val="00C34E53"/>
    <w:rsid w:val="00C351A6"/>
    <w:rsid w:val="00C37419"/>
    <w:rsid w:val="00C374A5"/>
    <w:rsid w:val="00C379C3"/>
    <w:rsid w:val="00C40F6A"/>
    <w:rsid w:val="00C41C8C"/>
    <w:rsid w:val="00C42334"/>
    <w:rsid w:val="00C42C61"/>
    <w:rsid w:val="00C43086"/>
    <w:rsid w:val="00C43377"/>
    <w:rsid w:val="00C44147"/>
    <w:rsid w:val="00C444B3"/>
    <w:rsid w:val="00C4496F"/>
    <w:rsid w:val="00C44C51"/>
    <w:rsid w:val="00C45A52"/>
    <w:rsid w:val="00C45AC5"/>
    <w:rsid w:val="00C45E0B"/>
    <w:rsid w:val="00C46147"/>
    <w:rsid w:val="00C46220"/>
    <w:rsid w:val="00C46533"/>
    <w:rsid w:val="00C46C26"/>
    <w:rsid w:val="00C46C55"/>
    <w:rsid w:val="00C504A0"/>
    <w:rsid w:val="00C506D7"/>
    <w:rsid w:val="00C5088A"/>
    <w:rsid w:val="00C50B6E"/>
    <w:rsid w:val="00C51212"/>
    <w:rsid w:val="00C515A0"/>
    <w:rsid w:val="00C5206F"/>
    <w:rsid w:val="00C5272D"/>
    <w:rsid w:val="00C5280F"/>
    <w:rsid w:val="00C52B12"/>
    <w:rsid w:val="00C539E3"/>
    <w:rsid w:val="00C54DB1"/>
    <w:rsid w:val="00C56592"/>
    <w:rsid w:val="00C56ED7"/>
    <w:rsid w:val="00C56EFF"/>
    <w:rsid w:val="00C5724C"/>
    <w:rsid w:val="00C605BF"/>
    <w:rsid w:val="00C60815"/>
    <w:rsid w:val="00C6084C"/>
    <w:rsid w:val="00C609ED"/>
    <w:rsid w:val="00C6123E"/>
    <w:rsid w:val="00C61D50"/>
    <w:rsid w:val="00C62319"/>
    <w:rsid w:val="00C62D94"/>
    <w:rsid w:val="00C6318D"/>
    <w:rsid w:val="00C63AA6"/>
    <w:rsid w:val="00C64006"/>
    <w:rsid w:val="00C64890"/>
    <w:rsid w:val="00C64DE0"/>
    <w:rsid w:val="00C64EB8"/>
    <w:rsid w:val="00C65E65"/>
    <w:rsid w:val="00C66559"/>
    <w:rsid w:val="00C668F0"/>
    <w:rsid w:val="00C66B0C"/>
    <w:rsid w:val="00C675FE"/>
    <w:rsid w:val="00C70A53"/>
    <w:rsid w:val="00C70BFE"/>
    <w:rsid w:val="00C70E7A"/>
    <w:rsid w:val="00C71A3C"/>
    <w:rsid w:val="00C71BBA"/>
    <w:rsid w:val="00C71F62"/>
    <w:rsid w:val="00C721DE"/>
    <w:rsid w:val="00C7220B"/>
    <w:rsid w:val="00C7270C"/>
    <w:rsid w:val="00C72CA0"/>
    <w:rsid w:val="00C7352B"/>
    <w:rsid w:val="00C735E2"/>
    <w:rsid w:val="00C73870"/>
    <w:rsid w:val="00C74E16"/>
    <w:rsid w:val="00C75116"/>
    <w:rsid w:val="00C75653"/>
    <w:rsid w:val="00C75DF6"/>
    <w:rsid w:val="00C76AC1"/>
    <w:rsid w:val="00C76ECF"/>
    <w:rsid w:val="00C776DA"/>
    <w:rsid w:val="00C777B9"/>
    <w:rsid w:val="00C80225"/>
    <w:rsid w:val="00C809E1"/>
    <w:rsid w:val="00C80AB6"/>
    <w:rsid w:val="00C81001"/>
    <w:rsid w:val="00C81FB1"/>
    <w:rsid w:val="00C8250E"/>
    <w:rsid w:val="00C82C47"/>
    <w:rsid w:val="00C82DF7"/>
    <w:rsid w:val="00C82F1F"/>
    <w:rsid w:val="00C84296"/>
    <w:rsid w:val="00C844BD"/>
    <w:rsid w:val="00C847DA"/>
    <w:rsid w:val="00C848DC"/>
    <w:rsid w:val="00C850D2"/>
    <w:rsid w:val="00C8587B"/>
    <w:rsid w:val="00C85A49"/>
    <w:rsid w:val="00C85F1C"/>
    <w:rsid w:val="00C86871"/>
    <w:rsid w:val="00C86B6F"/>
    <w:rsid w:val="00C872FA"/>
    <w:rsid w:val="00C875C3"/>
    <w:rsid w:val="00C877F2"/>
    <w:rsid w:val="00C902F8"/>
    <w:rsid w:val="00C90821"/>
    <w:rsid w:val="00C913EF"/>
    <w:rsid w:val="00C921BD"/>
    <w:rsid w:val="00C921FF"/>
    <w:rsid w:val="00C92545"/>
    <w:rsid w:val="00C928D0"/>
    <w:rsid w:val="00C93243"/>
    <w:rsid w:val="00C93919"/>
    <w:rsid w:val="00C93D2B"/>
    <w:rsid w:val="00C93F44"/>
    <w:rsid w:val="00C941C1"/>
    <w:rsid w:val="00C9472F"/>
    <w:rsid w:val="00C9494D"/>
    <w:rsid w:val="00C94E2B"/>
    <w:rsid w:val="00C94FA3"/>
    <w:rsid w:val="00C96000"/>
    <w:rsid w:val="00C96085"/>
    <w:rsid w:val="00C965EC"/>
    <w:rsid w:val="00C97220"/>
    <w:rsid w:val="00C9728A"/>
    <w:rsid w:val="00C9769C"/>
    <w:rsid w:val="00C977A2"/>
    <w:rsid w:val="00C97A0D"/>
    <w:rsid w:val="00C97CAA"/>
    <w:rsid w:val="00C97CF6"/>
    <w:rsid w:val="00C97D24"/>
    <w:rsid w:val="00CA01E2"/>
    <w:rsid w:val="00CA0584"/>
    <w:rsid w:val="00CA096B"/>
    <w:rsid w:val="00CA0D30"/>
    <w:rsid w:val="00CA0FC0"/>
    <w:rsid w:val="00CA1711"/>
    <w:rsid w:val="00CA1944"/>
    <w:rsid w:val="00CA1EA5"/>
    <w:rsid w:val="00CA2BE7"/>
    <w:rsid w:val="00CA32AC"/>
    <w:rsid w:val="00CA38AB"/>
    <w:rsid w:val="00CA4BDC"/>
    <w:rsid w:val="00CA55CF"/>
    <w:rsid w:val="00CA582A"/>
    <w:rsid w:val="00CA66C9"/>
    <w:rsid w:val="00CA7912"/>
    <w:rsid w:val="00CB0293"/>
    <w:rsid w:val="00CB04F2"/>
    <w:rsid w:val="00CB0812"/>
    <w:rsid w:val="00CB13EE"/>
    <w:rsid w:val="00CB20A9"/>
    <w:rsid w:val="00CB2CE9"/>
    <w:rsid w:val="00CB3450"/>
    <w:rsid w:val="00CB40D6"/>
    <w:rsid w:val="00CB49EE"/>
    <w:rsid w:val="00CB5852"/>
    <w:rsid w:val="00CB5D36"/>
    <w:rsid w:val="00CC08EE"/>
    <w:rsid w:val="00CC0A7F"/>
    <w:rsid w:val="00CC15CE"/>
    <w:rsid w:val="00CC15ED"/>
    <w:rsid w:val="00CC1750"/>
    <w:rsid w:val="00CC1ACC"/>
    <w:rsid w:val="00CC1CF3"/>
    <w:rsid w:val="00CC231F"/>
    <w:rsid w:val="00CC233A"/>
    <w:rsid w:val="00CC2540"/>
    <w:rsid w:val="00CC2874"/>
    <w:rsid w:val="00CC2EEF"/>
    <w:rsid w:val="00CC3802"/>
    <w:rsid w:val="00CC431B"/>
    <w:rsid w:val="00CC465F"/>
    <w:rsid w:val="00CC4811"/>
    <w:rsid w:val="00CC4F6F"/>
    <w:rsid w:val="00CC555A"/>
    <w:rsid w:val="00CC6039"/>
    <w:rsid w:val="00CC65C3"/>
    <w:rsid w:val="00CC6814"/>
    <w:rsid w:val="00CC6BD3"/>
    <w:rsid w:val="00CC7E6E"/>
    <w:rsid w:val="00CD003A"/>
    <w:rsid w:val="00CD0114"/>
    <w:rsid w:val="00CD0284"/>
    <w:rsid w:val="00CD04DC"/>
    <w:rsid w:val="00CD0D58"/>
    <w:rsid w:val="00CD12EF"/>
    <w:rsid w:val="00CD1620"/>
    <w:rsid w:val="00CD1648"/>
    <w:rsid w:val="00CD1C01"/>
    <w:rsid w:val="00CD25C7"/>
    <w:rsid w:val="00CD2633"/>
    <w:rsid w:val="00CD2B07"/>
    <w:rsid w:val="00CD3095"/>
    <w:rsid w:val="00CD34B2"/>
    <w:rsid w:val="00CD38FF"/>
    <w:rsid w:val="00CD440B"/>
    <w:rsid w:val="00CD44BA"/>
    <w:rsid w:val="00CD4617"/>
    <w:rsid w:val="00CD4EED"/>
    <w:rsid w:val="00CD5C03"/>
    <w:rsid w:val="00CD5DE5"/>
    <w:rsid w:val="00CD5F91"/>
    <w:rsid w:val="00CD613B"/>
    <w:rsid w:val="00CD646A"/>
    <w:rsid w:val="00CD6895"/>
    <w:rsid w:val="00CD692C"/>
    <w:rsid w:val="00CD69FC"/>
    <w:rsid w:val="00CD7081"/>
    <w:rsid w:val="00CD7654"/>
    <w:rsid w:val="00CD7D33"/>
    <w:rsid w:val="00CD7E26"/>
    <w:rsid w:val="00CE00BE"/>
    <w:rsid w:val="00CE2C9A"/>
    <w:rsid w:val="00CE2D51"/>
    <w:rsid w:val="00CE3413"/>
    <w:rsid w:val="00CE41CE"/>
    <w:rsid w:val="00CE43C8"/>
    <w:rsid w:val="00CE4AEF"/>
    <w:rsid w:val="00CE4BBA"/>
    <w:rsid w:val="00CE50AC"/>
    <w:rsid w:val="00CE5EA2"/>
    <w:rsid w:val="00CE6A7E"/>
    <w:rsid w:val="00CE74BA"/>
    <w:rsid w:val="00CE74DD"/>
    <w:rsid w:val="00CF0490"/>
    <w:rsid w:val="00CF0916"/>
    <w:rsid w:val="00CF0C7B"/>
    <w:rsid w:val="00CF10B7"/>
    <w:rsid w:val="00CF1306"/>
    <w:rsid w:val="00CF1EF4"/>
    <w:rsid w:val="00CF415B"/>
    <w:rsid w:val="00CF459B"/>
    <w:rsid w:val="00CF46D9"/>
    <w:rsid w:val="00CF4803"/>
    <w:rsid w:val="00CF4EE4"/>
    <w:rsid w:val="00CF5070"/>
    <w:rsid w:val="00CF5782"/>
    <w:rsid w:val="00CF5ADE"/>
    <w:rsid w:val="00CF5F42"/>
    <w:rsid w:val="00CF6A60"/>
    <w:rsid w:val="00CF6B64"/>
    <w:rsid w:val="00CF75F4"/>
    <w:rsid w:val="00CF79E2"/>
    <w:rsid w:val="00CF7F9D"/>
    <w:rsid w:val="00D00388"/>
    <w:rsid w:val="00D010B3"/>
    <w:rsid w:val="00D01BEF"/>
    <w:rsid w:val="00D0265B"/>
    <w:rsid w:val="00D02D72"/>
    <w:rsid w:val="00D0509A"/>
    <w:rsid w:val="00D05207"/>
    <w:rsid w:val="00D0529A"/>
    <w:rsid w:val="00D05332"/>
    <w:rsid w:val="00D06168"/>
    <w:rsid w:val="00D070AB"/>
    <w:rsid w:val="00D07239"/>
    <w:rsid w:val="00D10F6E"/>
    <w:rsid w:val="00D1104D"/>
    <w:rsid w:val="00D114CD"/>
    <w:rsid w:val="00D119FE"/>
    <w:rsid w:val="00D1200D"/>
    <w:rsid w:val="00D1228F"/>
    <w:rsid w:val="00D124F0"/>
    <w:rsid w:val="00D125CD"/>
    <w:rsid w:val="00D145EC"/>
    <w:rsid w:val="00D14E62"/>
    <w:rsid w:val="00D161E4"/>
    <w:rsid w:val="00D1643C"/>
    <w:rsid w:val="00D164A0"/>
    <w:rsid w:val="00D16572"/>
    <w:rsid w:val="00D17B29"/>
    <w:rsid w:val="00D17F2F"/>
    <w:rsid w:val="00D207D2"/>
    <w:rsid w:val="00D208A6"/>
    <w:rsid w:val="00D21727"/>
    <w:rsid w:val="00D219DC"/>
    <w:rsid w:val="00D2225C"/>
    <w:rsid w:val="00D22833"/>
    <w:rsid w:val="00D23A08"/>
    <w:rsid w:val="00D23F07"/>
    <w:rsid w:val="00D2423A"/>
    <w:rsid w:val="00D24527"/>
    <w:rsid w:val="00D246AA"/>
    <w:rsid w:val="00D24E1F"/>
    <w:rsid w:val="00D255DF"/>
    <w:rsid w:val="00D258F8"/>
    <w:rsid w:val="00D25DE9"/>
    <w:rsid w:val="00D265A0"/>
    <w:rsid w:val="00D265CB"/>
    <w:rsid w:val="00D27159"/>
    <w:rsid w:val="00D27B11"/>
    <w:rsid w:val="00D27F32"/>
    <w:rsid w:val="00D300A2"/>
    <w:rsid w:val="00D31571"/>
    <w:rsid w:val="00D3183B"/>
    <w:rsid w:val="00D31B08"/>
    <w:rsid w:val="00D321A5"/>
    <w:rsid w:val="00D32993"/>
    <w:rsid w:val="00D330A1"/>
    <w:rsid w:val="00D33A36"/>
    <w:rsid w:val="00D33EDD"/>
    <w:rsid w:val="00D341B1"/>
    <w:rsid w:val="00D34C27"/>
    <w:rsid w:val="00D34E63"/>
    <w:rsid w:val="00D354F6"/>
    <w:rsid w:val="00D35DC7"/>
    <w:rsid w:val="00D35E3E"/>
    <w:rsid w:val="00D36C7B"/>
    <w:rsid w:val="00D36EDA"/>
    <w:rsid w:val="00D36F52"/>
    <w:rsid w:val="00D36F9D"/>
    <w:rsid w:val="00D3757E"/>
    <w:rsid w:val="00D37B5A"/>
    <w:rsid w:val="00D40309"/>
    <w:rsid w:val="00D4041D"/>
    <w:rsid w:val="00D40D46"/>
    <w:rsid w:val="00D40DF8"/>
    <w:rsid w:val="00D416F1"/>
    <w:rsid w:val="00D417BF"/>
    <w:rsid w:val="00D41866"/>
    <w:rsid w:val="00D41B71"/>
    <w:rsid w:val="00D41B8F"/>
    <w:rsid w:val="00D41E19"/>
    <w:rsid w:val="00D41F68"/>
    <w:rsid w:val="00D42279"/>
    <w:rsid w:val="00D425BB"/>
    <w:rsid w:val="00D42680"/>
    <w:rsid w:val="00D428C8"/>
    <w:rsid w:val="00D4295F"/>
    <w:rsid w:val="00D43C72"/>
    <w:rsid w:val="00D44234"/>
    <w:rsid w:val="00D449D7"/>
    <w:rsid w:val="00D44E76"/>
    <w:rsid w:val="00D458E3"/>
    <w:rsid w:val="00D45EFC"/>
    <w:rsid w:val="00D468C4"/>
    <w:rsid w:val="00D46A6B"/>
    <w:rsid w:val="00D46A8F"/>
    <w:rsid w:val="00D46DD5"/>
    <w:rsid w:val="00D46FD9"/>
    <w:rsid w:val="00D471EA"/>
    <w:rsid w:val="00D4735B"/>
    <w:rsid w:val="00D4791A"/>
    <w:rsid w:val="00D5064C"/>
    <w:rsid w:val="00D51401"/>
    <w:rsid w:val="00D51532"/>
    <w:rsid w:val="00D51608"/>
    <w:rsid w:val="00D51A8D"/>
    <w:rsid w:val="00D51C77"/>
    <w:rsid w:val="00D535E2"/>
    <w:rsid w:val="00D5376A"/>
    <w:rsid w:val="00D537CF"/>
    <w:rsid w:val="00D53F07"/>
    <w:rsid w:val="00D5569D"/>
    <w:rsid w:val="00D55EE7"/>
    <w:rsid w:val="00D5643B"/>
    <w:rsid w:val="00D57184"/>
    <w:rsid w:val="00D571EC"/>
    <w:rsid w:val="00D61194"/>
    <w:rsid w:val="00D6172B"/>
    <w:rsid w:val="00D61751"/>
    <w:rsid w:val="00D617FB"/>
    <w:rsid w:val="00D62CAE"/>
    <w:rsid w:val="00D62E70"/>
    <w:rsid w:val="00D6332D"/>
    <w:rsid w:val="00D635C9"/>
    <w:rsid w:val="00D6366E"/>
    <w:rsid w:val="00D647A7"/>
    <w:rsid w:val="00D64861"/>
    <w:rsid w:val="00D64CB1"/>
    <w:rsid w:val="00D64E07"/>
    <w:rsid w:val="00D64EE3"/>
    <w:rsid w:val="00D64FEB"/>
    <w:rsid w:val="00D6502D"/>
    <w:rsid w:val="00D65415"/>
    <w:rsid w:val="00D655A7"/>
    <w:rsid w:val="00D664DC"/>
    <w:rsid w:val="00D66522"/>
    <w:rsid w:val="00D66DE8"/>
    <w:rsid w:val="00D672A9"/>
    <w:rsid w:val="00D6749C"/>
    <w:rsid w:val="00D674D4"/>
    <w:rsid w:val="00D70481"/>
    <w:rsid w:val="00D70A21"/>
    <w:rsid w:val="00D70FF1"/>
    <w:rsid w:val="00D7184A"/>
    <w:rsid w:val="00D722E6"/>
    <w:rsid w:val="00D7332C"/>
    <w:rsid w:val="00D74931"/>
    <w:rsid w:val="00D752B8"/>
    <w:rsid w:val="00D75392"/>
    <w:rsid w:val="00D753E0"/>
    <w:rsid w:val="00D7632F"/>
    <w:rsid w:val="00D76424"/>
    <w:rsid w:val="00D76AC5"/>
    <w:rsid w:val="00D776B5"/>
    <w:rsid w:val="00D77DE2"/>
    <w:rsid w:val="00D8112A"/>
    <w:rsid w:val="00D81305"/>
    <w:rsid w:val="00D8177B"/>
    <w:rsid w:val="00D827E0"/>
    <w:rsid w:val="00D82B45"/>
    <w:rsid w:val="00D830F9"/>
    <w:rsid w:val="00D83C28"/>
    <w:rsid w:val="00D8422A"/>
    <w:rsid w:val="00D844B1"/>
    <w:rsid w:val="00D844BC"/>
    <w:rsid w:val="00D84C04"/>
    <w:rsid w:val="00D84C89"/>
    <w:rsid w:val="00D8500F"/>
    <w:rsid w:val="00D85F3D"/>
    <w:rsid w:val="00D86967"/>
    <w:rsid w:val="00D86BC0"/>
    <w:rsid w:val="00D86BE6"/>
    <w:rsid w:val="00D87110"/>
    <w:rsid w:val="00D87B95"/>
    <w:rsid w:val="00D87DF9"/>
    <w:rsid w:val="00D87E0E"/>
    <w:rsid w:val="00D90A23"/>
    <w:rsid w:val="00D913FA"/>
    <w:rsid w:val="00D91AAE"/>
    <w:rsid w:val="00D91FFA"/>
    <w:rsid w:val="00D92609"/>
    <w:rsid w:val="00D92E3B"/>
    <w:rsid w:val="00D934B7"/>
    <w:rsid w:val="00D93D5F"/>
    <w:rsid w:val="00D94AF0"/>
    <w:rsid w:val="00D94CD4"/>
    <w:rsid w:val="00D95528"/>
    <w:rsid w:val="00D965CA"/>
    <w:rsid w:val="00D96867"/>
    <w:rsid w:val="00D96B7E"/>
    <w:rsid w:val="00D96C1A"/>
    <w:rsid w:val="00D974FA"/>
    <w:rsid w:val="00D97D4A"/>
    <w:rsid w:val="00DA14C8"/>
    <w:rsid w:val="00DA1CDD"/>
    <w:rsid w:val="00DA246E"/>
    <w:rsid w:val="00DA2EFE"/>
    <w:rsid w:val="00DA33C0"/>
    <w:rsid w:val="00DA3CA4"/>
    <w:rsid w:val="00DA436D"/>
    <w:rsid w:val="00DA4DAA"/>
    <w:rsid w:val="00DA4E52"/>
    <w:rsid w:val="00DA551C"/>
    <w:rsid w:val="00DA5580"/>
    <w:rsid w:val="00DA5596"/>
    <w:rsid w:val="00DA5E47"/>
    <w:rsid w:val="00DA5FB2"/>
    <w:rsid w:val="00DA6A00"/>
    <w:rsid w:val="00DA6EE8"/>
    <w:rsid w:val="00DA75F6"/>
    <w:rsid w:val="00DB1D9C"/>
    <w:rsid w:val="00DB2CDF"/>
    <w:rsid w:val="00DB3767"/>
    <w:rsid w:val="00DB37A9"/>
    <w:rsid w:val="00DB49DB"/>
    <w:rsid w:val="00DB4CDA"/>
    <w:rsid w:val="00DB4D77"/>
    <w:rsid w:val="00DB5428"/>
    <w:rsid w:val="00DB5644"/>
    <w:rsid w:val="00DB57C0"/>
    <w:rsid w:val="00DB59C6"/>
    <w:rsid w:val="00DB5EB5"/>
    <w:rsid w:val="00DB67AA"/>
    <w:rsid w:val="00DB6881"/>
    <w:rsid w:val="00DB7A4D"/>
    <w:rsid w:val="00DB7B0B"/>
    <w:rsid w:val="00DC0AAE"/>
    <w:rsid w:val="00DC1180"/>
    <w:rsid w:val="00DC200E"/>
    <w:rsid w:val="00DC29C1"/>
    <w:rsid w:val="00DC2C03"/>
    <w:rsid w:val="00DC308E"/>
    <w:rsid w:val="00DC315F"/>
    <w:rsid w:val="00DC31FC"/>
    <w:rsid w:val="00DC37F5"/>
    <w:rsid w:val="00DC3DB5"/>
    <w:rsid w:val="00DC3F13"/>
    <w:rsid w:val="00DC413D"/>
    <w:rsid w:val="00DC467F"/>
    <w:rsid w:val="00DC4737"/>
    <w:rsid w:val="00DC49FA"/>
    <w:rsid w:val="00DC4B4C"/>
    <w:rsid w:val="00DC583D"/>
    <w:rsid w:val="00DC607E"/>
    <w:rsid w:val="00DC6C4A"/>
    <w:rsid w:val="00DC6CA2"/>
    <w:rsid w:val="00DC7EE7"/>
    <w:rsid w:val="00DC7F28"/>
    <w:rsid w:val="00DD0CEC"/>
    <w:rsid w:val="00DD1144"/>
    <w:rsid w:val="00DD1D30"/>
    <w:rsid w:val="00DD2625"/>
    <w:rsid w:val="00DD28C4"/>
    <w:rsid w:val="00DD29F3"/>
    <w:rsid w:val="00DD2ACF"/>
    <w:rsid w:val="00DD2E1C"/>
    <w:rsid w:val="00DD3A6A"/>
    <w:rsid w:val="00DD3C93"/>
    <w:rsid w:val="00DD4E95"/>
    <w:rsid w:val="00DD60A6"/>
    <w:rsid w:val="00DD60A8"/>
    <w:rsid w:val="00DD6765"/>
    <w:rsid w:val="00DD68FB"/>
    <w:rsid w:val="00DE01FD"/>
    <w:rsid w:val="00DE030C"/>
    <w:rsid w:val="00DE06B6"/>
    <w:rsid w:val="00DE0B3F"/>
    <w:rsid w:val="00DE0BB6"/>
    <w:rsid w:val="00DE0E08"/>
    <w:rsid w:val="00DE0EBB"/>
    <w:rsid w:val="00DE12D3"/>
    <w:rsid w:val="00DE18F4"/>
    <w:rsid w:val="00DE1DEC"/>
    <w:rsid w:val="00DE1F8F"/>
    <w:rsid w:val="00DE218F"/>
    <w:rsid w:val="00DE252F"/>
    <w:rsid w:val="00DE25BE"/>
    <w:rsid w:val="00DE2A67"/>
    <w:rsid w:val="00DE2A6D"/>
    <w:rsid w:val="00DE3D85"/>
    <w:rsid w:val="00DE3ED9"/>
    <w:rsid w:val="00DE47BC"/>
    <w:rsid w:val="00DE47E6"/>
    <w:rsid w:val="00DE4806"/>
    <w:rsid w:val="00DE4BF5"/>
    <w:rsid w:val="00DE4EB8"/>
    <w:rsid w:val="00DE50F2"/>
    <w:rsid w:val="00DE58CE"/>
    <w:rsid w:val="00DE58D2"/>
    <w:rsid w:val="00DE5BC3"/>
    <w:rsid w:val="00DE691A"/>
    <w:rsid w:val="00DE7247"/>
    <w:rsid w:val="00DE7AD3"/>
    <w:rsid w:val="00DE7BE5"/>
    <w:rsid w:val="00DF0119"/>
    <w:rsid w:val="00DF07D2"/>
    <w:rsid w:val="00DF1310"/>
    <w:rsid w:val="00DF1462"/>
    <w:rsid w:val="00DF1892"/>
    <w:rsid w:val="00DF1BF4"/>
    <w:rsid w:val="00DF1F0D"/>
    <w:rsid w:val="00DF20D2"/>
    <w:rsid w:val="00DF217B"/>
    <w:rsid w:val="00DF2279"/>
    <w:rsid w:val="00DF22A0"/>
    <w:rsid w:val="00DF2D4B"/>
    <w:rsid w:val="00DF30C0"/>
    <w:rsid w:val="00DF3850"/>
    <w:rsid w:val="00DF395C"/>
    <w:rsid w:val="00DF3F1F"/>
    <w:rsid w:val="00DF4184"/>
    <w:rsid w:val="00DF46E7"/>
    <w:rsid w:val="00DF490B"/>
    <w:rsid w:val="00DF4D50"/>
    <w:rsid w:val="00DF4F79"/>
    <w:rsid w:val="00DF50F5"/>
    <w:rsid w:val="00DF6926"/>
    <w:rsid w:val="00DF6E12"/>
    <w:rsid w:val="00DF7017"/>
    <w:rsid w:val="00DF70AF"/>
    <w:rsid w:val="00DF70EF"/>
    <w:rsid w:val="00E00170"/>
    <w:rsid w:val="00E002AC"/>
    <w:rsid w:val="00E00879"/>
    <w:rsid w:val="00E00EDB"/>
    <w:rsid w:val="00E014F8"/>
    <w:rsid w:val="00E015AF"/>
    <w:rsid w:val="00E036D2"/>
    <w:rsid w:val="00E03A46"/>
    <w:rsid w:val="00E04369"/>
    <w:rsid w:val="00E045AA"/>
    <w:rsid w:val="00E04BFD"/>
    <w:rsid w:val="00E06853"/>
    <w:rsid w:val="00E0742A"/>
    <w:rsid w:val="00E0792A"/>
    <w:rsid w:val="00E10210"/>
    <w:rsid w:val="00E10F25"/>
    <w:rsid w:val="00E11AED"/>
    <w:rsid w:val="00E13015"/>
    <w:rsid w:val="00E1324D"/>
    <w:rsid w:val="00E1366E"/>
    <w:rsid w:val="00E14836"/>
    <w:rsid w:val="00E14C05"/>
    <w:rsid w:val="00E158E5"/>
    <w:rsid w:val="00E16AFF"/>
    <w:rsid w:val="00E16DFD"/>
    <w:rsid w:val="00E21267"/>
    <w:rsid w:val="00E21877"/>
    <w:rsid w:val="00E21BB0"/>
    <w:rsid w:val="00E225C7"/>
    <w:rsid w:val="00E23055"/>
    <w:rsid w:val="00E23AFA"/>
    <w:rsid w:val="00E23F79"/>
    <w:rsid w:val="00E2416E"/>
    <w:rsid w:val="00E2425D"/>
    <w:rsid w:val="00E242CE"/>
    <w:rsid w:val="00E246B2"/>
    <w:rsid w:val="00E24D18"/>
    <w:rsid w:val="00E25683"/>
    <w:rsid w:val="00E2595E"/>
    <w:rsid w:val="00E25E6F"/>
    <w:rsid w:val="00E262A2"/>
    <w:rsid w:val="00E26DEF"/>
    <w:rsid w:val="00E30003"/>
    <w:rsid w:val="00E3005F"/>
    <w:rsid w:val="00E301B5"/>
    <w:rsid w:val="00E31775"/>
    <w:rsid w:val="00E31A3F"/>
    <w:rsid w:val="00E31A44"/>
    <w:rsid w:val="00E31D23"/>
    <w:rsid w:val="00E31FD1"/>
    <w:rsid w:val="00E32144"/>
    <w:rsid w:val="00E32859"/>
    <w:rsid w:val="00E32E85"/>
    <w:rsid w:val="00E337B8"/>
    <w:rsid w:val="00E338BB"/>
    <w:rsid w:val="00E35113"/>
    <w:rsid w:val="00E358AB"/>
    <w:rsid w:val="00E35B06"/>
    <w:rsid w:val="00E35E56"/>
    <w:rsid w:val="00E36706"/>
    <w:rsid w:val="00E36928"/>
    <w:rsid w:val="00E36F67"/>
    <w:rsid w:val="00E374A4"/>
    <w:rsid w:val="00E3776E"/>
    <w:rsid w:val="00E37BA7"/>
    <w:rsid w:val="00E404D3"/>
    <w:rsid w:val="00E40955"/>
    <w:rsid w:val="00E40D3E"/>
    <w:rsid w:val="00E40EF8"/>
    <w:rsid w:val="00E410DE"/>
    <w:rsid w:val="00E421C0"/>
    <w:rsid w:val="00E42428"/>
    <w:rsid w:val="00E42491"/>
    <w:rsid w:val="00E425C2"/>
    <w:rsid w:val="00E4295F"/>
    <w:rsid w:val="00E43C0F"/>
    <w:rsid w:val="00E43C14"/>
    <w:rsid w:val="00E43CCA"/>
    <w:rsid w:val="00E43E9C"/>
    <w:rsid w:val="00E447B9"/>
    <w:rsid w:val="00E44FB8"/>
    <w:rsid w:val="00E4530B"/>
    <w:rsid w:val="00E4537F"/>
    <w:rsid w:val="00E46287"/>
    <w:rsid w:val="00E50897"/>
    <w:rsid w:val="00E513F7"/>
    <w:rsid w:val="00E514FE"/>
    <w:rsid w:val="00E51C9F"/>
    <w:rsid w:val="00E5224B"/>
    <w:rsid w:val="00E52519"/>
    <w:rsid w:val="00E52C0B"/>
    <w:rsid w:val="00E52EFD"/>
    <w:rsid w:val="00E52F5E"/>
    <w:rsid w:val="00E52F7E"/>
    <w:rsid w:val="00E530EB"/>
    <w:rsid w:val="00E535A6"/>
    <w:rsid w:val="00E53A48"/>
    <w:rsid w:val="00E53CCB"/>
    <w:rsid w:val="00E54677"/>
    <w:rsid w:val="00E54BCA"/>
    <w:rsid w:val="00E54E28"/>
    <w:rsid w:val="00E5554C"/>
    <w:rsid w:val="00E556C8"/>
    <w:rsid w:val="00E558FD"/>
    <w:rsid w:val="00E55C47"/>
    <w:rsid w:val="00E56B99"/>
    <w:rsid w:val="00E57167"/>
    <w:rsid w:val="00E602EE"/>
    <w:rsid w:val="00E60306"/>
    <w:rsid w:val="00E60792"/>
    <w:rsid w:val="00E60D99"/>
    <w:rsid w:val="00E61117"/>
    <w:rsid w:val="00E6151E"/>
    <w:rsid w:val="00E6198C"/>
    <w:rsid w:val="00E61B19"/>
    <w:rsid w:val="00E61B2C"/>
    <w:rsid w:val="00E61B6A"/>
    <w:rsid w:val="00E61F23"/>
    <w:rsid w:val="00E62E90"/>
    <w:rsid w:val="00E635B4"/>
    <w:rsid w:val="00E63C54"/>
    <w:rsid w:val="00E64384"/>
    <w:rsid w:val="00E6535F"/>
    <w:rsid w:val="00E65617"/>
    <w:rsid w:val="00E6570D"/>
    <w:rsid w:val="00E65DAB"/>
    <w:rsid w:val="00E65EF6"/>
    <w:rsid w:val="00E66187"/>
    <w:rsid w:val="00E67181"/>
    <w:rsid w:val="00E67535"/>
    <w:rsid w:val="00E67B8C"/>
    <w:rsid w:val="00E70644"/>
    <w:rsid w:val="00E70A6D"/>
    <w:rsid w:val="00E70CFC"/>
    <w:rsid w:val="00E718E1"/>
    <w:rsid w:val="00E71ACB"/>
    <w:rsid w:val="00E723E4"/>
    <w:rsid w:val="00E748E8"/>
    <w:rsid w:val="00E75445"/>
    <w:rsid w:val="00E756BB"/>
    <w:rsid w:val="00E75ADF"/>
    <w:rsid w:val="00E76215"/>
    <w:rsid w:val="00E768C0"/>
    <w:rsid w:val="00E76B62"/>
    <w:rsid w:val="00E77AF7"/>
    <w:rsid w:val="00E77F05"/>
    <w:rsid w:val="00E8042F"/>
    <w:rsid w:val="00E80561"/>
    <w:rsid w:val="00E809AA"/>
    <w:rsid w:val="00E80D25"/>
    <w:rsid w:val="00E80DE5"/>
    <w:rsid w:val="00E8151A"/>
    <w:rsid w:val="00E8174A"/>
    <w:rsid w:val="00E81792"/>
    <w:rsid w:val="00E82632"/>
    <w:rsid w:val="00E843D5"/>
    <w:rsid w:val="00E84754"/>
    <w:rsid w:val="00E84C22"/>
    <w:rsid w:val="00E85572"/>
    <w:rsid w:val="00E85DF8"/>
    <w:rsid w:val="00E86008"/>
    <w:rsid w:val="00E86200"/>
    <w:rsid w:val="00E86CA6"/>
    <w:rsid w:val="00E86F0C"/>
    <w:rsid w:val="00E878A5"/>
    <w:rsid w:val="00E9087C"/>
    <w:rsid w:val="00E90927"/>
    <w:rsid w:val="00E90B45"/>
    <w:rsid w:val="00E90EB2"/>
    <w:rsid w:val="00E91397"/>
    <w:rsid w:val="00E9170B"/>
    <w:rsid w:val="00E91EAE"/>
    <w:rsid w:val="00E9255A"/>
    <w:rsid w:val="00E92B71"/>
    <w:rsid w:val="00E93544"/>
    <w:rsid w:val="00E93BCE"/>
    <w:rsid w:val="00E9486A"/>
    <w:rsid w:val="00E949DF"/>
    <w:rsid w:val="00E949F5"/>
    <w:rsid w:val="00E95557"/>
    <w:rsid w:val="00E9599D"/>
    <w:rsid w:val="00E95FD7"/>
    <w:rsid w:val="00E96121"/>
    <w:rsid w:val="00E968CB"/>
    <w:rsid w:val="00E96DAF"/>
    <w:rsid w:val="00E97398"/>
    <w:rsid w:val="00E97559"/>
    <w:rsid w:val="00EA02BA"/>
    <w:rsid w:val="00EA0394"/>
    <w:rsid w:val="00EA071F"/>
    <w:rsid w:val="00EA11C4"/>
    <w:rsid w:val="00EA2AF2"/>
    <w:rsid w:val="00EA3425"/>
    <w:rsid w:val="00EA34D5"/>
    <w:rsid w:val="00EA39FA"/>
    <w:rsid w:val="00EA3B00"/>
    <w:rsid w:val="00EA4DE8"/>
    <w:rsid w:val="00EA53E6"/>
    <w:rsid w:val="00EA5EF1"/>
    <w:rsid w:val="00EA6163"/>
    <w:rsid w:val="00EA6CCB"/>
    <w:rsid w:val="00EA70D6"/>
    <w:rsid w:val="00EB023C"/>
    <w:rsid w:val="00EB034A"/>
    <w:rsid w:val="00EB0444"/>
    <w:rsid w:val="00EB056E"/>
    <w:rsid w:val="00EB07A5"/>
    <w:rsid w:val="00EB0CF2"/>
    <w:rsid w:val="00EB0EB5"/>
    <w:rsid w:val="00EB112A"/>
    <w:rsid w:val="00EB16A4"/>
    <w:rsid w:val="00EB185D"/>
    <w:rsid w:val="00EB1FCD"/>
    <w:rsid w:val="00EB2B19"/>
    <w:rsid w:val="00EB2FBC"/>
    <w:rsid w:val="00EB33DB"/>
    <w:rsid w:val="00EB36AB"/>
    <w:rsid w:val="00EB3725"/>
    <w:rsid w:val="00EB37F9"/>
    <w:rsid w:val="00EB4470"/>
    <w:rsid w:val="00EB4EB0"/>
    <w:rsid w:val="00EB5241"/>
    <w:rsid w:val="00EB5354"/>
    <w:rsid w:val="00EB53A1"/>
    <w:rsid w:val="00EB56AC"/>
    <w:rsid w:val="00EB57CC"/>
    <w:rsid w:val="00EB5B7E"/>
    <w:rsid w:val="00EB624D"/>
    <w:rsid w:val="00EB62A1"/>
    <w:rsid w:val="00EB6369"/>
    <w:rsid w:val="00EB6B31"/>
    <w:rsid w:val="00EC05B1"/>
    <w:rsid w:val="00EC0A16"/>
    <w:rsid w:val="00EC0E79"/>
    <w:rsid w:val="00EC1AA7"/>
    <w:rsid w:val="00EC2260"/>
    <w:rsid w:val="00EC3193"/>
    <w:rsid w:val="00EC346A"/>
    <w:rsid w:val="00EC3AE3"/>
    <w:rsid w:val="00EC3B38"/>
    <w:rsid w:val="00EC3DCD"/>
    <w:rsid w:val="00EC4528"/>
    <w:rsid w:val="00EC7968"/>
    <w:rsid w:val="00ED06AC"/>
    <w:rsid w:val="00ED07F5"/>
    <w:rsid w:val="00ED0B01"/>
    <w:rsid w:val="00ED0BD4"/>
    <w:rsid w:val="00ED0C7A"/>
    <w:rsid w:val="00ED1EE4"/>
    <w:rsid w:val="00ED272C"/>
    <w:rsid w:val="00ED3102"/>
    <w:rsid w:val="00ED38D0"/>
    <w:rsid w:val="00ED39F8"/>
    <w:rsid w:val="00ED3E90"/>
    <w:rsid w:val="00ED3F8D"/>
    <w:rsid w:val="00ED4143"/>
    <w:rsid w:val="00ED4AFB"/>
    <w:rsid w:val="00ED4D6C"/>
    <w:rsid w:val="00ED576E"/>
    <w:rsid w:val="00ED58C2"/>
    <w:rsid w:val="00ED6B25"/>
    <w:rsid w:val="00ED6F61"/>
    <w:rsid w:val="00ED7FB4"/>
    <w:rsid w:val="00EE00E3"/>
    <w:rsid w:val="00EE0364"/>
    <w:rsid w:val="00EE042D"/>
    <w:rsid w:val="00EE0B0C"/>
    <w:rsid w:val="00EE0BF4"/>
    <w:rsid w:val="00EE0FA6"/>
    <w:rsid w:val="00EE1280"/>
    <w:rsid w:val="00EE12AF"/>
    <w:rsid w:val="00EE2B5C"/>
    <w:rsid w:val="00EE2DA6"/>
    <w:rsid w:val="00EE2DFA"/>
    <w:rsid w:val="00EE2EAC"/>
    <w:rsid w:val="00EE3082"/>
    <w:rsid w:val="00EE42D2"/>
    <w:rsid w:val="00EE474D"/>
    <w:rsid w:val="00EE4BE6"/>
    <w:rsid w:val="00EE56E6"/>
    <w:rsid w:val="00EE5BFD"/>
    <w:rsid w:val="00EE67A7"/>
    <w:rsid w:val="00EE6CD4"/>
    <w:rsid w:val="00EE6F3C"/>
    <w:rsid w:val="00EE753E"/>
    <w:rsid w:val="00EE7C1C"/>
    <w:rsid w:val="00EF0096"/>
    <w:rsid w:val="00EF01DB"/>
    <w:rsid w:val="00EF0408"/>
    <w:rsid w:val="00EF068D"/>
    <w:rsid w:val="00EF185E"/>
    <w:rsid w:val="00EF20A1"/>
    <w:rsid w:val="00EF2298"/>
    <w:rsid w:val="00EF27DB"/>
    <w:rsid w:val="00EF31E1"/>
    <w:rsid w:val="00EF35DC"/>
    <w:rsid w:val="00EF3AC6"/>
    <w:rsid w:val="00EF43F4"/>
    <w:rsid w:val="00EF543C"/>
    <w:rsid w:val="00EF5465"/>
    <w:rsid w:val="00EF5599"/>
    <w:rsid w:val="00EF5CE2"/>
    <w:rsid w:val="00EF5F2D"/>
    <w:rsid w:val="00EF6193"/>
    <w:rsid w:val="00EF6A74"/>
    <w:rsid w:val="00EF6B2D"/>
    <w:rsid w:val="00EF6C86"/>
    <w:rsid w:val="00EF6C92"/>
    <w:rsid w:val="00EF78AA"/>
    <w:rsid w:val="00F00053"/>
    <w:rsid w:val="00F00B8F"/>
    <w:rsid w:val="00F01FDA"/>
    <w:rsid w:val="00F02368"/>
    <w:rsid w:val="00F0294A"/>
    <w:rsid w:val="00F0338A"/>
    <w:rsid w:val="00F043A0"/>
    <w:rsid w:val="00F0442B"/>
    <w:rsid w:val="00F0482C"/>
    <w:rsid w:val="00F04871"/>
    <w:rsid w:val="00F04893"/>
    <w:rsid w:val="00F05BF2"/>
    <w:rsid w:val="00F0642A"/>
    <w:rsid w:val="00F0643D"/>
    <w:rsid w:val="00F066BA"/>
    <w:rsid w:val="00F06C76"/>
    <w:rsid w:val="00F06DA9"/>
    <w:rsid w:val="00F06FF2"/>
    <w:rsid w:val="00F0788C"/>
    <w:rsid w:val="00F07F18"/>
    <w:rsid w:val="00F10654"/>
    <w:rsid w:val="00F112F6"/>
    <w:rsid w:val="00F12027"/>
    <w:rsid w:val="00F12330"/>
    <w:rsid w:val="00F12C0E"/>
    <w:rsid w:val="00F12C4B"/>
    <w:rsid w:val="00F13785"/>
    <w:rsid w:val="00F13FCC"/>
    <w:rsid w:val="00F14056"/>
    <w:rsid w:val="00F143FA"/>
    <w:rsid w:val="00F1463B"/>
    <w:rsid w:val="00F146AD"/>
    <w:rsid w:val="00F14AF5"/>
    <w:rsid w:val="00F14BFA"/>
    <w:rsid w:val="00F1531F"/>
    <w:rsid w:val="00F1577C"/>
    <w:rsid w:val="00F1619E"/>
    <w:rsid w:val="00F16415"/>
    <w:rsid w:val="00F1649D"/>
    <w:rsid w:val="00F16865"/>
    <w:rsid w:val="00F16C90"/>
    <w:rsid w:val="00F1784D"/>
    <w:rsid w:val="00F17F4C"/>
    <w:rsid w:val="00F218B4"/>
    <w:rsid w:val="00F21CB6"/>
    <w:rsid w:val="00F2248F"/>
    <w:rsid w:val="00F22861"/>
    <w:rsid w:val="00F22EA0"/>
    <w:rsid w:val="00F22EC8"/>
    <w:rsid w:val="00F2406A"/>
    <w:rsid w:val="00F25A6C"/>
    <w:rsid w:val="00F25A9D"/>
    <w:rsid w:val="00F26018"/>
    <w:rsid w:val="00F2676F"/>
    <w:rsid w:val="00F273F5"/>
    <w:rsid w:val="00F27636"/>
    <w:rsid w:val="00F30143"/>
    <w:rsid w:val="00F301D0"/>
    <w:rsid w:val="00F30F8E"/>
    <w:rsid w:val="00F310CD"/>
    <w:rsid w:val="00F31513"/>
    <w:rsid w:val="00F315D9"/>
    <w:rsid w:val="00F31A7B"/>
    <w:rsid w:val="00F323D9"/>
    <w:rsid w:val="00F329D6"/>
    <w:rsid w:val="00F335C7"/>
    <w:rsid w:val="00F3439D"/>
    <w:rsid w:val="00F35321"/>
    <w:rsid w:val="00F35C2B"/>
    <w:rsid w:val="00F35CC7"/>
    <w:rsid w:val="00F35F1C"/>
    <w:rsid w:val="00F35FCB"/>
    <w:rsid w:val="00F36672"/>
    <w:rsid w:val="00F368D3"/>
    <w:rsid w:val="00F36B44"/>
    <w:rsid w:val="00F37281"/>
    <w:rsid w:val="00F37653"/>
    <w:rsid w:val="00F37A02"/>
    <w:rsid w:val="00F37BAD"/>
    <w:rsid w:val="00F37C6F"/>
    <w:rsid w:val="00F4111B"/>
    <w:rsid w:val="00F417D3"/>
    <w:rsid w:val="00F427B4"/>
    <w:rsid w:val="00F42B95"/>
    <w:rsid w:val="00F433F7"/>
    <w:rsid w:val="00F43AF4"/>
    <w:rsid w:val="00F450E5"/>
    <w:rsid w:val="00F45595"/>
    <w:rsid w:val="00F458EF"/>
    <w:rsid w:val="00F45A21"/>
    <w:rsid w:val="00F46413"/>
    <w:rsid w:val="00F50AF5"/>
    <w:rsid w:val="00F50AFC"/>
    <w:rsid w:val="00F50B87"/>
    <w:rsid w:val="00F51C7D"/>
    <w:rsid w:val="00F52110"/>
    <w:rsid w:val="00F52F2C"/>
    <w:rsid w:val="00F531D9"/>
    <w:rsid w:val="00F53584"/>
    <w:rsid w:val="00F53B86"/>
    <w:rsid w:val="00F551D0"/>
    <w:rsid w:val="00F5549B"/>
    <w:rsid w:val="00F5644F"/>
    <w:rsid w:val="00F56F72"/>
    <w:rsid w:val="00F5709A"/>
    <w:rsid w:val="00F57308"/>
    <w:rsid w:val="00F5736C"/>
    <w:rsid w:val="00F57452"/>
    <w:rsid w:val="00F57725"/>
    <w:rsid w:val="00F60038"/>
    <w:rsid w:val="00F6049A"/>
    <w:rsid w:val="00F606BC"/>
    <w:rsid w:val="00F61B6E"/>
    <w:rsid w:val="00F61B77"/>
    <w:rsid w:val="00F62292"/>
    <w:rsid w:val="00F62705"/>
    <w:rsid w:val="00F62D11"/>
    <w:rsid w:val="00F6327E"/>
    <w:rsid w:val="00F653E1"/>
    <w:rsid w:val="00F6659D"/>
    <w:rsid w:val="00F66DFA"/>
    <w:rsid w:val="00F66E14"/>
    <w:rsid w:val="00F66F6E"/>
    <w:rsid w:val="00F67C67"/>
    <w:rsid w:val="00F67E4E"/>
    <w:rsid w:val="00F70020"/>
    <w:rsid w:val="00F7019A"/>
    <w:rsid w:val="00F70D74"/>
    <w:rsid w:val="00F71A50"/>
    <w:rsid w:val="00F71A8A"/>
    <w:rsid w:val="00F71BF5"/>
    <w:rsid w:val="00F72DA7"/>
    <w:rsid w:val="00F74FC3"/>
    <w:rsid w:val="00F751BF"/>
    <w:rsid w:val="00F756C8"/>
    <w:rsid w:val="00F75AE3"/>
    <w:rsid w:val="00F75D1E"/>
    <w:rsid w:val="00F77248"/>
    <w:rsid w:val="00F7748A"/>
    <w:rsid w:val="00F774DA"/>
    <w:rsid w:val="00F802B4"/>
    <w:rsid w:val="00F80CBF"/>
    <w:rsid w:val="00F81C34"/>
    <w:rsid w:val="00F81C3C"/>
    <w:rsid w:val="00F82923"/>
    <w:rsid w:val="00F83355"/>
    <w:rsid w:val="00F83CB6"/>
    <w:rsid w:val="00F8422D"/>
    <w:rsid w:val="00F842E0"/>
    <w:rsid w:val="00F844CC"/>
    <w:rsid w:val="00F84691"/>
    <w:rsid w:val="00F8494A"/>
    <w:rsid w:val="00F849D0"/>
    <w:rsid w:val="00F84D33"/>
    <w:rsid w:val="00F84EB7"/>
    <w:rsid w:val="00F85181"/>
    <w:rsid w:val="00F851B9"/>
    <w:rsid w:val="00F8524B"/>
    <w:rsid w:val="00F85CEA"/>
    <w:rsid w:val="00F85DDA"/>
    <w:rsid w:val="00F860D7"/>
    <w:rsid w:val="00F86172"/>
    <w:rsid w:val="00F86762"/>
    <w:rsid w:val="00F86BD2"/>
    <w:rsid w:val="00F86E37"/>
    <w:rsid w:val="00F87552"/>
    <w:rsid w:val="00F87E5F"/>
    <w:rsid w:val="00F90436"/>
    <w:rsid w:val="00F90527"/>
    <w:rsid w:val="00F9058C"/>
    <w:rsid w:val="00F91219"/>
    <w:rsid w:val="00F917DF"/>
    <w:rsid w:val="00F92864"/>
    <w:rsid w:val="00F931F5"/>
    <w:rsid w:val="00F93335"/>
    <w:rsid w:val="00F933C5"/>
    <w:rsid w:val="00F940A5"/>
    <w:rsid w:val="00F941DC"/>
    <w:rsid w:val="00F94B95"/>
    <w:rsid w:val="00F96266"/>
    <w:rsid w:val="00F96293"/>
    <w:rsid w:val="00F96C98"/>
    <w:rsid w:val="00F97070"/>
    <w:rsid w:val="00F97551"/>
    <w:rsid w:val="00F9761D"/>
    <w:rsid w:val="00F97B12"/>
    <w:rsid w:val="00F97B48"/>
    <w:rsid w:val="00F97E43"/>
    <w:rsid w:val="00FA01EA"/>
    <w:rsid w:val="00FA0602"/>
    <w:rsid w:val="00FA0EE3"/>
    <w:rsid w:val="00FA1046"/>
    <w:rsid w:val="00FA1F69"/>
    <w:rsid w:val="00FA22D0"/>
    <w:rsid w:val="00FA2382"/>
    <w:rsid w:val="00FA23F1"/>
    <w:rsid w:val="00FA2F93"/>
    <w:rsid w:val="00FA3964"/>
    <w:rsid w:val="00FA4AE5"/>
    <w:rsid w:val="00FA5976"/>
    <w:rsid w:val="00FA5B7D"/>
    <w:rsid w:val="00FA5D36"/>
    <w:rsid w:val="00FA6843"/>
    <w:rsid w:val="00FA690A"/>
    <w:rsid w:val="00FA6A3C"/>
    <w:rsid w:val="00FA7064"/>
    <w:rsid w:val="00FA7431"/>
    <w:rsid w:val="00FA79DA"/>
    <w:rsid w:val="00FB082B"/>
    <w:rsid w:val="00FB17B1"/>
    <w:rsid w:val="00FB1859"/>
    <w:rsid w:val="00FB1B24"/>
    <w:rsid w:val="00FB2212"/>
    <w:rsid w:val="00FB2288"/>
    <w:rsid w:val="00FB2C02"/>
    <w:rsid w:val="00FB2F04"/>
    <w:rsid w:val="00FB4519"/>
    <w:rsid w:val="00FB4868"/>
    <w:rsid w:val="00FB49F4"/>
    <w:rsid w:val="00FB533A"/>
    <w:rsid w:val="00FB5BA0"/>
    <w:rsid w:val="00FB6172"/>
    <w:rsid w:val="00FB6C0C"/>
    <w:rsid w:val="00FB7053"/>
    <w:rsid w:val="00FB7B35"/>
    <w:rsid w:val="00FB7B86"/>
    <w:rsid w:val="00FC0649"/>
    <w:rsid w:val="00FC0E57"/>
    <w:rsid w:val="00FC1FC9"/>
    <w:rsid w:val="00FC2689"/>
    <w:rsid w:val="00FC2858"/>
    <w:rsid w:val="00FC41B7"/>
    <w:rsid w:val="00FC43A9"/>
    <w:rsid w:val="00FC473F"/>
    <w:rsid w:val="00FC4ED9"/>
    <w:rsid w:val="00FC56C3"/>
    <w:rsid w:val="00FC5F7D"/>
    <w:rsid w:val="00FC619C"/>
    <w:rsid w:val="00FC714B"/>
    <w:rsid w:val="00FC7FCC"/>
    <w:rsid w:val="00FD0833"/>
    <w:rsid w:val="00FD08D5"/>
    <w:rsid w:val="00FD0B74"/>
    <w:rsid w:val="00FD10BA"/>
    <w:rsid w:val="00FD1306"/>
    <w:rsid w:val="00FD1DED"/>
    <w:rsid w:val="00FD231B"/>
    <w:rsid w:val="00FD2A2E"/>
    <w:rsid w:val="00FD35DB"/>
    <w:rsid w:val="00FD3F57"/>
    <w:rsid w:val="00FD4F13"/>
    <w:rsid w:val="00FD5AE7"/>
    <w:rsid w:val="00FD5CE9"/>
    <w:rsid w:val="00FD66DC"/>
    <w:rsid w:val="00FD6B6B"/>
    <w:rsid w:val="00FD6D66"/>
    <w:rsid w:val="00FD769C"/>
    <w:rsid w:val="00FD7F77"/>
    <w:rsid w:val="00FD7FA7"/>
    <w:rsid w:val="00FE034B"/>
    <w:rsid w:val="00FE07E4"/>
    <w:rsid w:val="00FE0F36"/>
    <w:rsid w:val="00FE132C"/>
    <w:rsid w:val="00FE17C3"/>
    <w:rsid w:val="00FE2A1C"/>
    <w:rsid w:val="00FE326E"/>
    <w:rsid w:val="00FE3425"/>
    <w:rsid w:val="00FE4038"/>
    <w:rsid w:val="00FE4402"/>
    <w:rsid w:val="00FE46AF"/>
    <w:rsid w:val="00FE54BF"/>
    <w:rsid w:val="00FE5CA5"/>
    <w:rsid w:val="00FE64D4"/>
    <w:rsid w:val="00FE6B66"/>
    <w:rsid w:val="00FE7535"/>
    <w:rsid w:val="00FE7909"/>
    <w:rsid w:val="00FF05D9"/>
    <w:rsid w:val="00FF07C3"/>
    <w:rsid w:val="00FF142B"/>
    <w:rsid w:val="00FF195D"/>
    <w:rsid w:val="00FF1B2F"/>
    <w:rsid w:val="00FF21F1"/>
    <w:rsid w:val="00FF3797"/>
    <w:rsid w:val="00FF3C9E"/>
    <w:rsid w:val="00FF45F0"/>
    <w:rsid w:val="00FF5205"/>
    <w:rsid w:val="00FF5F17"/>
    <w:rsid w:val="00FF6780"/>
    <w:rsid w:val="00FF6B91"/>
    <w:rsid w:val="00FF73A9"/>
    <w:rsid w:val="00FF7605"/>
    <w:rsid w:val="00FF775B"/>
    <w:rsid w:val="00FF79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footnote text" w:uiPriority="99" w:qFormat="1"/>
    <w:lsdException w:name="header" w:uiPriority="99"/>
    <w:lsdException w:name="footer" w:uiPriority="99"/>
    <w:lsdException w:name="caption" w:qFormat="1"/>
    <w:lsdException w:name="table of figures" w:uiPriority="99"/>
    <w:lsdException w:name="footnote reference" w:uiPriority="99"/>
    <w:lsdException w:name="List Bullet" w:uiPriority="13"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nhideWhenUsed="0" w:qFormat="1"/>
    <w:lsdException w:name="Book Title" w:semiHidden="0" w:uiPriority="33" w:unhideWhenUsed="0"/>
    <w:lsdException w:name="Bibliography" w:uiPriority="37"/>
    <w:lsdException w:name="TOC Heading" w:uiPriority="39" w:qFormat="1"/>
  </w:latentStyles>
  <w:style w:type="paragraph" w:default="1" w:styleId="Normln">
    <w:name w:val="Normal"/>
    <w:qFormat/>
    <w:rsid w:val="00FE7909"/>
    <w:pPr>
      <w:spacing w:after="120"/>
      <w:jc w:val="both"/>
    </w:pPr>
    <w:rPr>
      <w:rFonts w:ascii="Arial" w:hAnsi="Arial"/>
      <w:sz w:val="19"/>
      <w:szCs w:val="24"/>
      <w:lang w:val="cs-CZ"/>
    </w:rPr>
  </w:style>
  <w:style w:type="paragraph" w:styleId="Nadpis1">
    <w:name w:val="heading 1"/>
    <w:aliases w:val="Deloitte Heading 1,Heading 1 Char1 Char,Heading 1 Char Char Char,h1 Char Char Char,H1 Char Char Char,1 Char1 Char Char,Naglówek 1 Char Char Char,Naglówek 11 Char Char Char,Heading 1 Char1 Char Char Char,Heading 1 Char Char Char Char Char,1 gho"/>
    <w:next w:val="Nadpis2"/>
    <w:link w:val="Nadpis1Char"/>
    <w:qFormat/>
    <w:rsid w:val="009C0FD7"/>
    <w:pPr>
      <w:keepNext/>
      <w:pageBreakBefore/>
      <w:numPr>
        <w:numId w:val="2"/>
      </w:numPr>
      <w:spacing w:after="800"/>
      <w:outlineLvl w:val="0"/>
    </w:pPr>
    <w:rPr>
      <w:rFonts w:ascii="Times New Roman Bold" w:hAnsi="Times New Roman Bold" w:cs="Arial"/>
      <w:bCs/>
      <w:color w:val="002776"/>
      <w:kern w:val="32"/>
      <w:sz w:val="60"/>
      <w:szCs w:val="32"/>
      <w:lang w:val="cs-CZ"/>
    </w:rPr>
  </w:style>
  <w:style w:type="paragraph" w:styleId="Nadpis2">
    <w:name w:val="heading 2"/>
    <w:aliases w:val="h2,Normal Heading 2,LetHead2,- 1,2,3,H2,Heading_eng 2,Main header,Outline2 Char,HAA-Section Char,Sub Heading Char,ignorer2 Char,Nadpis_2 Char,adpis 2 Char,Nadpis 2 úroveň Char,Outline2,HAA-Section,Sub Heading,ignorer2,Nadpis_2,2m,Nadpis 2 Char"/>
    <w:basedOn w:val="Nadpis1"/>
    <w:next w:val="Nadpis3"/>
    <w:link w:val="Nadpis2Char1"/>
    <w:qFormat/>
    <w:rsid w:val="00E421C0"/>
    <w:pPr>
      <w:pageBreakBefore w:val="0"/>
      <w:numPr>
        <w:ilvl w:val="1"/>
      </w:numPr>
      <w:spacing w:before="240" w:after="240"/>
      <w:outlineLvl w:val="1"/>
    </w:pPr>
    <w:rPr>
      <w:rFonts w:ascii="Arial" w:hAnsi="Arial"/>
      <w:b/>
      <w:bCs w:val="0"/>
      <w:iCs/>
      <w:color w:val="92D400" w:themeColor="accent2"/>
      <w:sz w:val="24"/>
      <w:szCs w:val="24"/>
    </w:rPr>
  </w:style>
  <w:style w:type="paragraph" w:styleId="Nadpis3">
    <w:name w:val="heading 3"/>
    <w:aliases w:val="h3,- 1),2),3),- 1.,2.,3.,H3,Heading,List 1,Nadpis_3_úroveň,Záhlaví 3,V_Head3,V_Head31,V_Head32,Podkapitola2,ASAPHeading 3,Sub Paragraph,Podkapitola21,Podkapitola podkapitoly základní kapitoly,PA Minor Section,Nadpis_3_úroveo,TRM 12 3,TRM 12 I"/>
    <w:basedOn w:val="Nadpis2"/>
    <w:next w:val="Normln"/>
    <w:link w:val="Nadpis3Char"/>
    <w:qFormat/>
    <w:rsid w:val="00E421C0"/>
    <w:pPr>
      <w:numPr>
        <w:ilvl w:val="2"/>
      </w:numPr>
      <w:outlineLvl w:val="2"/>
    </w:pPr>
    <w:rPr>
      <w:bCs/>
      <w:color w:val="3C8A2E" w:themeColor="accent5"/>
      <w:szCs w:val="26"/>
    </w:rPr>
  </w:style>
  <w:style w:type="paragraph" w:styleId="Nadpis4">
    <w:name w:val="heading 4"/>
    <w:aliases w:val="h4,H4,Ad.1),Ad 2),1),ASAPHeading 4,Sub Sub Paragraph,Podkapitola3,Podkapitola31,Odstavec 1,Odstavec 11,Odstavec 12,Odstavec 13,Odstavec 14,Odstavec 111,Odstavec 121,Odstavec 131,Odstavec 15,Odstavec 141,Odstavec 16,Odstavec 112,Odstavec 122,4"/>
    <w:basedOn w:val="Normln"/>
    <w:next w:val="Normln"/>
    <w:link w:val="Nadpis4Char"/>
    <w:unhideWhenUsed/>
    <w:qFormat/>
    <w:rsid w:val="0008794A"/>
    <w:pPr>
      <w:keepNext/>
      <w:keepLines/>
      <w:numPr>
        <w:ilvl w:val="3"/>
        <w:numId w:val="2"/>
      </w:numPr>
      <w:spacing w:before="240" w:after="240"/>
      <w:outlineLvl w:val="3"/>
    </w:pPr>
    <w:rPr>
      <w:rFonts w:eastAsiaTheme="majorEastAsia" w:cstheme="majorBidi"/>
      <w:b/>
      <w:bCs/>
      <w:iCs/>
      <w:sz w:val="24"/>
    </w:rPr>
  </w:style>
  <w:style w:type="paragraph" w:styleId="Nadpis5">
    <w:name w:val="heading 5"/>
    <w:aliases w:val="ASAPHeading 5,Heading 5   Appendix A to X,Appendix A to X,Heading 5   Appendix A to X1,Appendix A to X1,Heading 5   Appendix A to X2,Appendix A to X2,Heading 5   Appendix A to X11,Appendix A to X11,MUS5,Block Label,H5,5,Level 3 - i,h5,dash,ds"/>
    <w:basedOn w:val="Normln"/>
    <w:next w:val="Normln"/>
    <w:link w:val="Nadpis5Char"/>
    <w:unhideWhenUsed/>
    <w:qFormat/>
    <w:rsid w:val="0008794A"/>
    <w:pPr>
      <w:keepNext/>
      <w:keepLines/>
      <w:numPr>
        <w:ilvl w:val="4"/>
        <w:numId w:val="2"/>
      </w:numPr>
      <w:spacing w:before="240" w:after="240"/>
      <w:outlineLvl w:val="4"/>
    </w:pPr>
    <w:rPr>
      <w:rFonts w:eastAsiaTheme="majorEastAsia" w:cstheme="majorBidi"/>
      <w:b/>
      <w:i/>
      <w:color w:val="00133A" w:themeColor="accent1" w:themeShade="7F"/>
      <w:sz w:val="24"/>
    </w:rPr>
  </w:style>
  <w:style w:type="paragraph" w:styleId="Nadpis6">
    <w:name w:val="heading 6"/>
    <w:aliases w:val="ASAPHeading 6,Heading 6  Appendix Y &amp; Z,Heading 6  Appendix Y &amp; Z1,Heading 6  Appendix Y &amp; Z2,Heading 6  Appendix Y &amp; Z11,MUS6,H6,ASAPHeading 61,ASAPHeading 62,ASAPHeading 63,ASAPHeading 64,ASAPHeading 65,ASAPHeading 66,ASAPHeading 611,h6,l"/>
    <w:basedOn w:val="Normln"/>
    <w:next w:val="Normln"/>
    <w:link w:val="Nadpis6Char"/>
    <w:unhideWhenUsed/>
    <w:qFormat/>
    <w:rsid w:val="0008794A"/>
    <w:pPr>
      <w:keepNext/>
      <w:keepLines/>
      <w:numPr>
        <w:ilvl w:val="5"/>
        <w:numId w:val="2"/>
      </w:numPr>
      <w:spacing w:before="240" w:after="240"/>
      <w:ind w:left="1418" w:hanging="1418"/>
      <w:outlineLvl w:val="5"/>
    </w:pPr>
    <w:rPr>
      <w:rFonts w:eastAsiaTheme="majorEastAsia" w:cstheme="majorBidi"/>
      <w:i/>
      <w:iCs/>
      <w:color w:val="00133A" w:themeColor="accent1" w:themeShade="7F"/>
      <w:sz w:val="24"/>
    </w:rPr>
  </w:style>
  <w:style w:type="paragraph" w:styleId="Nadpis7">
    <w:name w:val="heading 7"/>
    <w:aliases w:val="ASAPHeading 7,MUS7,ASAPHeading 71,ASAPHeading 72,ASAPHeading 73,ASAPHeading 74,H7,letter list,lettered list,letter list1,lettered list1,letter list2,lettered list2,letter list11,lettered list11,letter list3,lettered list3,letter list12"/>
    <w:basedOn w:val="Normln"/>
    <w:next w:val="Normln"/>
    <w:link w:val="Nadpis7Char"/>
    <w:unhideWhenUsed/>
    <w:qFormat/>
    <w:rsid w:val="00E421C0"/>
    <w:pPr>
      <w:keepNext/>
      <w:keepLines/>
      <w:numPr>
        <w:ilvl w:val="6"/>
        <w:numId w:val="2"/>
      </w:numPr>
      <w:spacing w:before="240" w:after="240"/>
      <w:ind w:left="1576" w:hanging="1576"/>
      <w:outlineLvl w:val="6"/>
    </w:pPr>
    <w:rPr>
      <w:rFonts w:eastAsiaTheme="majorEastAsia" w:cstheme="majorBidi"/>
      <w:i/>
      <w:iCs/>
      <w:color w:val="404040" w:themeColor="text1" w:themeTint="BF"/>
      <w:sz w:val="22"/>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link w:val="Nadpis8Char"/>
    <w:unhideWhenUsed/>
    <w:qFormat/>
    <w:rsid w:val="00E421C0"/>
    <w:pPr>
      <w:keepNext/>
      <w:keepLines/>
      <w:numPr>
        <w:ilvl w:val="7"/>
        <w:numId w:val="2"/>
      </w:numPr>
      <w:spacing w:before="240" w:after="240"/>
      <w:ind w:left="1701" w:hanging="1701"/>
      <w:outlineLvl w:val="7"/>
    </w:pPr>
    <w:rPr>
      <w:rFonts w:eastAsiaTheme="majorEastAsia" w:cstheme="majorBidi"/>
      <w:i/>
      <w:color w:val="404040" w:themeColor="text1" w:themeTint="BF"/>
      <w:sz w:val="20"/>
      <w:szCs w:val="20"/>
    </w:rPr>
  </w:style>
  <w:style w:type="paragraph" w:styleId="Nadpis9">
    <w:name w:val="heading 9"/>
    <w:aliases w:val="h9,heading9,ASAPHeading 9,App Heading,MUS9,H9,(Bibliografia),progress,progress1,progress2,progress11,progress3,progress4,progress5,progress6,progress7,progress12,progress21,progress111,progress31,progress8,progress13,progress22,progress112"/>
    <w:basedOn w:val="Normln"/>
    <w:next w:val="Normln"/>
    <w:link w:val="Nadpis9Char"/>
    <w:unhideWhenUsed/>
    <w:qFormat/>
    <w:rsid w:val="00E421C0"/>
    <w:pPr>
      <w:keepNext/>
      <w:keepLines/>
      <w:numPr>
        <w:ilvl w:val="8"/>
        <w:numId w:val="2"/>
      </w:numPr>
      <w:spacing w:before="240" w:after="240"/>
      <w:ind w:left="1985" w:hanging="1985"/>
      <w:outlineLvl w:val="8"/>
    </w:pPr>
    <w:rPr>
      <w:rFonts w:eastAsiaTheme="majorEastAsia" w:cstheme="majorBidi"/>
      <w:i/>
      <w:iCs/>
      <w:color w:val="404040" w:themeColor="text1" w:themeTint="BF"/>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aliases w:val="Deloitte table 3"/>
    <w:basedOn w:val="Normlntabulka"/>
    <w:uiPriority w:val="39"/>
    <w:rsid w:val="00A40230"/>
    <w:rPr>
      <w:rFonts w:ascii="Arial" w:hAnsi="Arial"/>
      <w:sz w:val="19"/>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72C7E7"/>
      </w:tcPr>
    </w:tblStylePr>
    <w:tblStylePr w:type="firstCol">
      <w:rPr>
        <w:rFonts w:ascii="Arial" w:hAnsi="Arial"/>
        <w:sz w:val="19"/>
      </w:rPr>
    </w:tblStylePr>
  </w:style>
  <w:style w:type="paragraph" w:styleId="Zhlav">
    <w:name w:val="header"/>
    <w:basedOn w:val="Normln"/>
    <w:link w:val="ZhlavChar"/>
    <w:uiPriority w:val="99"/>
    <w:rsid w:val="00E421C0"/>
    <w:pPr>
      <w:tabs>
        <w:tab w:val="center" w:pos="4703"/>
        <w:tab w:val="right" w:pos="9406"/>
      </w:tabs>
    </w:pPr>
    <w:rPr>
      <w:sz w:val="16"/>
    </w:rPr>
  </w:style>
  <w:style w:type="paragraph" w:styleId="Zpat">
    <w:name w:val="footer"/>
    <w:basedOn w:val="Normln"/>
    <w:link w:val="ZpatChar"/>
    <w:uiPriority w:val="99"/>
    <w:rsid w:val="008C3FA4"/>
    <w:pPr>
      <w:tabs>
        <w:tab w:val="center" w:pos="4703"/>
        <w:tab w:val="right" w:pos="9406"/>
      </w:tabs>
    </w:pPr>
  </w:style>
  <w:style w:type="character" w:styleId="slostrnky">
    <w:name w:val="page number"/>
    <w:basedOn w:val="Standardnpsmoodstavce"/>
    <w:rsid w:val="00E421C0"/>
    <w:rPr>
      <w:rFonts w:ascii="Arial" w:hAnsi="Arial"/>
      <w:sz w:val="16"/>
    </w:rPr>
  </w:style>
  <w:style w:type="paragraph" w:styleId="Obsah1">
    <w:name w:val="toc 1"/>
    <w:basedOn w:val="Normln"/>
    <w:next w:val="Normln"/>
    <w:autoRedefine/>
    <w:uiPriority w:val="39"/>
    <w:qFormat/>
    <w:rsid w:val="00D34C27"/>
    <w:pPr>
      <w:spacing w:after="240"/>
      <w:ind w:left="720" w:hanging="720"/>
    </w:pPr>
    <w:rPr>
      <w:sz w:val="24"/>
    </w:rPr>
  </w:style>
  <w:style w:type="paragraph" w:styleId="Obsah2">
    <w:name w:val="toc 2"/>
    <w:basedOn w:val="Normln"/>
    <w:next w:val="Normln"/>
    <w:autoRedefine/>
    <w:uiPriority w:val="39"/>
    <w:rsid w:val="00D34C27"/>
    <w:pPr>
      <w:spacing w:after="240"/>
      <w:ind w:left="958" w:hanging="720"/>
    </w:pPr>
    <w:rPr>
      <w:sz w:val="24"/>
    </w:rPr>
  </w:style>
  <w:style w:type="paragraph" w:styleId="Obsah3">
    <w:name w:val="toc 3"/>
    <w:basedOn w:val="Normln"/>
    <w:next w:val="Normln"/>
    <w:autoRedefine/>
    <w:uiPriority w:val="39"/>
    <w:rsid w:val="00D34C27"/>
    <w:pPr>
      <w:spacing w:after="240"/>
      <w:ind w:left="1202" w:hanging="720"/>
    </w:pPr>
    <w:rPr>
      <w:sz w:val="24"/>
    </w:rPr>
  </w:style>
  <w:style w:type="character" w:styleId="Hypertextovodkaz">
    <w:name w:val="Hyperlink"/>
    <w:basedOn w:val="Standardnpsmoodstavce"/>
    <w:uiPriority w:val="99"/>
    <w:rsid w:val="00481E83"/>
    <w:rPr>
      <w:rFonts w:ascii="Arial" w:hAnsi="Arial"/>
      <w:color w:val="00A1DE" w:themeColor="accent3"/>
      <w:sz w:val="19"/>
      <w:u w:val="single"/>
    </w:rPr>
  </w:style>
  <w:style w:type="paragraph" w:styleId="Textbubliny">
    <w:name w:val="Balloon Text"/>
    <w:basedOn w:val="Normln"/>
    <w:link w:val="TextbublinyChar"/>
    <w:uiPriority w:val="99"/>
    <w:semiHidden/>
    <w:rsid w:val="00392FE4"/>
    <w:rPr>
      <w:rFonts w:ascii="Tahoma" w:hAnsi="Tahoma" w:cs="Tahoma"/>
      <w:sz w:val="16"/>
      <w:szCs w:val="16"/>
    </w:rPr>
  </w:style>
  <w:style w:type="character" w:customStyle="1" w:styleId="ZhlavChar">
    <w:name w:val="Záhlaví Char"/>
    <w:basedOn w:val="Standardnpsmoodstavce"/>
    <w:link w:val="Zhlav"/>
    <w:uiPriority w:val="99"/>
    <w:rsid w:val="00E421C0"/>
    <w:rPr>
      <w:rFonts w:ascii="Arial" w:hAnsi="Arial"/>
      <w:sz w:val="16"/>
      <w:szCs w:val="24"/>
    </w:rPr>
  </w:style>
  <w:style w:type="character" w:customStyle="1" w:styleId="ZpatChar">
    <w:name w:val="Zápatí Char"/>
    <w:basedOn w:val="Standardnpsmoodstavce"/>
    <w:link w:val="Zpat"/>
    <w:uiPriority w:val="99"/>
    <w:rsid w:val="004A531E"/>
    <w:rPr>
      <w:sz w:val="24"/>
      <w:szCs w:val="24"/>
    </w:rPr>
  </w:style>
  <w:style w:type="paragraph" w:customStyle="1" w:styleId="BodyText1">
    <w:name w:val="Body Text1"/>
    <w:link w:val="BodytextChar"/>
    <w:qFormat/>
    <w:rsid w:val="00E42491"/>
    <w:rPr>
      <w:rFonts w:ascii="Arial" w:hAnsi="Arial"/>
      <w:color w:val="000000"/>
      <w:sz w:val="19"/>
      <w:szCs w:val="48"/>
      <w:lang w:val="cs-CZ"/>
    </w:rPr>
  </w:style>
  <w:style w:type="paragraph" w:customStyle="1" w:styleId="Legalentity">
    <w:name w:val="Legal entity"/>
    <w:basedOn w:val="Normln"/>
    <w:rsid w:val="00075C1E"/>
    <w:pPr>
      <w:widowControl w:val="0"/>
      <w:suppressAutoHyphens/>
      <w:autoSpaceDE w:val="0"/>
      <w:autoSpaceDN w:val="0"/>
      <w:adjustRightInd w:val="0"/>
      <w:spacing w:after="90" w:line="180" w:lineRule="atLeast"/>
      <w:textAlignment w:val="center"/>
    </w:pPr>
    <w:rPr>
      <w:color w:val="000000"/>
      <w:sz w:val="15"/>
      <w:szCs w:val="20"/>
      <w:lang w:val="en-GB" w:eastAsia="en-GB"/>
    </w:rPr>
  </w:style>
  <w:style w:type="paragraph" w:customStyle="1" w:styleId="smlouvaheading1">
    <w:name w:val="smlouva heading 1"/>
    <w:next w:val="BodyText1"/>
    <w:qFormat/>
    <w:rsid w:val="00D74931"/>
    <w:pPr>
      <w:numPr>
        <w:numId w:val="4"/>
      </w:numPr>
      <w:tabs>
        <w:tab w:val="left" w:pos="357"/>
      </w:tabs>
      <w:spacing w:before="120" w:after="120"/>
      <w:ind w:left="357" w:hanging="357"/>
    </w:pPr>
    <w:rPr>
      <w:rFonts w:ascii="Arial" w:hAnsi="Arial"/>
      <w:b/>
      <w:noProof/>
      <w:color w:val="000000" w:themeColor="text1"/>
      <w:sz w:val="19"/>
      <w:szCs w:val="24"/>
      <w:lang w:val="cs-CZ"/>
    </w:rPr>
  </w:style>
  <w:style w:type="paragraph" w:customStyle="1" w:styleId="CaptionIntroductionparagraph">
    <w:name w:val="Caption Introduction paragraph"/>
    <w:qFormat/>
    <w:rsid w:val="00E0742A"/>
    <w:pPr>
      <w:spacing w:after="120"/>
    </w:pPr>
    <w:rPr>
      <w:rFonts w:ascii="Arial" w:hAnsi="Arial"/>
      <w:b/>
      <w:color w:val="00A1DE"/>
      <w:sz w:val="24"/>
      <w:szCs w:val="22"/>
      <w:lang w:val="cs-CZ"/>
    </w:rPr>
  </w:style>
  <w:style w:type="paragraph" w:customStyle="1" w:styleId="smlouvaheading2">
    <w:name w:val="smlouva heading 2"/>
    <w:basedOn w:val="CaptionIntroductionparagraph"/>
    <w:next w:val="BodyText1"/>
    <w:qFormat/>
    <w:rsid w:val="00D74931"/>
    <w:pPr>
      <w:numPr>
        <w:ilvl w:val="1"/>
        <w:numId w:val="4"/>
      </w:numPr>
      <w:tabs>
        <w:tab w:val="left" w:pos="567"/>
      </w:tabs>
      <w:ind w:left="567" w:hanging="567"/>
    </w:pPr>
    <w:rPr>
      <w:b w:val="0"/>
      <w:color w:val="000000" w:themeColor="text1"/>
      <w:sz w:val="19"/>
    </w:rPr>
  </w:style>
  <w:style w:type="paragraph" w:customStyle="1" w:styleId="smlouvaheading3">
    <w:name w:val="smlouva heading 3"/>
    <w:basedOn w:val="smlouvaheading2"/>
    <w:next w:val="BodyText1"/>
    <w:qFormat/>
    <w:rsid w:val="00D74931"/>
    <w:pPr>
      <w:numPr>
        <w:ilvl w:val="2"/>
      </w:numPr>
      <w:tabs>
        <w:tab w:val="clear" w:pos="567"/>
        <w:tab w:val="left" w:pos="794"/>
      </w:tabs>
      <w:ind w:left="794" w:hanging="794"/>
    </w:pPr>
  </w:style>
  <w:style w:type="paragraph" w:customStyle="1" w:styleId="smlouvaheading4">
    <w:name w:val="smlouva heading 4"/>
    <w:basedOn w:val="smlouvaheading3"/>
    <w:next w:val="BodyText1"/>
    <w:qFormat/>
    <w:rsid w:val="00D74931"/>
    <w:pPr>
      <w:numPr>
        <w:ilvl w:val="3"/>
      </w:numPr>
      <w:tabs>
        <w:tab w:val="clear" w:pos="794"/>
        <w:tab w:val="left" w:pos="1021"/>
      </w:tabs>
      <w:ind w:left="1021" w:hanging="1021"/>
    </w:pPr>
    <w:rPr>
      <w:color w:val="auto"/>
    </w:rPr>
  </w:style>
  <w:style w:type="paragraph" w:customStyle="1" w:styleId="smlouvabodytextbold">
    <w:name w:val="smlouva body text bold"/>
    <w:basedOn w:val="smlouvaheading4"/>
    <w:next w:val="BodyText1"/>
    <w:qFormat/>
    <w:rsid w:val="00F433F7"/>
    <w:pPr>
      <w:numPr>
        <w:ilvl w:val="0"/>
        <w:numId w:val="0"/>
      </w:numPr>
    </w:pPr>
    <w:rPr>
      <w:b/>
    </w:rPr>
  </w:style>
  <w:style w:type="paragraph" w:customStyle="1" w:styleId="Bodytextbold">
    <w:name w:val="Body text bold"/>
    <w:basedOn w:val="smlouvabodytextbold"/>
    <w:next w:val="BodyText1"/>
    <w:qFormat/>
    <w:rsid w:val="00075C1E"/>
    <w:pPr>
      <w:tabs>
        <w:tab w:val="clear" w:pos="1021"/>
        <w:tab w:val="left" w:pos="1134"/>
      </w:tabs>
    </w:pPr>
    <w:rPr>
      <w:color w:val="000000"/>
    </w:rPr>
  </w:style>
  <w:style w:type="character" w:customStyle="1" w:styleId="CaptionbodyChar">
    <w:name w:val="Caption body Char"/>
    <w:basedOn w:val="Standardnpsmoodstavce"/>
    <w:link w:val="Captionbody"/>
    <w:rsid w:val="005B4CAD"/>
    <w:rPr>
      <w:rFonts w:ascii="Arial" w:hAnsi="Arial"/>
      <w:color w:val="000000"/>
      <w:sz w:val="18"/>
    </w:rPr>
  </w:style>
  <w:style w:type="paragraph" w:customStyle="1" w:styleId="Captionbody">
    <w:name w:val="Caption body"/>
    <w:link w:val="CaptionbodyChar"/>
    <w:rsid w:val="005B4CAD"/>
    <w:rPr>
      <w:rFonts w:ascii="Arial" w:hAnsi="Arial"/>
      <w:color w:val="000000"/>
      <w:sz w:val="18"/>
    </w:rPr>
  </w:style>
  <w:style w:type="paragraph" w:customStyle="1" w:styleId="Captionheading">
    <w:name w:val="Caption heading"/>
    <w:basedOn w:val="Captionbody"/>
    <w:qFormat/>
    <w:rsid w:val="005B4CAD"/>
    <w:rPr>
      <w:b/>
    </w:rPr>
  </w:style>
  <w:style w:type="paragraph" w:customStyle="1" w:styleId="smlouvabodytext">
    <w:name w:val="smlouva body text"/>
    <w:basedOn w:val="Normln"/>
    <w:rsid w:val="00F433F7"/>
    <w:rPr>
      <w:rFonts w:eastAsia="Times"/>
      <w:noProof/>
    </w:rPr>
  </w:style>
  <w:style w:type="paragraph" w:customStyle="1" w:styleId="Bulletslevel1">
    <w:name w:val="Bullets level 1"/>
    <w:basedOn w:val="Normln"/>
    <w:link w:val="Bulletslevel1Char"/>
    <w:qFormat/>
    <w:rsid w:val="00075C1E"/>
    <w:pPr>
      <w:numPr>
        <w:numId w:val="1"/>
      </w:numPr>
      <w:spacing w:before="120"/>
      <w:ind w:left="360"/>
    </w:pPr>
    <w:rPr>
      <w:rFonts w:eastAsia="Times"/>
      <w:color w:val="000000"/>
      <w:szCs w:val="20"/>
      <w:lang w:val="en-GB"/>
    </w:rPr>
  </w:style>
  <w:style w:type="character" w:customStyle="1" w:styleId="Bulletslevel1Char">
    <w:name w:val="Bullets level 1 Char"/>
    <w:basedOn w:val="Standardnpsmoodstavce"/>
    <w:link w:val="Bulletslevel1"/>
    <w:rsid w:val="001C2EF4"/>
    <w:rPr>
      <w:rFonts w:ascii="Arial" w:eastAsia="Times" w:hAnsi="Arial"/>
      <w:color w:val="000000"/>
      <w:sz w:val="19"/>
      <w:lang w:val="en-GB"/>
    </w:rPr>
  </w:style>
  <w:style w:type="paragraph" w:customStyle="1" w:styleId="Bulletslevel2">
    <w:name w:val="Bullets level 2"/>
    <w:basedOn w:val="Normln"/>
    <w:link w:val="Bulletslevel2Char"/>
    <w:qFormat/>
    <w:rsid w:val="00DC6C4A"/>
    <w:pPr>
      <w:numPr>
        <w:numId w:val="3"/>
      </w:numPr>
      <w:tabs>
        <w:tab w:val="left" w:pos="567"/>
      </w:tabs>
      <w:spacing w:before="120"/>
    </w:pPr>
    <w:rPr>
      <w:rFonts w:eastAsia="Times"/>
      <w:color w:val="000000"/>
      <w:szCs w:val="20"/>
      <w:lang w:val="en-GB"/>
    </w:rPr>
  </w:style>
  <w:style w:type="character" w:customStyle="1" w:styleId="Bulletslevel2Char">
    <w:name w:val="Bullets level 2 Char"/>
    <w:basedOn w:val="Bulletslevel1Char"/>
    <w:link w:val="Bulletslevel2"/>
    <w:rsid w:val="00DC6C4A"/>
    <w:rPr>
      <w:rFonts w:ascii="Arial" w:eastAsia="Times" w:hAnsi="Arial"/>
      <w:color w:val="000000"/>
      <w:sz w:val="19"/>
      <w:lang w:val="en-GB"/>
    </w:rPr>
  </w:style>
  <w:style w:type="paragraph" w:customStyle="1" w:styleId="PulloutQuote">
    <w:name w:val="Pullout Quote"/>
    <w:rsid w:val="00095956"/>
    <w:pPr>
      <w:pBdr>
        <w:top w:val="single" w:sz="4" w:space="4" w:color="00A1DE"/>
      </w:pBdr>
      <w:suppressAutoHyphens/>
      <w:spacing w:line="320" w:lineRule="exact"/>
    </w:pPr>
    <w:rPr>
      <w:rFonts w:eastAsia="Times"/>
      <w:color w:val="00A1DE"/>
      <w:sz w:val="32"/>
      <w:lang w:val="en-GB"/>
    </w:rPr>
  </w:style>
  <w:style w:type="paragraph" w:customStyle="1" w:styleId="Highlight1">
    <w:name w:val="Highlight 1"/>
    <w:basedOn w:val="Obsah1"/>
    <w:qFormat/>
    <w:rsid w:val="001D663A"/>
    <w:pPr>
      <w:tabs>
        <w:tab w:val="left" w:pos="482"/>
        <w:tab w:val="right" w:leader="dot" w:pos="9061"/>
      </w:tabs>
      <w:spacing w:before="120" w:after="120"/>
    </w:pPr>
    <w:rPr>
      <w:b/>
      <w:color w:val="3C8A2E" w:themeColor="accent5"/>
      <w:sz w:val="20"/>
    </w:rPr>
  </w:style>
  <w:style w:type="paragraph" w:customStyle="1" w:styleId="Highlight2">
    <w:name w:val="Highlight 2"/>
    <w:basedOn w:val="Normln"/>
    <w:qFormat/>
    <w:rsid w:val="00D34C27"/>
    <w:rPr>
      <w:b/>
      <w:color w:val="92D400" w:themeColor="accent2"/>
      <w:sz w:val="20"/>
    </w:rPr>
  </w:style>
  <w:style w:type="table" w:customStyle="1" w:styleId="Deloittetable1">
    <w:name w:val="Deloitte table 1"/>
    <w:basedOn w:val="Normlntabulka"/>
    <w:rsid w:val="00A40230"/>
    <w:rPr>
      <w:rFonts w:ascii="Arial" w:hAnsi="Arial"/>
      <w:sz w:val="19"/>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styleId="Obsah4">
    <w:name w:val="toc 4"/>
    <w:basedOn w:val="Normln"/>
    <w:next w:val="Normln"/>
    <w:autoRedefine/>
    <w:uiPriority w:val="39"/>
    <w:rsid w:val="00CB0293"/>
    <w:pPr>
      <w:spacing w:after="240"/>
      <w:ind w:left="720"/>
    </w:pPr>
  </w:style>
  <w:style w:type="table" w:customStyle="1" w:styleId="Deloittetable2">
    <w:name w:val="Deloitte table 2"/>
    <w:basedOn w:val="Normlntabulka"/>
    <w:rsid w:val="00A40230"/>
    <w:rPr>
      <w:rFonts w:ascii="Arial" w:hAnsi="Arial"/>
      <w:sz w:val="19"/>
    </w:rPr>
    <w:tblPr>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00A1DE"/>
      </w:tcPr>
    </w:tblStylePr>
    <w:tblStylePr w:type="firstCol">
      <w:rPr>
        <w:rFonts w:ascii="Arial" w:hAnsi="Arial"/>
        <w:sz w:val="19"/>
      </w:rPr>
    </w:tblStylePr>
  </w:style>
  <w:style w:type="table" w:styleId="Tabulkasprostorovmiefekty1">
    <w:name w:val="Table 3D effects 1"/>
    <w:basedOn w:val="Normlntabulka"/>
    <w:rsid w:val="00CE00B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basedOn w:val="Normlntabulka"/>
    <w:rsid w:val="00A40230"/>
    <w:rPr>
      <w:rFonts w:ascii="Arial" w:hAnsi="Arial"/>
      <w:sz w:val="19"/>
    </w:rPr>
    <w:tblPr>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b/>
        <w:color w:val="FFFFFF"/>
        <w:sz w:val="19"/>
      </w:rPr>
      <w:tblPr/>
      <w:tcPr>
        <w:shd w:val="clear" w:color="auto" w:fill="3C8A2E"/>
      </w:tcPr>
    </w:tblStylePr>
    <w:tblStylePr w:type="firstCol">
      <w:rPr>
        <w:rFonts w:ascii="Arial" w:hAnsi="Arial"/>
        <w:sz w:val="19"/>
      </w:rPr>
      <w:tblPr>
        <w:tblCellMar>
          <w:top w:w="28" w:type="dxa"/>
          <w:left w:w="28" w:type="dxa"/>
          <w:bottom w:w="28" w:type="dxa"/>
          <w:right w:w="28" w:type="dxa"/>
        </w:tblCellMar>
      </w:tblPr>
    </w:tblStylePr>
  </w:style>
  <w:style w:type="table" w:customStyle="1" w:styleId="Deloittetable5">
    <w:name w:val="Deloitte table 5"/>
    <w:basedOn w:val="Normlntabulka"/>
    <w:rsid w:val="00A40230"/>
    <w:rPr>
      <w:rFonts w:ascii="Arial" w:hAnsi="Arial"/>
      <w:sz w:val="19"/>
    </w:rPr>
    <w:tblPr>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b/>
        <w:color w:val="000000"/>
        <w:sz w:val="19"/>
      </w:rPr>
      <w:tblPr/>
      <w:tcPr>
        <w:shd w:val="clear" w:color="auto" w:fill="C9DD03"/>
      </w:tcPr>
    </w:tblStylePr>
    <w:tblStylePr w:type="firstCol">
      <w:pPr>
        <w:wordWrap/>
        <w:spacing w:beforeLines="0" w:beforeAutospacing="0" w:afterLines="0" w:afterAutospacing="0" w:line="240" w:lineRule="auto"/>
      </w:pPr>
      <w:rPr>
        <w:rFonts w:ascii="Arial" w:hAnsi="Arial"/>
        <w:sz w:val="19"/>
      </w:rPr>
    </w:tblStylePr>
  </w:style>
  <w:style w:type="table" w:customStyle="1" w:styleId="Style1">
    <w:name w:val="Style1"/>
    <w:basedOn w:val="Normlntabulka"/>
    <w:rsid w:val="00CE00BE"/>
    <w:rPr>
      <w:rFonts w:ascii="Arial" w:hAnsi="Arial"/>
      <w:sz w:val="19"/>
    </w:rPr>
    <w:tblPr/>
  </w:style>
  <w:style w:type="table" w:customStyle="1" w:styleId="Deloittetable6">
    <w:name w:val="Deloitte table 6"/>
    <w:basedOn w:val="Normlntabulka"/>
    <w:rsid w:val="00A40230"/>
    <w:rPr>
      <w:rFonts w:ascii="Arial" w:hAnsi="Arial"/>
      <w:sz w:val="19"/>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themeColor="background2"/>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table" w:customStyle="1" w:styleId="Deloittetable7">
    <w:name w:val="Deloitte table 7"/>
    <w:basedOn w:val="Normlntabulka"/>
    <w:rsid w:val="00A40230"/>
    <w:rPr>
      <w:rFonts w:ascii="Arial" w:hAnsi="Arial"/>
      <w:sz w:val="19"/>
    </w:rPr>
    <w:tblPr>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2D6823"/>
      </w:tcPr>
    </w:tblStylePr>
    <w:tblStylePr w:type="firstCol">
      <w:pPr>
        <w:wordWrap/>
        <w:spacing w:beforeLines="0" w:beforeAutospacing="0" w:afterLines="0" w:afterAutospacing="0" w:line="240" w:lineRule="auto"/>
      </w:pPr>
      <w:rPr>
        <w:rFonts w:ascii="Arial" w:hAnsi="Arial"/>
        <w:sz w:val="19"/>
      </w:rPr>
    </w:tblStylePr>
  </w:style>
  <w:style w:type="table" w:styleId="Tabulkasprostorovmiefekty3">
    <w:name w:val="Table 3D effects 3"/>
    <w:basedOn w:val="Normlntabulka"/>
    <w:rsid w:val="00CE00B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8">
    <w:name w:val="Deloitte table 8"/>
    <w:basedOn w:val="Normlntabulka"/>
    <w:rsid w:val="006F2C90"/>
    <w:pPr>
      <w:contextualSpacing/>
    </w:pPr>
    <w:rPr>
      <w:rFonts w:ascii="Arial" w:hAnsi="Arial"/>
      <w:sz w:val="19"/>
    </w:rPr>
    <w:tblPr>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2D6823"/>
      </w:tcPr>
    </w:tblStylePr>
  </w:style>
  <w:style w:type="table" w:customStyle="1" w:styleId="Deloittetable81">
    <w:name w:val="Deloitte table 8.1"/>
    <w:basedOn w:val="Normlntabulka"/>
    <w:rsid w:val="006F2C90"/>
    <w:rPr>
      <w:rFonts w:ascii="Arial" w:hAnsi="Arial"/>
      <w:sz w:val="19"/>
    </w:rPr>
    <w:tblPr>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noWrap/>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92D400"/>
      </w:tcPr>
    </w:tblStylePr>
  </w:style>
  <w:style w:type="table" w:customStyle="1" w:styleId="Deloittetable82">
    <w:name w:val="Deloitte table 8.2"/>
    <w:basedOn w:val="Normlntabulka"/>
    <w:rsid w:val="006F6C05"/>
    <w:rPr>
      <w:rFonts w:ascii="Arial" w:hAnsi="Arial"/>
      <w:sz w:val="19"/>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customStyle="1" w:styleId="Deloittetable83">
    <w:name w:val="Deloitte table 8.3"/>
    <w:basedOn w:val="Normlntabulka"/>
    <w:rsid w:val="006F6C05"/>
    <w:rPr>
      <w:rFonts w:ascii="Arial" w:hAnsi="Arial"/>
      <w:sz w:val="19"/>
    </w:rPr>
    <w:tblPr>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rPr>
        <w:rFonts w:ascii="Arial" w:hAnsi="Arial"/>
        <w:b/>
        <w:sz w:val="19"/>
      </w:rPr>
      <w:tblPr/>
      <w:tcPr>
        <w:shd w:val="clear" w:color="auto" w:fill="72C7E7"/>
      </w:tcPr>
    </w:tblStylePr>
  </w:style>
  <w:style w:type="table" w:customStyle="1" w:styleId="Deloittetable84">
    <w:name w:val="Deloitte table 8.4"/>
    <w:basedOn w:val="Normlntabulka"/>
    <w:rsid w:val="006F6C05"/>
    <w:rPr>
      <w:rFonts w:ascii="Arial" w:hAnsi="Arial"/>
      <w:sz w:val="19"/>
    </w:rPr>
    <w:tblPr>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beforeAutospacing="0" w:afterLines="0" w:afterAutospacing="0" w:line="240" w:lineRule="auto"/>
      </w:pPr>
      <w:rPr>
        <w:rFonts w:ascii="Arial" w:hAnsi="Arial"/>
        <w:sz w:val="19"/>
      </w:rPr>
    </w:tblStylePr>
    <w:tblStylePr w:type="firstCol">
      <w:rPr>
        <w:rFonts w:ascii="Arial" w:hAnsi="Arial"/>
        <w:b/>
        <w:color w:val="FFFFFF"/>
        <w:sz w:val="19"/>
      </w:rPr>
      <w:tblPr/>
      <w:tcPr>
        <w:shd w:val="clear" w:color="auto" w:fill="3C8A2E"/>
      </w:tcPr>
    </w:tblStylePr>
  </w:style>
  <w:style w:type="table" w:customStyle="1" w:styleId="Deloittetable85">
    <w:name w:val="Deloitte table 8.5"/>
    <w:basedOn w:val="Normlntabulka"/>
    <w:rsid w:val="006F6C05"/>
    <w:rPr>
      <w:rFonts w:ascii="Arial" w:hAnsi="Arial"/>
      <w:sz w:val="19"/>
    </w:rPr>
    <w:tblPr>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sz w:val="19"/>
      </w:rPr>
      <w:tblPr/>
      <w:tcPr>
        <w:shd w:val="clear" w:color="auto" w:fill="C9DD03"/>
      </w:tcPr>
    </w:tblStylePr>
  </w:style>
  <w:style w:type="table" w:customStyle="1" w:styleId="Deloittetable86">
    <w:name w:val="Deloitte table 8.6"/>
    <w:basedOn w:val="Normlntabulka"/>
    <w:rsid w:val="006F6C05"/>
    <w:rPr>
      <w:rFonts w:ascii="Arial" w:hAnsi="Arial"/>
      <w:sz w:val="19"/>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styleId="Sloupcetabulky3">
    <w:name w:val="Table Columns 3"/>
    <w:basedOn w:val="Normlntabulka"/>
    <w:rsid w:val="00FE07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Barevnseznamzvraznn4">
    <w:name w:val="Colorful List Accent 4"/>
    <w:basedOn w:val="Normlntabulka"/>
    <w:uiPriority w:val="72"/>
    <w:rsid w:val="00FE07E4"/>
    <w:rPr>
      <w:color w:val="000000"/>
    </w:rPr>
    <w:tblPr>
      <w:tblStyleRowBandSize w:val="1"/>
      <w:tblStyleColBandSize w:val="1"/>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styleId="Stednmka2zvraznn4">
    <w:name w:val="Medium Grid 2 Accent 4"/>
    <w:basedOn w:val="Normlntabulka"/>
    <w:uiPriority w:val="68"/>
    <w:rsid w:val="00FE07E4"/>
    <w:rPr>
      <w:rFonts w:ascii="Arial" w:hAnsi="Arial"/>
      <w:color w:val="000000"/>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character" w:customStyle="1" w:styleId="Nadpis4Char">
    <w:name w:val="Nadpis 4 Char"/>
    <w:aliases w:val="h4 Char,H4 Char,Ad.1) Char,Ad 2) Char,1) Char,ASAPHeading 4 Char,Sub Sub Paragraph Char,Podkapitola3 Char,Podkapitola31 Char,Odstavec 1 Char,Odstavec 11 Char,Odstavec 12 Char,Odstavec 13 Char,Odstavec 14 Char,Odstavec 111 Char,4 Char"/>
    <w:basedOn w:val="Standardnpsmoodstavce"/>
    <w:link w:val="Nadpis4"/>
    <w:rsid w:val="0008794A"/>
    <w:rPr>
      <w:rFonts w:ascii="Arial" w:eastAsiaTheme="majorEastAsia" w:hAnsi="Arial" w:cstheme="majorBidi"/>
      <w:b/>
      <w:bCs/>
      <w:iCs/>
      <w:sz w:val="24"/>
      <w:szCs w:val="24"/>
      <w:lang w:val="cs-CZ"/>
    </w:rPr>
  </w:style>
  <w:style w:type="character" w:customStyle="1" w:styleId="Nadpis5Char">
    <w:name w:val="Nadpis 5 Char"/>
    <w:aliases w:val="ASAPHeading 5 Char,Heading 5   Appendix A to X Char,Appendix A to X Char,Heading 5   Appendix A to X1 Char,Appendix A to X1 Char,Heading 5   Appendix A to X2 Char,Appendix A to X2 Char,Heading 5   Appendix A to X11 Char,MUS5 Char,H5 Char"/>
    <w:basedOn w:val="Standardnpsmoodstavce"/>
    <w:link w:val="Nadpis5"/>
    <w:rsid w:val="0008794A"/>
    <w:rPr>
      <w:rFonts w:ascii="Arial" w:eastAsiaTheme="majorEastAsia" w:hAnsi="Arial" w:cstheme="majorBidi"/>
      <w:b/>
      <w:i/>
      <w:color w:val="00133A" w:themeColor="accent1" w:themeShade="7F"/>
      <w:sz w:val="24"/>
      <w:szCs w:val="24"/>
      <w:lang w:val="cs-CZ"/>
    </w:rPr>
  </w:style>
  <w:style w:type="character" w:customStyle="1" w:styleId="Nadpis6Char">
    <w:name w:val="Nadpis 6 Char"/>
    <w:aliases w:val="ASAPHeading 6 Char,Heading 6  Appendix Y &amp; Z Char,Heading 6  Appendix Y &amp; Z1 Char,Heading 6  Appendix Y &amp; Z2 Char,Heading 6  Appendix Y &amp; Z11 Char,MUS6 Char,H6 Char,ASAPHeading 61 Char,ASAPHeading 62 Char,ASAPHeading 63 Char,h6 Char,l Char"/>
    <w:basedOn w:val="Standardnpsmoodstavce"/>
    <w:link w:val="Nadpis6"/>
    <w:rsid w:val="0008794A"/>
    <w:rPr>
      <w:rFonts w:ascii="Arial" w:eastAsiaTheme="majorEastAsia" w:hAnsi="Arial" w:cstheme="majorBidi"/>
      <w:i/>
      <w:iCs/>
      <w:color w:val="00133A" w:themeColor="accent1" w:themeShade="7F"/>
      <w:sz w:val="24"/>
      <w:szCs w:val="24"/>
      <w:lang w:val="cs-CZ"/>
    </w:rPr>
  </w:style>
  <w:style w:type="character" w:customStyle="1" w:styleId="Nadpis7Char">
    <w:name w:val="Nadpis 7 Char"/>
    <w:aliases w:val="ASAPHeading 7 Char,MUS7 Char,ASAPHeading 71 Char,ASAPHeading 72 Char,ASAPHeading 73 Char,ASAPHeading 74 Char,H7 Char,letter list Char,lettered list Char,letter list1 Char,lettered list1 Char,letter list2 Char,lettered list2 Char"/>
    <w:basedOn w:val="Standardnpsmoodstavce"/>
    <w:link w:val="Nadpis7"/>
    <w:rsid w:val="00E421C0"/>
    <w:rPr>
      <w:rFonts w:ascii="Arial" w:eastAsiaTheme="majorEastAsia" w:hAnsi="Arial" w:cstheme="majorBidi"/>
      <w:i/>
      <w:iCs/>
      <w:color w:val="404040" w:themeColor="text1" w:themeTint="BF"/>
      <w:sz w:val="22"/>
      <w:szCs w:val="24"/>
      <w:lang w:val="cs-CZ"/>
    </w:rPr>
  </w:style>
  <w:style w:type="character" w:customStyle="1" w:styleId="Nadpis8Char">
    <w:name w:val="Nadpis 8 Char"/>
    <w:aliases w:val="ASAPHeading 8 Char,MUS8 Char,H8 Char,(Appendici) Char,action Char,action1 Char,action2 Char,action11 Char,action3 Char,action4 Char,action5 Char,action6 Char,action7 Char,action12 Char,action21 Char,action111 Char,action31 Char"/>
    <w:basedOn w:val="Standardnpsmoodstavce"/>
    <w:link w:val="Nadpis8"/>
    <w:rsid w:val="00E421C0"/>
    <w:rPr>
      <w:rFonts w:ascii="Arial" w:eastAsiaTheme="majorEastAsia" w:hAnsi="Arial" w:cstheme="majorBidi"/>
      <w:i/>
      <w:color w:val="404040" w:themeColor="text1" w:themeTint="BF"/>
      <w:lang w:val="cs-CZ"/>
    </w:rPr>
  </w:style>
  <w:style w:type="character" w:customStyle="1" w:styleId="Nadpis9Char">
    <w:name w:val="Nadpis 9 Char"/>
    <w:aliases w:val="h9 Char,heading9 Char,ASAPHeading 9 Char,App Heading Char,MUS9 Char,H9 Char,(Bibliografia) Char,progress Char,progress1 Char,progress2 Char,progress11 Char,progress3 Char,progress4 Char,progress5 Char,progress6 Char,progress7 Char"/>
    <w:basedOn w:val="Standardnpsmoodstavce"/>
    <w:link w:val="Nadpis9"/>
    <w:rsid w:val="00E421C0"/>
    <w:rPr>
      <w:rFonts w:ascii="Arial" w:eastAsiaTheme="majorEastAsia" w:hAnsi="Arial" w:cstheme="majorBidi"/>
      <w:i/>
      <w:iCs/>
      <w:color w:val="404040" w:themeColor="text1" w:themeTint="BF"/>
      <w:sz w:val="18"/>
      <w:lang w:val="cs-CZ"/>
    </w:rPr>
  </w:style>
  <w:style w:type="paragraph" w:styleId="Obsah5">
    <w:name w:val="toc 5"/>
    <w:basedOn w:val="Normln"/>
    <w:next w:val="Normln"/>
    <w:autoRedefine/>
    <w:uiPriority w:val="39"/>
    <w:rsid w:val="00210E5E"/>
    <w:pPr>
      <w:spacing w:after="100"/>
      <w:ind w:left="960"/>
    </w:pPr>
  </w:style>
  <w:style w:type="character" w:styleId="Znakapoznpodarou">
    <w:name w:val="footnote reference"/>
    <w:aliases w:val="Überschrift 4 Zchn1,Título 4 Car Zchn,Heading 4 Char1 Car Zchn,no vale 2 Zchn,no vale 2 Car Zchn,PGI Fußnote Ziffer,BVI fnr,Footnote symbol,Footnote Reference Superscript,Appel note de bas de p,Appel note de bas de page,Légende"/>
    <w:basedOn w:val="Standardnpsmoodstavce"/>
    <w:uiPriority w:val="99"/>
    <w:rsid w:val="00E421C0"/>
    <w:rPr>
      <w:rFonts w:ascii="Arial" w:hAnsi="Arial"/>
      <w:sz w:val="16"/>
      <w:vertAlign w:val="superscript"/>
    </w:rPr>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 Char1,fn"/>
    <w:basedOn w:val="Normln"/>
    <w:link w:val="TextpoznpodarouChar"/>
    <w:uiPriority w:val="99"/>
    <w:qFormat/>
    <w:rsid w:val="00E421C0"/>
    <w:rPr>
      <w:sz w:val="16"/>
      <w:szCs w:val="20"/>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uiPriority w:val="99"/>
    <w:rsid w:val="00E421C0"/>
    <w:rPr>
      <w:rFonts w:ascii="Arial" w:hAnsi="Arial"/>
      <w:sz w:val="16"/>
    </w:rPr>
  </w:style>
  <w:style w:type="paragraph" w:customStyle="1" w:styleId="Highlight3">
    <w:name w:val="Highlight 3"/>
    <w:basedOn w:val="Highlight2"/>
    <w:qFormat/>
    <w:rsid w:val="00D34C27"/>
    <w:rPr>
      <w:color w:val="00A1DE" w:themeColor="accent3"/>
    </w:rPr>
  </w:style>
  <w:style w:type="paragraph" w:customStyle="1" w:styleId="Style10ptDarkBlueBefore5ptAfter5pt">
    <w:name w:val="Style 10 pt Dark Blue Before:  5 pt After:  5 pt"/>
    <w:basedOn w:val="Normln"/>
    <w:rsid w:val="00C735E2"/>
    <w:rPr>
      <w:rFonts w:ascii="Times New Roman" w:hAnsi="Times New Roman"/>
      <w:color w:val="000080"/>
      <w:sz w:val="20"/>
      <w:szCs w:val="20"/>
    </w:rPr>
  </w:style>
  <w:style w:type="paragraph" w:styleId="Odstavecseseznamem">
    <w:name w:val="List Paragraph"/>
    <w:aliases w:val="Odstavec cíl se seznamem,Odstavec se seznamem1,Nad,Odstavec se seznamem5"/>
    <w:basedOn w:val="Normln"/>
    <w:link w:val="OdstavecseseznamemChar"/>
    <w:uiPriority w:val="34"/>
    <w:qFormat/>
    <w:rsid w:val="003A7264"/>
    <w:pPr>
      <w:ind w:left="720"/>
      <w:contextualSpacing/>
    </w:pPr>
  </w:style>
  <w:style w:type="character" w:styleId="Odkaznakoment">
    <w:name w:val="annotation reference"/>
    <w:basedOn w:val="Standardnpsmoodstavce"/>
    <w:rsid w:val="005C5D09"/>
    <w:rPr>
      <w:sz w:val="16"/>
      <w:szCs w:val="16"/>
    </w:rPr>
  </w:style>
  <w:style w:type="paragraph" w:styleId="Textkomente">
    <w:name w:val="annotation text"/>
    <w:basedOn w:val="Normln"/>
    <w:link w:val="TextkomenteChar"/>
    <w:rsid w:val="005C5D09"/>
    <w:rPr>
      <w:sz w:val="20"/>
      <w:szCs w:val="20"/>
    </w:rPr>
  </w:style>
  <w:style w:type="character" w:customStyle="1" w:styleId="TextkomenteChar">
    <w:name w:val="Text komentáře Char"/>
    <w:basedOn w:val="Standardnpsmoodstavce"/>
    <w:link w:val="Textkomente"/>
    <w:rsid w:val="005C5D09"/>
    <w:rPr>
      <w:rFonts w:ascii="Arial" w:hAnsi="Arial"/>
      <w:lang w:val="cs-CZ"/>
    </w:rPr>
  </w:style>
  <w:style w:type="paragraph" w:styleId="Pedmtkomente">
    <w:name w:val="annotation subject"/>
    <w:basedOn w:val="Textkomente"/>
    <w:next w:val="Textkomente"/>
    <w:link w:val="PedmtkomenteChar"/>
    <w:rsid w:val="005C5D09"/>
    <w:rPr>
      <w:b/>
      <w:bCs/>
    </w:rPr>
  </w:style>
  <w:style w:type="character" w:customStyle="1" w:styleId="PedmtkomenteChar">
    <w:name w:val="Předmět komentáře Char"/>
    <w:basedOn w:val="TextkomenteChar"/>
    <w:link w:val="Pedmtkomente"/>
    <w:rsid w:val="005C5D09"/>
    <w:rPr>
      <w:rFonts w:ascii="Arial" w:hAnsi="Arial"/>
      <w:b/>
      <w:bCs/>
      <w:lang w:val="cs-CZ"/>
    </w:rPr>
  </w:style>
  <w:style w:type="paragraph" w:styleId="Revize">
    <w:name w:val="Revision"/>
    <w:hidden/>
    <w:uiPriority w:val="99"/>
    <w:semiHidden/>
    <w:rsid w:val="00237A98"/>
    <w:rPr>
      <w:rFonts w:ascii="Arial" w:hAnsi="Arial"/>
      <w:sz w:val="19"/>
      <w:szCs w:val="24"/>
      <w:lang w:val="cs-CZ"/>
    </w:rPr>
  </w:style>
  <w:style w:type="paragraph" w:customStyle="1" w:styleId="normalnsodrkami">
    <w:name w:val="normalní s odrážkami"/>
    <w:basedOn w:val="Normln"/>
    <w:rsid w:val="00D31571"/>
    <w:pPr>
      <w:numPr>
        <w:numId w:val="5"/>
      </w:numPr>
    </w:pPr>
    <w:rPr>
      <w:sz w:val="20"/>
      <w:lang w:eastAsia="cs-CZ"/>
    </w:rPr>
  </w:style>
  <w:style w:type="character" w:customStyle="1" w:styleId="BodytextChar">
    <w:name w:val="Body text Char"/>
    <w:link w:val="BodyText1"/>
    <w:rsid w:val="000979ED"/>
    <w:rPr>
      <w:rFonts w:ascii="Arial" w:hAnsi="Arial"/>
      <w:color w:val="000000"/>
      <w:sz w:val="19"/>
      <w:szCs w:val="48"/>
      <w:lang w:val="cs-CZ"/>
    </w:rPr>
  </w:style>
  <w:style w:type="character" w:customStyle="1" w:styleId="OdstavecseseznamemChar">
    <w:name w:val="Odstavec se seznamem Char"/>
    <w:aliases w:val="Odstavec cíl se seznamem Char,Odstavec se seznamem1 Char,Nad Char,Odstavec se seznamem5 Char"/>
    <w:link w:val="Odstavecseseznamem"/>
    <w:uiPriority w:val="34"/>
    <w:locked/>
    <w:rsid w:val="003A7264"/>
    <w:rPr>
      <w:rFonts w:ascii="Arial" w:hAnsi="Arial"/>
      <w:sz w:val="19"/>
      <w:szCs w:val="24"/>
      <w:lang w:val="cs-CZ"/>
    </w:rPr>
  </w:style>
  <w:style w:type="paragraph" w:customStyle="1" w:styleId="Textodstavce">
    <w:name w:val="Text odstavce"/>
    <w:basedOn w:val="Normln"/>
    <w:rsid w:val="00BF18BE"/>
    <w:pPr>
      <w:numPr>
        <w:ilvl w:val="6"/>
        <w:numId w:val="6"/>
      </w:numPr>
      <w:tabs>
        <w:tab w:val="left" w:pos="851"/>
      </w:tabs>
      <w:spacing w:before="120"/>
      <w:outlineLvl w:val="6"/>
    </w:pPr>
    <w:rPr>
      <w:rFonts w:ascii="Times New Roman" w:hAnsi="Times New Roman"/>
      <w:sz w:val="24"/>
      <w:szCs w:val="20"/>
      <w:lang w:val="en-US" w:eastAsia="cs-CZ"/>
    </w:rPr>
  </w:style>
  <w:style w:type="paragraph" w:customStyle="1" w:styleId="Textbodu">
    <w:name w:val="Text bodu"/>
    <w:basedOn w:val="Normln"/>
    <w:rsid w:val="00BF18BE"/>
    <w:pPr>
      <w:numPr>
        <w:ilvl w:val="8"/>
        <w:numId w:val="6"/>
      </w:numPr>
      <w:outlineLvl w:val="8"/>
    </w:pPr>
    <w:rPr>
      <w:rFonts w:ascii="Times New Roman" w:hAnsi="Times New Roman"/>
      <w:sz w:val="24"/>
      <w:szCs w:val="20"/>
      <w:lang w:val="en-US" w:eastAsia="cs-CZ"/>
    </w:rPr>
  </w:style>
  <w:style w:type="paragraph" w:customStyle="1" w:styleId="Textpsmene">
    <w:name w:val="Text písmene"/>
    <w:basedOn w:val="Normln"/>
    <w:rsid w:val="00BF18BE"/>
    <w:pPr>
      <w:numPr>
        <w:ilvl w:val="7"/>
        <w:numId w:val="6"/>
      </w:numPr>
      <w:outlineLvl w:val="7"/>
    </w:pPr>
    <w:rPr>
      <w:rFonts w:ascii="Times New Roman" w:hAnsi="Times New Roman"/>
      <w:sz w:val="24"/>
      <w:szCs w:val="20"/>
      <w:lang w:val="en-US" w:eastAsia="cs-CZ"/>
    </w:rPr>
  </w:style>
  <w:style w:type="paragraph" w:styleId="Normlnweb">
    <w:name w:val="Normal (Web)"/>
    <w:basedOn w:val="Normln"/>
    <w:uiPriority w:val="99"/>
    <w:rsid w:val="009A27F7"/>
    <w:pPr>
      <w:spacing w:before="100" w:beforeAutospacing="1" w:after="100" w:afterAutospacing="1"/>
    </w:pPr>
    <w:rPr>
      <w:rFonts w:ascii="Arial Unicode MS" w:eastAsia="Arial Unicode MS" w:hAnsi="Arial Unicode MS" w:cs="Arial Unicode MS"/>
      <w:sz w:val="24"/>
      <w:lang w:val="en-US" w:eastAsia="cs-CZ"/>
    </w:rPr>
  </w:style>
  <w:style w:type="paragraph" w:styleId="Titulek">
    <w:name w:val="caption"/>
    <w:basedOn w:val="Normln"/>
    <w:next w:val="Normln"/>
    <w:link w:val="TitulekChar"/>
    <w:qFormat/>
    <w:rsid w:val="00DE2A6D"/>
    <w:pPr>
      <w:spacing w:after="100" w:afterAutospacing="1"/>
    </w:pPr>
    <w:rPr>
      <w:rFonts w:ascii="Times New Roman" w:hAnsi="Times New Roman"/>
      <w:b/>
      <w:bCs/>
      <w:color w:val="002776" w:themeColor="text2"/>
      <w:sz w:val="20"/>
      <w:szCs w:val="20"/>
    </w:rPr>
  </w:style>
  <w:style w:type="character" w:customStyle="1" w:styleId="TitulekChar">
    <w:name w:val="Titulek Char"/>
    <w:basedOn w:val="Standardnpsmoodstavce"/>
    <w:link w:val="Titulek"/>
    <w:rsid w:val="00DE2A6D"/>
    <w:rPr>
      <w:b/>
      <w:bCs/>
      <w:color w:val="002776" w:themeColor="text2"/>
      <w:lang w:val="cs-CZ"/>
    </w:rPr>
  </w:style>
  <w:style w:type="character" w:customStyle="1" w:styleId="st">
    <w:name w:val="st"/>
    <w:basedOn w:val="Standardnpsmoodstavce"/>
    <w:rsid w:val="00D913FA"/>
  </w:style>
  <w:style w:type="paragraph" w:customStyle="1" w:styleId="Deloittebodytext">
    <w:name w:val="Deloitte body text"/>
    <w:link w:val="DeloittebodytextChar"/>
    <w:qFormat/>
    <w:rsid w:val="00CF46D9"/>
    <w:rPr>
      <w:rFonts w:ascii="Arial" w:hAnsi="Arial" w:cstheme="minorHAnsi"/>
      <w:color w:val="000000"/>
      <w:sz w:val="19"/>
      <w:szCs w:val="48"/>
      <w:lang w:val="cs-CZ"/>
    </w:rPr>
  </w:style>
  <w:style w:type="character" w:customStyle="1" w:styleId="DeloittebodytextChar">
    <w:name w:val="Deloitte body text Char"/>
    <w:basedOn w:val="Standardnpsmoodstavce"/>
    <w:link w:val="Deloittebodytext"/>
    <w:rsid w:val="00CF46D9"/>
    <w:rPr>
      <w:rFonts w:ascii="Arial" w:hAnsi="Arial" w:cstheme="minorHAnsi"/>
      <w:color w:val="000000"/>
      <w:sz w:val="19"/>
      <w:szCs w:val="48"/>
      <w:lang w:val="cs-CZ"/>
    </w:rPr>
  </w:style>
  <w:style w:type="paragraph" w:customStyle="1" w:styleId="BodyText3">
    <w:name w:val="Body Text3"/>
    <w:qFormat/>
    <w:rsid w:val="00412A8D"/>
    <w:rPr>
      <w:rFonts w:ascii="Arial" w:hAnsi="Arial"/>
      <w:color w:val="000000"/>
      <w:sz w:val="19"/>
      <w:szCs w:val="48"/>
      <w:lang w:val="cs-CZ"/>
    </w:rPr>
  </w:style>
  <w:style w:type="character" w:customStyle="1" w:styleId="Nadpis3Char">
    <w:name w:val="Nadpis 3 Char"/>
    <w:aliases w:val="h3 Char,- 1) Char,2) Char,3) Char,- 1. Char,2. Char,3. Char,H3 Char,Heading Char,List 1 Char,Nadpis_3_úroveň Char,Záhlaví 3 Char,V_Head3 Char,V_Head31 Char,V_Head32 Char,Podkapitola2 Char,ASAPHeading 3 Char,Sub Paragraph Char,TRM 12 3 Char"/>
    <w:link w:val="Nadpis3"/>
    <w:rsid w:val="003E1852"/>
    <w:rPr>
      <w:rFonts w:ascii="Arial" w:hAnsi="Arial" w:cs="Arial"/>
      <w:b/>
      <w:bCs/>
      <w:iCs/>
      <w:color w:val="3C8A2E" w:themeColor="accent5"/>
      <w:kern w:val="32"/>
      <w:sz w:val="24"/>
      <w:szCs w:val="26"/>
      <w:lang w:val="cs-CZ"/>
    </w:rPr>
  </w:style>
  <w:style w:type="paragraph" w:customStyle="1" w:styleId="Bodyodsazene">
    <w:name w:val="Body odsazene"/>
    <w:basedOn w:val="BodyText1"/>
    <w:link w:val="BodyodsazeneChar"/>
    <w:qFormat/>
    <w:rsid w:val="00167A57"/>
    <w:pPr>
      <w:spacing w:before="120" w:after="120"/>
    </w:pPr>
  </w:style>
  <w:style w:type="character" w:customStyle="1" w:styleId="BodyodsazeneChar">
    <w:name w:val="Body odsazene Char"/>
    <w:basedOn w:val="Standardnpsmoodstavce"/>
    <w:link w:val="Bodyodsazene"/>
    <w:rsid w:val="00167A57"/>
    <w:rPr>
      <w:rFonts w:ascii="Arial" w:hAnsi="Arial"/>
      <w:color w:val="000000"/>
      <w:sz w:val="19"/>
      <w:szCs w:val="48"/>
      <w:lang w:val="cs-CZ"/>
    </w:rPr>
  </w:style>
  <w:style w:type="paragraph" w:styleId="Zkladntext">
    <w:name w:val="Body Text"/>
    <w:basedOn w:val="Normln"/>
    <w:link w:val="ZkladntextChar"/>
    <w:uiPriority w:val="1"/>
    <w:qFormat/>
    <w:rsid w:val="00283E62"/>
    <w:pPr>
      <w:widowControl w:val="0"/>
      <w:ind w:left="140"/>
      <w:jc w:val="left"/>
    </w:pPr>
    <w:rPr>
      <w:rFonts w:eastAsia="Arial" w:cstheme="minorBidi"/>
      <w:szCs w:val="19"/>
      <w:lang w:val="en-US"/>
    </w:rPr>
  </w:style>
  <w:style w:type="character" w:customStyle="1" w:styleId="ZkladntextChar">
    <w:name w:val="Základní text Char"/>
    <w:basedOn w:val="Standardnpsmoodstavce"/>
    <w:link w:val="Zkladntext"/>
    <w:uiPriority w:val="1"/>
    <w:rsid w:val="00283E62"/>
    <w:rPr>
      <w:rFonts w:ascii="Arial" w:eastAsia="Arial" w:hAnsi="Arial" w:cstheme="minorBidi"/>
      <w:sz w:val="19"/>
      <w:szCs w:val="19"/>
    </w:rPr>
  </w:style>
  <w:style w:type="paragraph" w:customStyle="1" w:styleId="TableParagraph">
    <w:name w:val="Table Paragraph"/>
    <w:basedOn w:val="Normln"/>
    <w:uiPriority w:val="1"/>
    <w:qFormat/>
    <w:rsid w:val="00283E62"/>
    <w:pPr>
      <w:widowControl w:val="0"/>
      <w:jc w:val="left"/>
    </w:pPr>
    <w:rPr>
      <w:rFonts w:asciiTheme="minorHAnsi" w:eastAsiaTheme="minorHAnsi" w:hAnsiTheme="minorHAnsi" w:cstheme="minorBidi"/>
      <w:sz w:val="22"/>
      <w:szCs w:val="22"/>
      <w:lang w:val="en-US"/>
    </w:rPr>
  </w:style>
  <w:style w:type="character" w:customStyle="1" w:styleId="TextbublinyChar">
    <w:name w:val="Text bubliny Char"/>
    <w:basedOn w:val="Standardnpsmoodstavce"/>
    <w:link w:val="Textbubliny"/>
    <w:uiPriority w:val="99"/>
    <w:semiHidden/>
    <w:rsid w:val="00283E62"/>
    <w:rPr>
      <w:rFonts w:ascii="Tahoma" w:hAnsi="Tahoma" w:cs="Tahoma"/>
      <w:sz w:val="16"/>
      <w:szCs w:val="16"/>
      <w:lang w:val="cs-CZ"/>
    </w:rPr>
  </w:style>
  <w:style w:type="paragraph" w:styleId="Nzev">
    <w:name w:val="Title"/>
    <w:basedOn w:val="Normln"/>
    <w:next w:val="Normln"/>
    <w:link w:val="NzevChar"/>
    <w:uiPriority w:val="10"/>
    <w:qFormat/>
    <w:rsid w:val="00283E62"/>
    <w:pPr>
      <w:widowControl w:val="0"/>
      <w:pBdr>
        <w:bottom w:val="single" w:sz="8" w:space="4" w:color="002776" w:themeColor="accent1"/>
      </w:pBdr>
      <w:spacing w:after="300"/>
      <w:contextualSpacing/>
      <w:jc w:val="left"/>
    </w:pPr>
    <w:rPr>
      <w:rFonts w:asciiTheme="majorHAnsi" w:eastAsiaTheme="majorEastAsia" w:hAnsiTheme="majorHAnsi" w:cstheme="majorBidi"/>
      <w:color w:val="001D58" w:themeColor="text2" w:themeShade="BF"/>
      <w:spacing w:val="5"/>
      <w:kern w:val="28"/>
      <w:sz w:val="52"/>
      <w:szCs w:val="52"/>
      <w:lang w:val="en-US"/>
    </w:rPr>
  </w:style>
  <w:style w:type="character" w:customStyle="1" w:styleId="NzevChar">
    <w:name w:val="Název Char"/>
    <w:basedOn w:val="Standardnpsmoodstavce"/>
    <w:link w:val="Nzev"/>
    <w:uiPriority w:val="10"/>
    <w:rsid w:val="00283E62"/>
    <w:rPr>
      <w:rFonts w:asciiTheme="majorHAnsi" w:eastAsiaTheme="majorEastAsia" w:hAnsiTheme="majorHAnsi" w:cstheme="majorBidi"/>
      <w:color w:val="001D58" w:themeColor="text2" w:themeShade="BF"/>
      <w:spacing w:val="5"/>
      <w:kern w:val="28"/>
      <w:sz w:val="52"/>
      <w:szCs w:val="52"/>
    </w:rPr>
  </w:style>
  <w:style w:type="character" w:customStyle="1" w:styleId="Nadpis1Char">
    <w:name w:val="Nadpis 1 Char"/>
    <w:aliases w:val="Deloitte Heading 1 Char,Heading 1 Char1 Char Char,Heading 1 Char Char Char Char,h1 Char Char Char Char,H1 Char Char Char Char,1 Char1 Char Char Char,Naglówek 1 Char Char Char Char,Naglówek 11 Char Char Char Char,1 gho Char"/>
    <w:basedOn w:val="Standardnpsmoodstavce"/>
    <w:link w:val="Nadpis1"/>
    <w:rsid w:val="00F043A0"/>
    <w:rPr>
      <w:rFonts w:ascii="Times New Roman Bold" w:hAnsi="Times New Roman Bold" w:cs="Arial"/>
      <w:bCs/>
      <w:color w:val="002776"/>
      <w:kern w:val="32"/>
      <w:sz w:val="60"/>
      <w:szCs w:val="32"/>
      <w:lang w:val="cs-CZ"/>
    </w:rPr>
  </w:style>
  <w:style w:type="paragraph" w:styleId="Seznamobrzk">
    <w:name w:val="table of figures"/>
    <w:basedOn w:val="Normln"/>
    <w:next w:val="Normln"/>
    <w:uiPriority w:val="99"/>
    <w:rsid w:val="00837914"/>
  </w:style>
  <w:style w:type="character" w:styleId="Zvraznn">
    <w:name w:val="Emphasis"/>
    <w:basedOn w:val="Standardnpsmoodstavce"/>
    <w:uiPriority w:val="20"/>
    <w:qFormat/>
    <w:rsid w:val="009C5D77"/>
    <w:rPr>
      <w:b/>
      <w:bCs/>
      <w:i w:val="0"/>
      <w:iCs w:val="0"/>
    </w:rPr>
  </w:style>
  <w:style w:type="paragraph" w:customStyle="1" w:styleId="Default">
    <w:name w:val="Default"/>
    <w:rsid w:val="00D664DC"/>
    <w:pPr>
      <w:autoSpaceDE w:val="0"/>
      <w:autoSpaceDN w:val="0"/>
      <w:adjustRightInd w:val="0"/>
    </w:pPr>
    <w:rPr>
      <w:rFonts w:ascii="Georgia" w:hAnsi="Georgia" w:cs="Georgia"/>
      <w:color w:val="000000"/>
      <w:sz w:val="24"/>
      <w:szCs w:val="24"/>
      <w:lang w:val="cs-CZ"/>
    </w:rPr>
  </w:style>
  <w:style w:type="paragraph" w:styleId="Nadpisobsahu">
    <w:name w:val="TOC Heading"/>
    <w:basedOn w:val="Nadpis1"/>
    <w:next w:val="Normln"/>
    <w:uiPriority w:val="39"/>
    <w:semiHidden/>
    <w:unhideWhenUsed/>
    <w:qFormat/>
    <w:rsid w:val="00363543"/>
    <w:pPr>
      <w:keepLines/>
      <w:pageBreakBefore w:val="0"/>
      <w:numPr>
        <w:numId w:val="0"/>
      </w:numPr>
      <w:spacing w:before="480" w:after="0" w:line="276" w:lineRule="auto"/>
      <w:outlineLvl w:val="9"/>
    </w:pPr>
    <w:rPr>
      <w:rFonts w:asciiTheme="majorHAnsi" w:eastAsiaTheme="majorEastAsia" w:hAnsiTheme="majorHAnsi" w:cstheme="majorBidi"/>
      <w:b/>
      <w:color w:val="001D58" w:themeColor="accent1" w:themeShade="BF"/>
      <w:kern w:val="0"/>
      <w:sz w:val="28"/>
      <w:szCs w:val="28"/>
      <w:lang w:val="en-US" w:eastAsia="ja-JP"/>
    </w:rPr>
  </w:style>
  <w:style w:type="character" w:customStyle="1" w:styleId="hps">
    <w:name w:val="hps"/>
    <w:basedOn w:val="Standardnpsmoodstavce"/>
    <w:rsid w:val="0063536F"/>
  </w:style>
  <w:style w:type="character" w:styleId="Siln">
    <w:name w:val="Strong"/>
    <w:basedOn w:val="Standardnpsmoodstavce"/>
    <w:uiPriority w:val="22"/>
    <w:qFormat/>
    <w:rsid w:val="00C379C3"/>
    <w:rPr>
      <w:b/>
      <w:bCs/>
    </w:rPr>
  </w:style>
  <w:style w:type="paragraph" w:customStyle="1" w:styleId="Pa3">
    <w:name w:val="Pa3"/>
    <w:basedOn w:val="Default"/>
    <w:next w:val="Default"/>
    <w:uiPriority w:val="99"/>
    <w:rsid w:val="00AF2D35"/>
    <w:pPr>
      <w:spacing w:line="171" w:lineRule="atLeast"/>
    </w:pPr>
    <w:rPr>
      <w:rFonts w:ascii="Humnst777 Lt AT" w:hAnsi="Humnst777 Lt AT" w:cs="Times New Roman"/>
      <w:color w:val="auto"/>
    </w:rPr>
  </w:style>
  <w:style w:type="paragraph" w:customStyle="1" w:styleId="Pa2">
    <w:name w:val="Pa2"/>
    <w:basedOn w:val="Default"/>
    <w:next w:val="Default"/>
    <w:uiPriority w:val="99"/>
    <w:rsid w:val="00AF2D35"/>
    <w:pPr>
      <w:spacing w:line="171" w:lineRule="atLeast"/>
    </w:pPr>
    <w:rPr>
      <w:rFonts w:ascii="Humnst777 Lt AT" w:hAnsi="Humnst777 Lt AT" w:cs="Times New Roman"/>
      <w:color w:val="auto"/>
    </w:rPr>
  </w:style>
  <w:style w:type="character" w:customStyle="1" w:styleId="A5">
    <w:name w:val="A5"/>
    <w:uiPriority w:val="99"/>
    <w:rsid w:val="00AF2D35"/>
    <w:rPr>
      <w:rFonts w:cs="Humnst777 Lt AT"/>
      <w:color w:val="000000"/>
      <w:sz w:val="30"/>
      <w:szCs w:val="30"/>
    </w:rPr>
  </w:style>
  <w:style w:type="paragraph" w:customStyle="1" w:styleId="CM1">
    <w:name w:val="CM1"/>
    <w:basedOn w:val="Default"/>
    <w:next w:val="Default"/>
    <w:uiPriority w:val="99"/>
    <w:rsid w:val="00AF2D35"/>
    <w:rPr>
      <w:rFonts w:ascii="EUAlbertina" w:hAnsi="EUAlbertina" w:cs="Times New Roman"/>
      <w:color w:val="auto"/>
    </w:rPr>
  </w:style>
  <w:style w:type="paragraph" w:customStyle="1" w:styleId="CM3">
    <w:name w:val="CM3"/>
    <w:basedOn w:val="Default"/>
    <w:next w:val="Default"/>
    <w:uiPriority w:val="99"/>
    <w:rsid w:val="00AF2D35"/>
    <w:rPr>
      <w:rFonts w:ascii="EUAlbertina" w:hAnsi="EUAlbertina" w:cs="Times New Roman"/>
      <w:color w:val="auto"/>
    </w:rPr>
  </w:style>
  <w:style w:type="paragraph" w:customStyle="1" w:styleId="CM4">
    <w:name w:val="CM4"/>
    <w:basedOn w:val="Default"/>
    <w:next w:val="Default"/>
    <w:uiPriority w:val="99"/>
    <w:rsid w:val="00AF2D35"/>
    <w:rPr>
      <w:rFonts w:ascii="EUAlbertina" w:hAnsi="EUAlbertina" w:cs="Times New Roman"/>
      <w:color w:val="auto"/>
    </w:rPr>
  </w:style>
  <w:style w:type="table" w:customStyle="1" w:styleId="TableGridLight1">
    <w:name w:val="Table Grid Light1"/>
    <w:basedOn w:val="Normlntabulka"/>
    <w:uiPriority w:val="40"/>
    <w:rsid w:val="00E35B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Standardnpsmoodstavce"/>
    <w:rsid w:val="00933C2B"/>
  </w:style>
  <w:style w:type="paragraph" w:customStyle="1" w:styleId="Barevnoddlova">
    <w:name w:val="Barevný oddělovač"/>
    <w:basedOn w:val="Zkladntext"/>
    <w:link w:val="BarevnoddlovaChar"/>
    <w:qFormat/>
    <w:rsid w:val="00C32283"/>
    <w:pPr>
      <w:keepNext/>
      <w:keepLines/>
      <w:widowControl/>
      <w:ind w:left="0"/>
      <w:jc w:val="both"/>
    </w:pPr>
    <w:rPr>
      <w:rFonts w:eastAsia="Times New Roman" w:cs="Arial"/>
      <w:b/>
      <w:color w:val="31849B"/>
      <w:sz w:val="24"/>
      <w:szCs w:val="20"/>
      <w:lang w:val="cs-CZ" w:eastAsia="cs-CZ"/>
    </w:rPr>
  </w:style>
  <w:style w:type="character" w:customStyle="1" w:styleId="BarevnoddlovaChar">
    <w:name w:val="Barevný oddělovač Char"/>
    <w:link w:val="Barevnoddlova"/>
    <w:rsid w:val="00C32283"/>
    <w:rPr>
      <w:rFonts w:ascii="Arial" w:hAnsi="Arial" w:cs="Arial"/>
      <w:b/>
      <w:color w:val="31849B"/>
      <w:sz w:val="24"/>
      <w:lang w:val="cs-CZ" w:eastAsia="cs-CZ"/>
    </w:rPr>
  </w:style>
  <w:style w:type="paragraph" w:styleId="Seznamsodrkami">
    <w:name w:val="List Bullet"/>
    <w:basedOn w:val="Normln"/>
    <w:uiPriority w:val="13"/>
    <w:unhideWhenUsed/>
    <w:qFormat/>
    <w:rsid w:val="00950F26"/>
    <w:pPr>
      <w:spacing w:after="240" w:line="240" w:lineRule="atLeast"/>
      <w:contextualSpacing/>
      <w:jc w:val="left"/>
    </w:pPr>
    <w:rPr>
      <w:rFonts w:ascii="Georgia" w:eastAsia="Arial" w:hAnsi="Georgia"/>
      <w:sz w:val="20"/>
      <w:szCs w:val="20"/>
    </w:rPr>
  </w:style>
  <w:style w:type="character" w:styleId="Odkazintenzivn">
    <w:name w:val="Intense Reference"/>
    <w:qFormat/>
    <w:rsid w:val="00696700"/>
    <w:rPr>
      <w:rFonts w:cs="Times New Roman"/>
      <w:b/>
      <w:bCs/>
      <w:smallCaps/>
      <w:color w:val="002776"/>
      <w:spacing w:val="5"/>
    </w:rPr>
  </w:style>
  <w:style w:type="character" w:customStyle="1" w:styleId="st1">
    <w:name w:val="st1"/>
    <w:rsid w:val="00696700"/>
  </w:style>
  <w:style w:type="table" w:customStyle="1" w:styleId="GridTable4-Accent21">
    <w:name w:val="Grid Table 4 - Accent 21"/>
    <w:basedOn w:val="Normlntabulka"/>
    <w:uiPriority w:val="49"/>
    <w:rsid w:val="009C685C"/>
    <w:rPr>
      <w:rFonts w:asciiTheme="minorHAnsi" w:eastAsiaTheme="minorHAnsi" w:hAnsiTheme="minorHAnsi" w:cstheme="minorBidi"/>
      <w:sz w:val="22"/>
      <w:szCs w:val="22"/>
      <w:lang w:val="cs-CZ"/>
    </w:rPr>
    <w:tblPr>
      <w:tblStyleRowBandSize w:val="1"/>
      <w:tblStyleColBandSize w:val="1"/>
      <w:tblBorders>
        <w:top w:val="single" w:sz="4" w:space="0" w:color="C6FF4C" w:themeColor="accent2" w:themeTint="99"/>
        <w:left w:val="single" w:sz="4" w:space="0" w:color="C6FF4C" w:themeColor="accent2" w:themeTint="99"/>
        <w:bottom w:val="single" w:sz="4" w:space="0" w:color="C6FF4C" w:themeColor="accent2" w:themeTint="99"/>
        <w:right w:val="single" w:sz="4" w:space="0" w:color="C6FF4C" w:themeColor="accent2" w:themeTint="99"/>
        <w:insideH w:val="single" w:sz="4" w:space="0" w:color="C6FF4C" w:themeColor="accent2" w:themeTint="99"/>
        <w:insideV w:val="single" w:sz="4" w:space="0" w:color="C6FF4C" w:themeColor="accent2" w:themeTint="99"/>
      </w:tblBorders>
    </w:tblPr>
    <w:tblStylePr w:type="firstRow">
      <w:rPr>
        <w:b/>
        <w:bCs/>
        <w:color w:val="FFFFFF" w:themeColor="background1"/>
      </w:rPr>
      <w:tblPr/>
      <w:tcPr>
        <w:tcBorders>
          <w:top w:val="single" w:sz="4" w:space="0" w:color="92D400" w:themeColor="accent2"/>
          <w:left w:val="single" w:sz="4" w:space="0" w:color="92D400" w:themeColor="accent2"/>
          <w:bottom w:val="single" w:sz="4" w:space="0" w:color="92D400" w:themeColor="accent2"/>
          <w:right w:val="single" w:sz="4" w:space="0" w:color="92D400" w:themeColor="accent2"/>
          <w:insideH w:val="nil"/>
          <w:insideV w:val="nil"/>
        </w:tcBorders>
        <w:shd w:val="clear" w:color="auto" w:fill="92D400" w:themeFill="accent2"/>
      </w:tcPr>
    </w:tblStylePr>
    <w:tblStylePr w:type="lastRow">
      <w:rPr>
        <w:b/>
        <w:bCs/>
      </w:rPr>
      <w:tblPr/>
      <w:tcPr>
        <w:tcBorders>
          <w:top w:val="double" w:sz="4" w:space="0" w:color="92D400" w:themeColor="accent2"/>
        </w:tcBorders>
      </w:tcPr>
    </w:tblStylePr>
    <w:tblStylePr w:type="firstCol">
      <w:rPr>
        <w:b/>
        <w:bCs/>
      </w:rPr>
    </w:tblStylePr>
    <w:tblStylePr w:type="lastCol">
      <w:rPr>
        <w:b/>
        <w:bCs/>
      </w:rPr>
    </w:tblStylePr>
    <w:tblStylePr w:type="band1Vert">
      <w:tblPr/>
      <w:tcPr>
        <w:shd w:val="clear" w:color="auto" w:fill="ECFFC3" w:themeFill="accent2" w:themeFillTint="33"/>
      </w:tcPr>
    </w:tblStylePr>
    <w:tblStylePr w:type="band1Horz">
      <w:tblPr/>
      <w:tcPr>
        <w:shd w:val="clear" w:color="auto" w:fill="ECFFC3" w:themeFill="accent2" w:themeFillTint="33"/>
      </w:tcPr>
    </w:tblStylePr>
  </w:style>
  <w:style w:type="character" w:customStyle="1" w:styleId="atn">
    <w:name w:val="atn"/>
    <w:basedOn w:val="Standardnpsmoodstavce"/>
    <w:rsid w:val="001C454C"/>
  </w:style>
  <w:style w:type="character" w:customStyle="1" w:styleId="alt-edited1">
    <w:name w:val="alt-edited1"/>
    <w:basedOn w:val="Standardnpsmoodstavce"/>
    <w:rsid w:val="001C454C"/>
    <w:rPr>
      <w:color w:val="4D90F0"/>
    </w:rPr>
  </w:style>
  <w:style w:type="character" w:customStyle="1" w:styleId="shorttext">
    <w:name w:val="short_text"/>
    <w:basedOn w:val="Standardnpsmoodstavce"/>
    <w:rsid w:val="00C96000"/>
  </w:style>
  <w:style w:type="paragraph" w:customStyle="1" w:styleId="p3">
    <w:name w:val="p3"/>
    <w:basedOn w:val="Normln"/>
    <w:rsid w:val="00FA4AE5"/>
    <w:pPr>
      <w:spacing w:before="100" w:beforeAutospacing="1" w:after="100" w:afterAutospacing="1"/>
      <w:jc w:val="left"/>
    </w:pPr>
    <w:rPr>
      <w:rFonts w:ascii="Times New Roman" w:hAnsi="Times New Roman"/>
      <w:sz w:val="24"/>
      <w:lang w:eastAsia="cs-CZ"/>
    </w:rPr>
  </w:style>
  <w:style w:type="character" w:customStyle="1" w:styleId="s1">
    <w:name w:val="s1"/>
    <w:basedOn w:val="Standardnpsmoodstavce"/>
    <w:rsid w:val="00FA4AE5"/>
  </w:style>
  <w:style w:type="paragraph" w:customStyle="1" w:styleId="p1">
    <w:name w:val="p1"/>
    <w:basedOn w:val="Normln"/>
    <w:rsid w:val="00D6172B"/>
    <w:pPr>
      <w:spacing w:before="100" w:beforeAutospacing="1" w:after="100" w:afterAutospacing="1"/>
      <w:jc w:val="left"/>
    </w:pPr>
    <w:rPr>
      <w:rFonts w:ascii="Times New Roman" w:hAnsi="Times New Roman"/>
      <w:sz w:val="24"/>
      <w:lang w:eastAsia="cs-CZ"/>
    </w:rPr>
  </w:style>
  <w:style w:type="paragraph" w:customStyle="1" w:styleId="article-perex">
    <w:name w:val="article-perex"/>
    <w:basedOn w:val="Normln"/>
    <w:rsid w:val="00E1324D"/>
    <w:pPr>
      <w:spacing w:before="100" w:beforeAutospacing="1" w:after="100" w:afterAutospacing="1"/>
      <w:jc w:val="left"/>
    </w:pPr>
    <w:rPr>
      <w:rFonts w:ascii="Times New Roman" w:hAnsi="Times New Roman"/>
      <w:sz w:val="24"/>
      <w:lang w:eastAsia="cs-CZ"/>
    </w:rPr>
  </w:style>
  <w:style w:type="character" w:styleId="CittHTML">
    <w:name w:val="HTML Cite"/>
    <w:basedOn w:val="Standardnpsmoodstavce"/>
    <w:uiPriority w:val="99"/>
    <w:semiHidden/>
    <w:unhideWhenUsed/>
    <w:rsid w:val="00614AC7"/>
    <w:rPr>
      <w:i/>
      <w:iCs/>
    </w:rPr>
  </w:style>
  <w:style w:type="character" w:customStyle="1" w:styleId="rs-person">
    <w:name w:val="rs-person"/>
    <w:basedOn w:val="Standardnpsmoodstavce"/>
    <w:rsid w:val="00EE753E"/>
  </w:style>
  <w:style w:type="character" w:styleId="Sledovanodkaz">
    <w:name w:val="FollowedHyperlink"/>
    <w:basedOn w:val="Standardnpsmoodstavce"/>
    <w:semiHidden/>
    <w:unhideWhenUsed/>
    <w:rsid w:val="00A77EA1"/>
    <w:rPr>
      <w:color w:val="C9DD03" w:themeColor="followedHyperlink"/>
      <w:u w:val="single"/>
    </w:rPr>
  </w:style>
  <w:style w:type="character" w:styleId="Zstupntext">
    <w:name w:val="Placeholder Text"/>
    <w:basedOn w:val="Standardnpsmoodstavce"/>
    <w:uiPriority w:val="99"/>
    <w:semiHidden/>
    <w:rsid w:val="00464C9D"/>
    <w:rPr>
      <w:color w:val="808080"/>
    </w:rPr>
  </w:style>
  <w:style w:type="character" w:customStyle="1" w:styleId="essayfootnotecitation">
    <w:name w:val="essay_footnotecitation"/>
    <w:basedOn w:val="Standardnpsmoodstavce"/>
    <w:rsid w:val="00B01AA8"/>
  </w:style>
  <w:style w:type="paragraph" w:customStyle="1" w:styleId="Zkladntextodsazen1">
    <w:name w:val="Základní text odsazený1"/>
    <w:basedOn w:val="Normln"/>
    <w:rsid w:val="004E60C4"/>
    <w:pPr>
      <w:spacing w:before="120"/>
      <w:ind w:left="567"/>
    </w:pPr>
    <w:rPr>
      <w:rFonts w:ascii="Times New Roman" w:hAnsi="Times New Roman"/>
      <w:iCs/>
      <w:sz w:val="24"/>
      <w:lang w:eastAsia="cs-CZ"/>
    </w:rPr>
  </w:style>
  <w:style w:type="paragraph" w:customStyle="1" w:styleId="Pa20">
    <w:name w:val="Pa20"/>
    <w:basedOn w:val="Default"/>
    <w:next w:val="Default"/>
    <w:uiPriority w:val="99"/>
    <w:rsid w:val="001D1FD9"/>
    <w:pPr>
      <w:spacing w:line="200" w:lineRule="atLeast"/>
    </w:pPr>
    <w:rPr>
      <w:rFonts w:ascii="Myriad Pro Light" w:hAnsi="Myriad Pro Light" w:cs="Times New Roman"/>
      <w:color w:val="auto"/>
    </w:rPr>
  </w:style>
  <w:style w:type="character" w:customStyle="1" w:styleId="A12">
    <w:name w:val="A12"/>
    <w:uiPriority w:val="99"/>
    <w:rsid w:val="001D1FD9"/>
    <w:rPr>
      <w:rFonts w:cs="Myriad Pro Light"/>
      <w:b/>
      <w:bCs/>
      <w:color w:val="000000"/>
      <w:sz w:val="28"/>
      <w:szCs w:val="28"/>
    </w:rPr>
  </w:style>
  <w:style w:type="character" w:customStyle="1" w:styleId="A13">
    <w:name w:val="A13"/>
    <w:uiPriority w:val="99"/>
    <w:rsid w:val="001D1FD9"/>
    <w:rPr>
      <w:rFonts w:cs="Myriad Pro Light"/>
      <w:color w:val="000000"/>
      <w:sz w:val="11"/>
      <w:szCs w:val="11"/>
    </w:rPr>
  </w:style>
  <w:style w:type="paragraph" w:customStyle="1" w:styleId="Odskoknadpis4">
    <w:name w:val="Odskok nadpis 4"/>
    <w:basedOn w:val="Normln"/>
    <w:link w:val="Odskoknadpis4Char"/>
    <w:qFormat/>
    <w:rsid w:val="00F0643D"/>
    <w:pPr>
      <w:spacing w:line="276" w:lineRule="auto"/>
      <w:ind w:left="1134"/>
    </w:pPr>
    <w:rPr>
      <w:rFonts w:ascii="Times New Roman" w:eastAsiaTheme="minorHAnsi" w:hAnsi="Times New Roman"/>
      <w:sz w:val="22"/>
      <w:szCs w:val="22"/>
    </w:rPr>
  </w:style>
  <w:style w:type="character" w:customStyle="1" w:styleId="Odskoknadpis4Char">
    <w:name w:val="Odskok nadpis 4 Char"/>
    <w:basedOn w:val="Standardnpsmoodstavce"/>
    <w:link w:val="Odskoknadpis4"/>
    <w:rsid w:val="00F0643D"/>
    <w:rPr>
      <w:rFonts w:eastAsiaTheme="minorHAnsi"/>
      <w:sz w:val="22"/>
      <w:szCs w:val="22"/>
      <w:lang w:val="cs-CZ"/>
    </w:rPr>
  </w:style>
  <w:style w:type="character" w:customStyle="1" w:styleId="ListParagraphChar1">
    <w:name w:val="List Paragraph Char1"/>
    <w:basedOn w:val="Standardnpsmoodstavce"/>
    <w:uiPriority w:val="99"/>
    <w:locked/>
    <w:rsid w:val="00DA4E52"/>
  </w:style>
  <w:style w:type="paragraph" w:customStyle="1" w:styleId="Bodycopy">
    <w:name w:val="Body copy"/>
    <w:basedOn w:val="Normln"/>
    <w:link w:val="BodycopyChar"/>
    <w:qFormat/>
    <w:rsid w:val="00DA4E52"/>
    <w:pPr>
      <w:spacing w:before="120" w:line="288" w:lineRule="auto"/>
    </w:pPr>
    <w:rPr>
      <w:rFonts w:eastAsia="Times"/>
      <w:color w:val="000000"/>
      <w:sz w:val="20"/>
      <w:szCs w:val="20"/>
      <w:lang w:val="en-GB"/>
    </w:rPr>
  </w:style>
  <w:style w:type="character" w:customStyle="1" w:styleId="BodycopyChar">
    <w:name w:val="Body copy Char"/>
    <w:link w:val="Bodycopy"/>
    <w:rsid w:val="00DA4E52"/>
    <w:rPr>
      <w:rFonts w:ascii="Arial" w:eastAsia="Times" w:hAnsi="Arial"/>
      <w:color w:val="000000"/>
      <w:lang w:val="en-GB"/>
    </w:rPr>
  </w:style>
  <w:style w:type="paragraph" w:customStyle="1" w:styleId="Caption1">
    <w:name w:val="Caption1"/>
    <w:next w:val="Normln"/>
    <w:rsid w:val="00DA4E52"/>
    <w:pPr>
      <w:spacing w:after="200"/>
    </w:pPr>
    <w:rPr>
      <w:rFonts w:ascii="Lucida Grande" w:eastAsia="ヒラギノ角ゴ Pro W3" w:hAnsi="Lucida Grande"/>
      <w:b/>
      <w:color w:val="0A0623"/>
      <w:sz w:val="18"/>
      <w:lang w:eastAsia="cs-CZ"/>
    </w:rPr>
  </w:style>
  <w:style w:type="numbering" w:customStyle="1" w:styleId="NoList1">
    <w:name w:val="No List1"/>
    <w:next w:val="Bezseznamu"/>
    <w:uiPriority w:val="99"/>
    <w:semiHidden/>
    <w:unhideWhenUsed/>
    <w:rsid w:val="00DA4E52"/>
  </w:style>
  <w:style w:type="table" w:customStyle="1" w:styleId="Deloittetable61">
    <w:name w:val="Deloitte table 61"/>
    <w:basedOn w:val="Normlntabulka"/>
    <w:rsid w:val="00DA4E52"/>
    <w:rPr>
      <w:rFonts w:ascii="Arial" w:hAnsi="Arial"/>
      <w:sz w:val="19"/>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paragraph" w:customStyle="1" w:styleId="CharChar2CharCharCharChar">
    <w:name w:val="Char Char2 Char Char Char Char"/>
    <w:basedOn w:val="Normln"/>
    <w:rsid w:val="00DA4E52"/>
    <w:pPr>
      <w:spacing w:after="0"/>
      <w:jc w:val="left"/>
    </w:pPr>
    <w:rPr>
      <w:rFonts w:ascii="Times New Roman" w:hAnsi="Times New Roman"/>
      <w:sz w:val="24"/>
      <w:lang w:eastAsia="cs-CZ"/>
    </w:rPr>
  </w:style>
  <w:style w:type="table" w:styleId="Mkatabulky8">
    <w:name w:val="Table Grid 8"/>
    <w:basedOn w:val="Normlntabulka"/>
    <w:rsid w:val="00DA4E52"/>
    <w:pPr>
      <w:spacing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Nadpis2Char1">
    <w:name w:val="Nadpis 2 Char1"/>
    <w:aliases w:val="h2 Char,Normal Heading 2 Char,LetHead2 Char,- 1 Char,2 Char,3 Char,H2 Char,Heading_eng 2 Char,Main header Char,Outline2 Char Char,HAA-Section Char Char,Sub Heading Char Char,ignorer2 Char Char,Nadpis_2 Char Char,adpis 2 Char Char,2m Char"/>
    <w:basedOn w:val="Standardnpsmoodstavce"/>
    <w:link w:val="Nadpis2"/>
    <w:rsid w:val="00E16AFF"/>
    <w:rPr>
      <w:rFonts w:ascii="Arial" w:hAnsi="Arial" w:cs="Arial"/>
      <w:b/>
      <w:iCs/>
      <w:color w:val="92D400" w:themeColor="accent2"/>
      <w:kern w:val="32"/>
      <w:sz w:val="24"/>
      <w:szCs w:val="24"/>
      <w:lang w:val="cs-CZ"/>
    </w:rPr>
  </w:style>
  <w:style w:type="table" w:styleId="Svtlseznamzvraznn2">
    <w:name w:val="Light List Accent 2"/>
    <w:basedOn w:val="Normlntabulka"/>
    <w:uiPriority w:val="61"/>
    <w:rsid w:val="00276CD5"/>
    <w:rPr>
      <w:rFonts w:asciiTheme="minorHAnsi" w:eastAsiaTheme="minorHAnsi" w:hAnsiTheme="minorHAnsi" w:cstheme="minorBidi"/>
      <w:sz w:val="22"/>
      <w:szCs w:val="22"/>
      <w:lang w:val="en-GB"/>
    </w:rPr>
    <w:tblPr>
      <w:tblStyleRowBandSize w:val="1"/>
      <w:tblStyleColBandSize w:val="1"/>
      <w:tblBorders>
        <w:top w:val="single" w:sz="8" w:space="0" w:color="92D400" w:themeColor="accent2"/>
        <w:left w:val="single" w:sz="8" w:space="0" w:color="92D400" w:themeColor="accent2"/>
        <w:bottom w:val="single" w:sz="8" w:space="0" w:color="92D400" w:themeColor="accent2"/>
        <w:right w:val="single" w:sz="8" w:space="0" w:color="92D400" w:themeColor="accent2"/>
      </w:tblBorders>
    </w:tblPr>
    <w:tblStylePr w:type="firstRow">
      <w:pPr>
        <w:spacing w:before="0" w:after="0" w:line="240" w:lineRule="auto"/>
      </w:pPr>
      <w:rPr>
        <w:b/>
        <w:bCs/>
        <w:color w:val="FFFFFF" w:themeColor="background1"/>
      </w:rPr>
      <w:tblPr/>
      <w:tcPr>
        <w:shd w:val="clear" w:color="auto" w:fill="92D400" w:themeFill="accent2"/>
      </w:tcPr>
    </w:tblStylePr>
    <w:tblStylePr w:type="lastRow">
      <w:pPr>
        <w:spacing w:before="0" w:after="0" w:line="240" w:lineRule="auto"/>
      </w:pPr>
      <w:rPr>
        <w:b/>
        <w:bCs/>
      </w:rPr>
      <w:tblPr/>
      <w:tcPr>
        <w:tcBorders>
          <w:top w:val="double" w:sz="6" w:space="0" w:color="92D400" w:themeColor="accent2"/>
          <w:left w:val="single" w:sz="8" w:space="0" w:color="92D400" w:themeColor="accent2"/>
          <w:bottom w:val="single" w:sz="8" w:space="0" w:color="92D400" w:themeColor="accent2"/>
          <w:right w:val="single" w:sz="8" w:space="0" w:color="92D400" w:themeColor="accent2"/>
        </w:tcBorders>
      </w:tcPr>
    </w:tblStylePr>
    <w:tblStylePr w:type="firstCol">
      <w:rPr>
        <w:b/>
        <w:bCs/>
      </w:rPr>
    </w:tblStylePr>
    <w:tblStylePr w:type="lastCol">
      <w:rPr>
        <w:b/>
        <w:bCs/>
      </w:rPr>
    </w:tblStylePr>
    <w:tblStylePr w:type="band1Vert">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tblStylePr w:type="band1Horz">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footnote text" w:uiPriority="99" w:qFormat="1"/>
    <w:lsdException w:name="header" w:uiPriority="99"/>
    <w:lsdException w:name="footer" w:uiPriority="99"/>
    <w:lsdException w:name="caption" w:qFormat="1"/>
    <w:lsdException w:name="table of figures" w:uiPriority="99"/>
    <w:lsdException w:name="footnote reference" w:uiPriority="99"/>
    <w:lsdException w:name="List Bullet" w:uiPriority="13"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nhideWhenUsed="0" w:qFormat="1"/>
    <w:lsdException w:name="Book Title" w:semiHidden="0" w:uiPriority="33" w:unhideWhenUsed="0"/>
    <w:lsdException w:name="Bibliography" w:uiPriority="37"/>
    <w:lsdException w:name="TOC Heading" w:uiPriority="39" w:qFormat="1"/>
  </w:latentStyles>
  <w:style w:type="paragraph" w:default="1" w:styleId="Normln">
    <w:name w:val="Normal"/>
    <w:qFormat/>
    <w:rsid w:val="00FE7909"/>
    <w:pPr>
      <w:spacing w:after="120"/>
      <w:jc w:val="both"/>
    </w:pPr>
    <w:rPr>
      <w:rFonts w:ascii="Arial" w:hAnsi="Arial"/>
      <w:sz w:val="19"/>
      <w:szCs w:val="24"/>
      <w:lang w:val="cs-CZ"/>
    </w:rPr>
  </w:style>
  <w:style w:type="paragraph" w:styleId="Nadpis1">
    <w:name w:val="heading 1"/>
    <w:aliases w:val="Deloitte Heading 1,Heading 1 Char1 Char,Heading 1 Char Char Char,h1 Char Char Char,H1 Char Char Char,1 Char1 Char Char,Naglówek 1 Char Char Char,Naglówek 11 Char Char Char,Heading 1 Char1 Char Char Char,Heading 1 Char Char Char Char Char,1 gho"/>
    <w:next w:val="Nadpis2"/>
    <w:link w:val="Nadpis1Char"/>
    <w:qFormat/>
    <w:rsid w:val="009C0FD7"/>
    <w:pPr>
      <w:keepNext/>
      <w:pageBreakBefore/>
      <w:numPr>
        <w:numId w:val="2"/>
      </w:numPr>
      <w:spacing w:after="800"/>
      <w:outlineLvl w:val="0"/>
    </w:pPr>
    <w:rPr>
      <w:rFonts w:ascii="Times New Roman Bold" w:hAnsi="Times New Roman Bold" w:cs="Arial"/>
      <w:bCs/>
      <w:color w:val="002776"/>
      <w:kern w:val="32"/>
      <w:sz w:val="60"/>
      <w:szCs w:val="32"/>
      <w:lang w:val="cs-CZ"/>
    </w:rPr>
  </w:style>
  <w:style w:type="paragraph" w:styleId="Nadpis2">
    <w:name w:val="heading 2"/>
    <w:aliases w:val="h2,Normal Heading 2,LetHead2,- 1,2,3,H2,Heading_eng 2,Main header,Outline2 Char,HAA-Section Char,Sub Heading Char,ignorer2 Char,Nadpis_2 Char,adpis 2 Char,Nadpis 2 úroveň Char,Outline2,HAA-Section,Sub Heading,ignorer2,Nadpis_2,2m,Nadpis 2 Char"/>
    <w:basedOn w:val="Nadpis1"/>
    <w:next w:val="Nadpis3"/>
    <w:link w:val="Nadpis2Char1"/>
    <w:qFormat/>
    <w:rsid w:val="00E421C0"/>
    <w:pPr>
      <w:pageBreakBefore w:val="0"/>
      <w:numPr>
        <w:ilvl w:val="1"/>
      </w:numPr>
      <w:spacing w:before="240" w:after="240"/>
      <w:outlineLvl w:val="1"/>
    </w:pPr>
    <w:rPr>
      <w:rFonts w:ascii="Arial" w:hAnsi="Arial"/>
      <w:b/>
      <w:bCs w:val="0"/>
      <w:iCs/>
      <w:color w:val="92D400" w:themeColor="accent2"/>
      <w:sz w:val="24"/>
      <w:szCs w:val="24"/>
    </w:rPr>
  </w:style>
  <w:style w:type="paragraph" w:styleId="Nadpis3">
    <w:name w:val="heading 3"/>
    <w:aliases w:val="h3,- 1),2),3),- 1.,2.,3.,H3,Heading,List 1,Nadpis_3_úroveň,Záhlaví 3,V_Head3,V_Head31,V_Head32,Podkapitola2,ASAPHeading 3,Sub Paragraph,Podkapitola21,Podkapitola podkapitoly základní kapitoly,PA Minor Section,Nadpis_3_úroveo,TRM 12 3,TRM 12 I"/>
    <w:basedOn w:val="Nadpis2"/>
    <w:next w:val="Normln"/>
    <w:link w:val="Nadpis3Char"/>
    <w:qFormat/>
    <w:rsid w:val="00E421C0"/>
    <w:pPr>
      <w:numPr>
        <w:ilvl w:val="2"/>
      </w:numPr>
      <w:outlineLvl w:val="2"/>
    </w:pPr>
    <w:rPr>
      <w:bCs/>
      <w:color w:val="3C8A2E" w:themeColor="accent5"/>
      <w:szCs w:val="26"/>
    </w:rPr>
  </w:style>
  <w:style w:type="paragraph" w:styleId="Nadpis4">
    <w:name w:val="heading 4"/>
    <w:aliases w:val="h4,H4,Ad.1),Ad 2),1),ASAPHeading 4,Sub Sub Paragraph,Podkapitola3,Podkapitola31,Odstavec 1,Odstavec 11,Odstavec 12,Odstavec 13,Odstavec 14,Odstavec 111,Odstavec 121,Odstavec 131,Odstavec 15,Odstavec 141,Odstavec 16,Odstavec 112,Odstavec 122,4"/>
    <w:basedOn w:val="Normln"/>
    <w:next w:val="Normln"/>
    <w:link w:val="Nadpis4Char"/>
    <w:unhideWhenUsed/>
    <w:qFormat/>
    <w:rsid w:val="0008794A"/>
    <w:pPr>
      <w:keepNext/>
      <w:keepLines/>
      <w:numPr>
        <w:ilvl w:val="3"/>
        <w:numId w:val="2"/>
      </w:numPr>
      <w:spacing w:before="240" w:after="240"/>
      <w:outlineLvl w:val="3"/>
    </w:pPr>
    <w:rPr>
      <w:rFonts w:eastAsiaTheme="majorEastAsia" w:cstheme="majorBidi"/>
      <w:b/>
      <w:bCs/>
      <w:iCs/>
      <w:sz w:val="24"/>
    </w:rPr>
  </w:style>
  <w:style w:type="paragraph" w:styleId="Nadpis5">
    <w:name w:val="heading 5"/>
    <w:aliases w:val="ASAPHeading 5,Heading 5   Appendix A to X,Appendix A to X,Heading 5   Appendix A to X1,Appendix A to X1,Heading 5   Appendix A to X2,Appendix A to X2,Heading 5   Appendix A to X11,Appendix A to X11,MUS5,Block Label,H5,5,Level 3 - i,h5,dash,ds"/>
    <w:basedOn w:val="Normln"/>
    <w:next w:val="Normln"/>
    <w:link w:val="Nadpis5Char"/>
    <w:unhideWhenUsed/>
    <w:qFormat/>
    <w:rsid w:val="0008794A"/>
    <w:pPr>
      <w:keepNext/>
      <w:keepLines/>
      <w:numPr>
        <w:ilvl w:val="4"/>
        <w:numId w:val="2"/>
      </w:numPr>
      <w:spacing w:before="240" w:after="240"/>
      <w:outlineLvl w:val="4"/>
    </w:pPr>
    <w:rPr>
      <w:rFonts w:eastAsiaTheme="majorEastAsia" w:cstheme="majorBidi"/>
      <w:b/>
      <w:i/>
      <w:color w:val="00133A" w:themeColor="accent1" w:themeShade="7F"/>
      <w:sz w:val="24"/>
    </w:rPr>
  </w:style>
  <w:style w:type="paragraph" w:styleId="Nadpis6">
    <w:name w:val="heading 6"/>
    <w:aliases w:val="ASAPHeading 6,Heading 6  Appendix Y &amp; Z,Heading 6  Appendix Y &amp; Z1,Heading 6  Appendix Y &amp; Z2,Heading 6  Appendix Y &amp; Z11,MUS6,H6,ASAPHeading 61,ASAPHeading 62,ASAPHeading 63,ASAPHeading 64,ASAPHeading 65,ASAPHeading 66,ASAPHeading 611,h6,l"/>
    <w:basedOn w:val="Normln"/>
    <w:next w:val="Normln"/>
    <w:link w:val="Nadpis6Char"/>
    <w:unhideWhenUsed/>
    <w:qFormat/>
    <w:rsid w:val="0008794A"/>
    <w:pPr>
      <w:keepNext/>
      <w:keepLines/>
      <w:numPr>
        <w:ilvl w:val="5"/>
        <w:numId w:val="2"/>
      </w:numPr>
      <w:spacing w:before="240" w:after="240"/>
      <w:ind w:left="1418" w:hanging="1418"/>
      <w:outlineLvl w:val="5"/>
    </w:pPr>
    <w:rPr>
      <w:rFonts w:eastAsiaTheme="majorEastAsia" w:cstheme="majorBidi"/>
      <w:i/>
      <w:iCs/>
      <w:color w:val="00133A" w:themeColor="accent1" w:themeShade="7F"/>
      <w:sz w:val="24"/>
    </w:rPr>
  </w:style>
  <w:style w:type="paragraph" w:styleId="Nadpis7">
    <w:name w:val="heading 7"/>
    <w:aliases w:val="ASAPHeading 7,MUS7,ASAPHeading 71,ASAPHeading 72,ASAPHeading 73,ASAPHeading 74,H7,letter list,lettered list,letter list1,lettered list1,letter list2,lettered list2,letter list11,lettered list11,letter list3,lettered list3,letter list12"/>
    <w:basedOn w:val="Normln"/>
    <w:next w:val="Normln"/>
    <w:link w:val="Nadpis7Char"/>
    <w:unhideWhenUsed/>
    <w:qFormat/>
    <w:rsid w:val="00E421C0"/>
    <w:pPr>
      <w:keepNext/>
      <w:keepLines/>
      <w:numPr>
        <w:ilvl w:val="6"/>
        <w:numId w:val="2"/>
      </w:numPr>
      <w:spacing w:before="240" w:after="240"/>
      <w:ind w:left="1576" w:hanging="1576"/>
      <w:outlineLvl w:val="6"/>
    </w:pPr>
    <w:rPr>
      <w:rFonts w:eastAsiaTheme="majorEastAsia" w:cstheme="majorBidi"/>
      <w:i/>
      <w:iCs/>
      <w:color w:val="404040" w:themeColor="text1" w:themeTint="BF"/>
      <w:sz w:val="22"/>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link w:val="Nadpis8Char"/>
    <w:unhideWhenUsed/>
    <w:qFormat/>
    <w:rsid w:val="00E421C0"/>
    <w:pPr>
      <w:keepNext/>
      <w:keepLines/>
      <w:numPr>
        <w:ilvl w:val="7"/>
        <w:numId w:val="2"/>
      </w:numPr>
      <w:spacing w:before="240" w:after="240"/>
      <w:ind w:left="1701" w:hanging="1701"/>
      <w:outlineLvl w:val="7"/>
    </w:pPr>
    <w:rPr>
      <w:rFonts w:eastAsiaTheme="majorEastAsia" w:cstheme="majorBidi"/>
      <w:i/>
      <w:color w:val="404040" w:themeColor="text1" w:themeTint="BF"/>
      <w:sz w:val="20"/>
      <w:szCs w:val="20"/>
    </w:rPr>
  </w:style>
  <w:style w:type="paragraph" w:styleId="Nadpis9">
    <w:name w:val="heading 9"/>
    <w:aliases w:val="h9,heading9,ASAPHeading 9,App Heading,MUS9,H9,(Bibliografia),progress,progress1,progress2,progress11,progress3,progress4,progress5,progress6,progress7,progress12,progress21,progress111,progress31,progress8,progress13,progress22,progress112"/>
    <w:basedOn w:val="Normln"/>
    <w:next w:val="Normln"/>
    <w:link w:val="Nadpis9Char"/>
    <w:unhideWhenUsed/>
    <w:qFormat/>
    <w:rsid w:val="00E421C0"/>
    <w:pPr>
      <w:keepNext/>
      <w:keepLines/>
      <w:numPr>
        <w:ilvl w:val="8"/>
        <w:numId w:val="2"/>
      </w:numPr>
      <w:spacing w:before="240" w:after="240"/>
      <w:ind w:left="1985" w:hanging="1985"/>
      <w:outlineLvl w:val="8"/>
    </w:pPr>
    <w:rPr>
      <w:rFonts w:eastAsiaTheme="majorEastAsia" w:cstheme="majorBidi"/>
      <w:i/>
      <w:iCs/>
      <w:color w:val="404040" w:themeColor="text1" w:themeTint="BF"/>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aliases w:val="Deloitte table 3"/>
    <w:basedOn w:val="Normlntabulka"/>
    <w:uiPriority w:val="39"/>
    <w:rsid w:val="00A40230"/>
    <w:rPr>
      <w:rFonts w:ascii="Arial" w:hAnsi="Arial"/>
      <w:sz w:val="19"/>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72C7E7"/>
      </w:tcPr>
    </w:tblStylePr>
    <w:tblStylePr w:type="firstCol">
      <w:rPr>
        <w:rFonts w:ascii="Arial" w:hAnsi="Arial"/>
        <w:sz w:val="19"/>
      </w:rPr>
    </w:tblStylePr>
  </w:style>
  <w:style w:type="paragraph" w:styleId="Zhlav">
    <w:name w:val="header"/>
    <w:basedOn w:val="Normln"/>
    <w:link w:val="ZhlavChar"/>
    <w:uiPriority w:val="99"/>
    <w:rsid w:val="00E421C0"/>
    <w:pPr>
      <w:tabs>
        <w:tab w:val="center" w:pos="4703"/>
        <w:tab w:val="right" w:pos="9406"/>
      </w:tabs>
    </w:pPr>
    <w:rPr>
      <w:sz w:val="16"/>
    </w:rPr>
  </w:style>
  <w:style w:type="paragraph" w:styleId="Zpat">
    <w:name w:val="footer"/>
    <w:basedOn w:val="Normln"/>
    <w:link w:val="ZpatChar"/>
    <w:uiPriority w:val="99"/>
    <w:rsid w:val="008C3FA4"/>
    <w:pPr>
      <w:tabs>
        <w:tab w:val="center" w:pos="4703"/>
        <w:tab w:val="right" w:pos="9406"/>
      </w:tabs>
    </w:pPr>
  </w:style>
  <w:style w:type="character" w:styleId="slostrnky">
    <w:name w:val="page number"/>
    <w:basedOn w:val="Standardnpsmoodstavce"/>
    <w:rsid w:val="00E421C0"/>
    <w:rPr>
      <w:rFonts w:ascii="Arial" w:hAnsi="Arial"/>
      <w:sz w:val="16"/>
    </w:rPr>
  </w:style>
  <w:style w:type="paragraph" w:styleId="Obsah1">
    <w:name w:val="toc 1"/>
    <w:basedOn w:val="Normln"/>
    <w:next w:val="Normln"/>
    <w:autoRedefine/>
    <w:uiPriority w:val="39"/>
    <w:qFormat/>
    <w:rsid w:val="00D34C27"/>
    <w:pPr>
      <w:spacing w:after="240"/>
      <w:ind w:left="720" w:hanging="720"/>
    </w:pPr>
    <w:rPr>
      <w:sz w:val="24"/>
    </w:rPr>
  </w:style>
  <w:style w:type="paragraph" w:styleId="Obsah2">
    <w:name w:val="toc 2"/>
    <w:basedOn w:val="Normln"/>
    <w:next w:val="Normln"/>
    <w:autoRedefine/>
    <w:uiPriority w:val="39"/>
    <w:rsid w:val="00D34C27"/>
    <w:pPr>
      <w:spacing w:after="240"/>
      <w:ind w:left="958" w:hanging="720"/>
    </w:pPr>
    <w:rPr>
      <w:sz w:val="24"/>
    </w:rPr>
  </w:style>
  <w:style w:type="paragraph" w:styleId="Obsah3">
    <w:name w:val="toc 3"/>
    <w:basedOn w:val="Normln"/>
    <w:next w:val="Normln"/>
    <w:autoRedefine/>
    <w:uiPriority w:val="39"/>
    <w:rsid w:val="00D34C27"/>
    <w:pPr>
      <w:spacing w:after="240"/>
      <w:ind w:left="1202" w:hanging="720"/>
    </w:pPr>
    <w:rPr>
      <w:sz w:val="24"/>
    </w:rPr>
  </w:style>
  <w:style w:type="character" w:styleId="Hypertextovodkaz">
    <w:name w:val="Hyperlink"/>
    <w:basedOn w:val="Standardnpsmoodstavce"/>
    <w:uiPriority w:val="99"/>
    <w:rsid w:val="00481E83"/>
    <w:rPr>
      <w:rFonts w:ascii="Arial" w:hAnsi="Arial"/>
      <w:color w:val="00A1DE" w:themeColor="accent3"/>
      <w:sz w:val="19"/>
      <w:u w:val="single"/>
    </w:rPr>
  </w:style>
  <w:style w:type="paragraph" w:styleId="Textbubliny">
    <w:name w:val="Balloon Text"/>
    <w:basedOn w:val="Normln"/>
    <w:link w:val="TextbublinyChar"/>
    <w:uiPriority w:val="99"/>
    <w:semiHidden/>
    <w:rsid w:val="00392FE4"/>
    <w:rPr>
      <w:rFonts w:ascii="Tahoma" w:hAnsi="Tahoma" w:cs="Tahoma"/>
      <w:sz w:val="16"/>
      <w:szCs w:val="16"/>
    </w:rPr>
  </w:style>
  <w:style w:type="character" w:customStyle="1" w:styleId="ZhlavChar">
    <w:name w:val="Záhlaví Char"/>
    <w:basedOn w:val="Standardnpsmoodstavce"/>
    <w:link w:val="Zhlav"/>
    <w:uiPriority w:val="99"/>
    <w:rsid w:val="00E421C0"/>
    <w:rPr>
      <w:rFonts w:ascii="Arial" w:hAnsi="Arial"/>
      <w:sz w:val="16"/>
      <w:szCs w:val="24"/>
    </w:rPr>
  </w:style>
  <w:style w:type="character" w:customStyle="1" w:styleId="ZpatChar">
    <w:name w:val="Zápatí Char"/>
    <w:basedOn w:val="Standardnpsmoodstavce"/>
    <w:link w:val="Zpat"/>
    <w:uiPriority w:val="99"/>
    <w:rsid w:val="004A531E"/>
    <w:rPr>
      <w:sz w:val="24"/>
      <w:szCs w:val="24"/>
    </w:rPr>
  </w:style>
  <w:style w:type="paragraph" w:customStyle="1" w:styleId="BodyText1">
    <w:name w:val="Body Text1"/>
    <w:link w:val="BodytextChar"/>
    <w:qFormat/>
    <w:rsid w:val="00E42491"/>
    <w:rPr>
      <w:rFonts w:ascii="Arial" w:hAnsi="Arial"/>
      <w:color w:val="000000"/>
      <w:sz w:val="19"/>
      <w:szCs w:val="48"/>
      <w:lang w:val="cs-CZ"/>
    </w:rPr>
  </w:style>
  <w:style w:type="paragraph" w:customStyle="1" w:styleId="Legalentity">
    <w:name w:val="Legal entity"/>
    <w:basedOn w:val="Normln"/>
    <w:rsid w:val="00075C1E"/>
    <w:pPr>
      <w:widowControl w:val="0"/>
      <w:suppressAutoHyphens/>
      <w:autoSpaceDE w:val="0"/>
      <w:autoSpaceDN w:val="0"/>
      <w:adjustRightInd w:val="0"/>
      <w:spacing w:after="90" w:line="180" w:lineRule="atLeast"/>
      <w:textAlignment w:val="center"/>
    </w:pPr>
    <w:rPr>
      <w:color w:val="000000"/>
      <w:sz w:val="15"/>
      <w:szCs w:val="20"/>
      <w:lang w:val="en-GB" w:eastAsia="en-GB"/>
    </w:rPr>
  </w:style>
  <w:style w:type="paragraph" w:customStyle="1" w:styleId="smlouvaheading1">
    <w:name w:val="smlouva heading 1"/>
    <w:next w:val="BodyText1"/>
    <w:qFormat/>
    <w:rsid w:val="00D74931"/>
    <w:pPr>
      <w:numPr>
        <w:numId w:val="4"/>
      </w:numPr>
      <w:tabs>
        <w:tab w:val="left" w:pos="357"/>
      </w:tabs>
      <w:spacing w:before="120" w:after="120"/>
      <w:ind w:left="357" w:hanging="357"/>
    </w:pPr>
    <w:rPr>
      <w:rFonts w:ascii="Arial" w:hAnsi="Arial"/>
      <w:b/>
      <w:noProof/>
      <w:color w:val="000000" w:themeColor="text1"/>
      <w:sz w:val="19"/>
      <w:szCs w:val="24"/>
      <w:lang w:val="cs-CZ"/>
    </w:rPr>
  </w:style>
  <w:style w:type="paragraph" w:customStyle="1" w:styleId="CaptionIntroductionparagraph">
    <w:name w:val="Caption Introduction paragraph"/>
    <w:qFormat/>
    <w:rsid w:val="00E0742A"/>
    <w:pPr>
      <w:spacing w:after="120"/>
    </w:pPr>
    <w:rPr>
      <w:rFonts w:ascii="Arial" w:hAnsi="Arial"/>
      <w:b/>
      <w:color w:val="00A1DE"/>
      <w:sz w:val="24"/>
      <w:szCs w:val="22"/>
      <w:lang w:val="cs-CZ"/>
    </w:rPr>
  </w:style>
  <w:style w:type="paragraph" w:customStyle="1" w:styleId="smlouvaheading2">
    <w:name w:val="smlouva heading 2"/>
    <w:basedOn w:val="CaptionIntroductionparagraph"/>
    <w:next w:val="BodyText1"/>
    <w:qFormat/>
    <w:rsid w:val="00D74931"/>
    <w:pPr>
      <w:numPr>
        <w:ilvl w:val="1"/>
        <w:numId w:val="4"/>
      </w:numPr>
      <w:tabs>
        <w:tab w:val="left" w:pos="567"/>
      </w:tabs>
      <w:ind w:left="567" w:hanging="567"/>
    </w:pPr>
    <w:rPr>
      <w:b w:val="0"/>
      <w:color w:val="000000" w:themeColor="text1"/>
      <w:sz w:val="19"/>
    </w:rPr>
  </w:style>
  <w:style w:type="paragraph" w:customStyle="1" w:styleId="smlouvaheading3">
    <w:name w:val="smlouva heading 3"/>
    <w:basedOn w:val="smlouvaheading2"/>
    <w:next w:val="BodyText1"/>
    <w:qFormat/>
    <w:rsid w:val="00D74931"/>
    <w:pPr>
      <w:numPr>
        <w:ilvl w:val="2"/>
      </w:numPr>
      <w:tabs>
        <w:tab w:val="clear" w:pos="567"/>
        <w:tab w:val="left" w:pos="794"/>
      </w:tabs>
      <w:ind w:left="794" w:hanging="794"/>
    </w:pPr>
  </w:style>
  <w:style w:type="paragraph" w:customStyle="1" w:styleId="smlouvaheading4">
    <w:name w:val="smlouva heading 4"/>
    <w:basedOn w:val="smlouvaheading3"/>
    <w:next w:val="BodyText1"/>
    <w:qFormat/>
    <w:rsid w:val="00D74931"/>
    <w:pPr>
      <w:numPr>
        <w:ilvl w:val="3"/>
      </w:numPr>
      <w:tabs>
        <w:tab w:val="clear" w:pos="794"/>
        <w:tab w:val="left" w:pos="1021"/>
      </w:tabs>
      <w:ind w:left="1021" w:hanging="1021"/>
    </w:pPr>
    <w:rPr>
      <w:color w:val="auto"/>
    </w:rPr>
  </w:style>
  <w:style w:type="paragraph" w:customStyle="1" w:styleId="smlouvabodytextbold">
    <w:name w:val="smlouva body text bold"/>
    <w:basedOn w:val="smlouvaheading4"/>
    <w:next w:val="BodyText1"/>
    <w:qFormat/>
    <w:rsid w:val="00F433F7"/>
    <w:pPr>
      <w:numPr>
        <w:ilvl w:val="0"/>
        <w:numId w:val="0"/>
      </w:numPr>
    </w:pPr>
    <w:rPr>
      <w:b/>
    </w:rPr>
  </w:style>
  <w:style w:type="paragraph" w:customStyle="1" w:styleId="Bodytextbold">
    <w:name w:val="Body text bold"/>
    <w:basedOn w:val="smlouvabodytextbold"/>
    <w:next w:val="BodyText1"/>
    <w:qFormat/>
    <w:rsid w:val="00075C1E"/>
    <w:pPr>
      <w:tabs>
        <w:tab w:val="clear" w:pos="1021"/>
        <w:tab w:val="left" w:pos="1134"/>
      </w:tabs>
    </w:pPr>
    <w:rPr>
      <w:color w:val="000000"/>
    </w:rPr>
  </w:style>
  <w:style w:type="character" w:customStyle="1" w:styleId="CaptionbodyChar">
    <w:name w:val="Caption body Char"/>
    <w:basedOn w:val="Standardnpsmoodstavce"/>
    <w:link w:val="Captionbody"/>
    <w:rsid w:val="005B4CAD"/>
    <w:rPr>
      <w:rFonts w:ascii="Arial" w:hAnsi="Arial"/>
      <w:color w:val="000000"/>
      <w:sz w:val="18"/>
    </w:rPr>
  </w:style>
  <w:style w:type="paragraph" w:customStyle="1" w:styleId="Captionbody">
    <w:name w:val="Caption body"/>
    <w:link w:val="CaptionbodyChar"/>
    <w:rsid w:val="005B4CAD"/>
    <w:rPr>
      <w:rFonts w:ascii="Arial" w:hAnsi="Arial"/>
      <w:color w:val="000000"/>
      <w:sz w:val="18"/>
    </w:rPr>
  </w:style>
  <w:style w:type="paragraph" w:customStyle="1" w:styleId="Captionheading">
    <w:name w:val="Caption heading"/>
    <w:basedOn w:val="Captionbody"/>
    <w:qFormat/>
    <w:rsid w:val="005B4CAD"/>
    <w:rPr>
      <w:b/>
    </w:rPr>
  </w:style>
  <w:style w:type="paragraph" w:customStyle="1" w:styleId="smlouvabodytext">
    <w:name w:val="smlouva body text"/>
    <w:basedOn w:val="Normln"/>
    <w:rsid w:val="00F433F7"/>
    <w:rPr>
      <w:rFonts w:eastAsia="Times"/>
      <w:noProof/>
    </w:rPr>
  </w:style>
  <w:style w:type="paragraph" w:customStyle="1" w:styleId="Bulletslevel1">
    <w:name w:val="Bullets level 1"/>
    <w:basedOn w:val="Normln"/>
    <w:link w:val="Bulletslevel1Char"/>
    <w:qFormat/>
    <w:rsid w:val="00075C1E"/>
    <w:pPr>
      <w:numPr>
        <w:numId w:val="1"/>
      </w:numPr>
      <w:spacing w:before="120"/>
      <w:ind w:left="360"/>
    </w:pPr>
    <w:rPr>
      <w:rFonts w:eastAsia="Times"/>
      <w:color w:val="000000"/>
      <w:szCs w:val="20"/>
      <w:lang w:val="en-GB"/>
    </w:rPr>
  </w:style>
  <w:style w:type="character" w:customStyle="1" w:styleId="Bulletslevel1Char">
    <w:name w:val="Bullets level 1 Char"/>
    <w:basedOn w:val="Standardnpsmoodstavce"/>
    <w:link w:val="Bulletslevel1"/>
    <w:rsid w:val="001C2EF4"/>
    <w:rPr>
      <w:rFonts w:ascii="Arial" w:eastAsia="Times" w:hAnsi="Arial"/>
      <w:color w:val="000000"/>
      <w:sz w:val="19"/>
      <w:lang w:val="en-GB"/>
    </w:rPr>
  </w:style>
  <w:style w:type="paragraph" w:customStyle="1" w:styleId="Bulletslevel2">
    <w:name w:val="Bullets level 2"/>
    <w:basedOn w:val="Normln"/>
    <w:link w:val="Bulletslevel2Char"/>
    <w:qFormat/>
    <w:rsid w:val="00DC6C4A"/>
    <w:pPr>
      <w:numPr>
        <w:numId w:val="3"/>
      </w:numPr>
      <w:tabs>
        <w:tab w:val="left" w:pos="567"/>
      </w:tabs>
      <w:spacing w:before="120"/>
    </w:pPr>
    <w:rPr>
      <w:rFonts w:eastAsia="Times"/>
      <w:color w:val="000000"/>
      <w:szCs w:val="20"/>
      <w:lang w:val="en-GB"/>
    </w:rPr>
  </w:style>
  <w:style w:type="character" w:customStyle="1" w:styleId="Bulletslevel2Char">
    <w:name w:val="Bullets level 2 Char"/>
    <w:basedOn w:val="Bulletslevel1Char"/>
    <w:link w:val="Bulletslevel2"/>
    <w:rsid w:val="00DC6C4A"/>
    <w:rPr>
      <w:rFonts w:ascii="Arial" w:eastAsia="Times" w:hAnsi="Arial"/>
      <w:color w:val="000000"/>
      <w:sz w:val="19"/>
      <w:lang w:val="en-GB"/>
    </w:rPr>
  </w:style>
  <w:style w:type="paragraph" w:customStyle="1" w:styleId="PulloutQuote">
    <w:name w:val="Pullout Quote"/>
    <w:rsid w:val="00095956"/>
    <w:pPr>
      <w:pBdr>
        <w:top w:val="single" w:sz="4" w:space="4" w:color="00A1DE"/>
      </w:pBdr>
      <w:suppressAutoHyphens/>
      <w:spacing w:line="320" w:lineRule="exact"/>
    </w:pPr>
    <w:rPr>
      <w:rFonts w:eastAsia="Times"/>
      <w:color w:val="00A1DE"/>
      <w:sz w:val="32"/>
      <w:lang w:val="en-GB"/>
    </w:rPr>
  </w:style>
  <w:style w:type="paragraph" w:customStyle="1" w:styleId="Highlight1">
    <w:name w:val="Highlight 1"/>
    <w:basedOn w:val="Obsah1"/>
    <w:qFormat/>
    <w:rsid w:val="001D663A"/>
    <w:pPr>
      <w:tabs>
        <w:tab w:val="left" w:pos="482"/>
        <w:tab w:val="right" w:leader="dot" w:pos="9061"/>
      </w:tabs>
      <w:spacing w:before="120" w:after="120"/>
    </w:pPr>
    <w:rPr>
      <w:b/>
      <w:color w:val="3C8A2E" w:themeColor="accent5"/>
      <w:sz w:val="20"/>
    </w:rPr>
  </w:style>
  <w:style w:type="paragraph" w:customStyle="1" w:styleId="Highlight2">
    <w:name w:val="Highlight 2"/>
    <w:basedOn w:val="Normln"/>
    <w:qFormat/>
    <w:rsid w:val="00D34C27"/>
    <w:rPr>
      <w:b/>
      <w:color w:val="92D400" w:themeColor="accent2"/>
      <w:sz w:val="20"/>
    </w:rPr>
  </w:style>
  <w:style w:type="table" w:customStyle="1" w:styleId="Deloittetable1">
    <w:name w:val="Deloitte table 1"/>
    <w:basedOn w:val="Normlntabulka"/>
    <w:rsid w:val="00A40230"/>
    <w:rPr>
      <w:rFonts w:ascii="Arial" w:hAnsi="Arial"/>
      <w:sz w:val="19"/>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styleId="Obsah4">
    <w:name w:val="toc 4"/>
    <w:basedOn w:val="Normln"/>
    <w:next w:val="Normln"/>
    <w:autoRedefine/>
    <w:uiPriority w:val="39"/>
    <w:rsid w:val="00CB0293"/>
    <w:pPr>
      <w:spacing w:after="240"/>
      <w:ind w:left="720"/>
    </w:pPr>
  </w:style>
  <w:style w:type="table" w:customStyle="1" w:styleId="Deloittetable2">
    <w:name w:val="Deloitte table 2"/>
    <w:basedOn w:val="Normlntabulka"/>
    <w:rsid w:val="00A40230"/>
    <w:rPr>
      <w:rFonts w:ascii="Arial" w:hAnsi="Arial"/>
      <w:sz w:val="19"/>
    </w:rPr>
    <w:tblPr>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00A1DE"/>
      </w:tcPr>
    </w:tblStylePr>
    <w:tblStylePr w:type="firstCol">
      <w:rPr>
        <w:rFonts w:ascii="Arial" w:hAnsi="Arial"/>
        <w:sz w:val="19"/>
      </w:rPr>
    </w:tblStylePr>
  </w:style>
  <w:style w:type="table" w:styleId="Tabulkasprostorovmiefekty1">
    <w:name w:val="Table 3D effects 1"/>
    <w:basedOn w:val="Normlntabulka"/>
    <w:rsid w:val="00CE00B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basedOn w:val="Normlntabulka"/>
    <w:rsid w:val="00A40230"/>
    <w:rPr>
      <w:rFonts w:ascii="Arial" w:hAnsi="Arial"/>
      <w:sz w:val="19"/>
    </w:rPr>
    <w:tblPr>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b/>
        <w:color w:val="FFFFFF"/>
        <w:sz w:val="19"/>
      </w:rPr>
      <w:tblPr/>
      <w:tcPr>
        <w:shd w:val="clear" w:color="auto" w:fill="3C8A2E"/>
      </w:tcPr>
    </w:tblStylePr>
    <w:tblStylePr w:type="firstCol">
      <w:rPr>
        <w:rFonts w:ascii="Arial" w:hAnsi="Arial"/>
        <w:sz w:val="19"/>
      </w:rPr>
      <w:tblPr>
        <w:tblCellMar>
          <w:top w:w="28" w:type="dxa"/>
          <w:left w:w="28" w:type="dxa"/>
          <w:bottom w:w="28" w:type="dxa"/>
          <w:right w:w="28" w:type="dxa"/>
        </w:tblCellMar>
      </w:tblPr>
    </w:tblStylePr>
  </w:style>
  <w:style w:type="table" w:customStyle="1" w:styleId="Deloittetable5">
    <w:name w:val="Deloitte table 5"/>
    <w:basedOn w:val="Normlntabulka"/>
    <w:rsid w:val="00A40230"/>
    <w:rPr>
      <w:rFonts w:ascii="Arial" w:hAnsi="Arial"/>
      <w:sz w:val="19"/>
    </w:rPr>
    <w:tblPr>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b/>
        <w:color w:val="000000"/>
        <w:sz w:val="19"/>
      </w:rPr>
      <w:tblPr/>
      <w:tcPr>
        <w:shd w:val="clear" w:color="auto" w:fill="C9DD03"/>
      </w:tcPr>
    </w:tblStylePr>
    <w:tblStylePr w:type="firstCol">
      <w:pPr>
        <w:wordWrap/>
        <w:spacing w:beforeLines="0" w:beforeAutospacing="0" w:afterLines="0" w:afterAutospacing="0" w:line="240" w:lineRule="auto"/>
      </w:pPr>
      <w:rPr>
        <w:rFonts w:ascii="Arial" w:hAnsi="Arial"/>
        <w:sz w:val="19"/>
      </w:rPr>
    </w:tblStylePr>
  </w:style>
  <w:style w:type="table" w:customStyle="1" w:styleId="Style1">
    <w:name w:val="Style1"/>
    <w:basedOn w:val="Normlntabulka"/>
    <w:rsid w:val="00CE00BE"/>
    <w:rPr>
      <w:rFonts w:ascii="Arial" w:hAnsi="Arial"/>
      <w:sz w:val="19"/>
    </w:rPr>
    <w:tblPr/>
  </w:style>
  <w:style w:type="table" w:customStyle="1" w:styleId="Deloittetable6">
    <w:name w:val="Deloitte table 6"/>
    <w:basedOn w:val="Normlntabulka"/>
    <w:rsid w:val="00A40230"/>
    <w:rPr>
      <w:rFonts w:ascii="Arial" w:hAnsi="Arial"/>
      <w:sz w:val="19"/>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themeColor="background2"/>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table" w:customStyle="1" w:styleId="Deloittetable7">
    <w:name w:val="Deloitte table 7"/>
    <w:basedOn w:val="Normlntabulka"/>
    <w:rsid w:val="00A40230"/>
    <w:rPr>
      <w:rFonts w:ascii="Arial" w:hAnsi="Arial"/>
      <w:sz w:val="19"/>
    </w:rPr>
    <w:tblPr>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2D6823"/>
      </w:tcPr>
    </w:tblStylePr>
    <w:tblStylePr w:type="firstCol">
      <w:pPr>
        <w:wordWrap/>
        <w:spacing w:beforeLines="0" w:beforeAutospacing="0" w:afterLines="0" w:afterAutospacing="0" w:line="240" w:lineRule="auto"/>
      </w:pPr>
      <w:rPr>
        <w:rFonts w:ascii="Arial" w:hAnsi="Arial"/>
        <w:sz w:val="19"/>
      </w:rPr>
    </w:tblStylePr>
  </w:style>
  <w:style w:type="table" w:styleId="Tabulkasprostorovmiefekty3">
    <w:name w:val="Table 3D effects 3"/>
    <w:basedOn w:val="Normlntabulka"/>
    <w:rsid w:val="00CE00B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8">
    <w:name w:val="Deloitte table 8"/>
    <w:basedOn w:val="Normlntabulka"/>
    <w:rsid w:val="006F2C90"/>
    <w:pPr>
      <w:contextualSpacing/>
    </w:pPr>
    <w:rPr>
      <w:rFonts w:ascii="Arial" w:hAnsi="Arial"/>
      <w:sz w:val="19"/>
    </w:rPr>
    <w:tblPr>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2D6823"/>
      </w:tcPr>
    </w:tblStylePr>
  </w:style>
  <w:style w:type="table" w:customStyle="1" w:styleId="Deloittetable81">
    <w:name w:val="Deloitte table 8.1"/>
    <w:basedOn w:val="Normlntabulka"/>
    <w:rsid w:val="006F2C90"/>
    <w:rPr>
      <w:rFonts w:ascii="Arial" w:hAnsi="Arial"/>
      <w:sz w:val="19"/>
    </w:rPr>
    <w:tblPr>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noWrap/>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92D400"/>
      </w:tcPr>
    </w:tblStylePr>
  </w:style>
  <w:style w:type="table" w:customStyle="1" w:styleId="Deloittetable82">
    <w:name w:val="Deloitte table 8.2"/>
    <w:basedOn w:val="Normlntabulka"/>
    <w:rsid w:val="006F6C05"/>
    <w:rPr>
      <w:rFonts w:ascii="Arial" w:hAnsi="Arial"/>
      <w:sz w:val="19"/>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customStyle="1" w:styleId="Deloittetable83">
    <w:name w:val="Deloitte table 8.3"/>
    <w:basedOn w:val="Normlntabulka"/>
    <w:rsid w:val="006F6C05"/>
    <w:rPr>
      <w:rFonts w:ascii="Arial" w:hAnsi="Arial"/>
      <w:sz w:val="19"/>
    </w:rPr>
    <w:tblPr>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rPr>
        <w:rFonts w:ascii="Arial" w:hAnsi="Arial"/>
        <w:b/>
        <w:sz w:val="19"/>
      </w:rPr>
      <w:tblPr/>
      <w:tcPr>
        <w:shd w:val="clear" w:color="auto" w:fill="72C7E7"/>
      </w:tcPr>
    </w:tblStylePr>
  </w:style>
  <w:style w:type="table" w:customStyle="1" w:styleId="Deloittetable84">
    <w:name w:val="Deloitte table 8.4"/>
    <w:basedOn w:val="Normlntabulka"/>
    <w:rsid w:val="006F6C05"/>
    <w:rPr>
      <w:rFonts w:ascii="Arial" w:hAnsi="Arial"/>
      <w:sz w:val="19"/>
    </w:rPr>
    <w:tblPr>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beforeAutospacing="0" w:afterLines="0" w:afterAutospacing="0" w:line="240" w:lineRule="auto"/>
      </w:pPr>
      <w:rPr>
        <w:rFonts w:ascii="Arial" w:hAnsi="Arial"/>
        <w:sz w:val="19"/>
      </w:rPr>
    </w:tblStylePr>
    <w:tblStylePr w:type="firstCol">
      <w:rPr>
        <w:rFonts w:ascii="Arial" w:hAnsi="Arial"/>
        <w:b/>
        <w:color w:val="FFFFFF"/>
        <w:sz w:val="19"/>
      </w:rPr>
      <w:tblPr/>
      <w:tcPr>
        <w:shd w:val="clear" w:color="auto" w:fill="3C8A2E"/>
      </w:tcPr>
    </w:tblStylePr>
  </w:style>
  <w:style w:type="table" w:customStyle="1" w:styleId="Deloittetable85">
    <w:name w:val="Deloitte table 8.5"/>
    <w:basedOn w:val="Normlntabulka"/>
    <w:rsid w:val="006F6C05"/>
    <w:rPr>
      <w:rFonts w:ascii="Arial" w:hAnsi="Arial"/>
      <w:sz w:val="19"/>
    </w:rPr>
    <w:tblPr>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sz w:val="19"/>
      </w:rPr>
      <w:tblPr/>
      <w:tcPr>
        <w:shd w:val="clear" w:color="auto" w:fill="C9DD03"/>
      </w:tcPr>
    </w:tblStylePr>
  </w:style>
  <w:style w:type="table" w:customStyle="1" w:styleId="Deloittetable86">
    <w:name w:val="Deloitte table 8.6"/>
    <w:basedOn w:val="Normlntabulka"/>
    <w:rsid w:val="006F6C05"/>
    <w:rPr>
      <w:rFonts w:ascii="Arial" w:hAnsi="Arial"/>
      <w:sz w:val="19"/>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styleId="Sloupcetabulky3">
    <w:name w:val="Table Columns 3"/>
    <w:basedOn w:val="Normlntabulka"/>
    <w:rsid w:val="00FE07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Barevnseznamzvraznn4">
    <w:name w:val="Colorful List Accent 4"/>
    <w:basedOn w:val="Normlntabulka"/>
    <w:uiPriority w:val="72"/>
    <w:rsid w:val="00FE07E4"/>
    <w:rPr>
      <w:color w:val="000000"/>
    </w:rPr>
    <w:tblPr>
      <w:tblStyleRowBandSize w:val="1"/>
      <w:tblStyleColBandSize w:val="1"/>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styleId="Stednmka2zvraznn4">
    <w:name w:val="Medium Grid 2 Accent 4"/>
    <w:basedOn w:val="Normlntabulka"/>
    <w:uiPriority w:val="68"/>
    <w:rsid w:val="00FE07E4"/>
    <w:rPr>
      <w:rFonts w:ascii="Arial" w:hAnsi="Arial"/>
      <w:color w:val="000000"/>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character" w:customStyle="1" w:styleId="Nadpis4Char">
    <w:name w:val="Nadpis 4 Char"/>
    <w:aliases w:val="h4 Char,H4 Char,Ad.1) Char,Ad 2) Char,1) Char,ASAPHeading 4 Char,Sub Sub Paragraph Char,Podkapitola3 Char,Podkapitola31 Char,Odstavec 1 Char,Odstavec 11 Char,Odstavec 12 Char,Odstavec 13 Char,Odstavec 14 Char,Odstavec 111 Char,4 Char"/>
    <w:basedOn w:val="Standardnpsmoodstavce"/>
    <w:link w:val="Nadpis4"/>
    <w:rsid w:val="0008794A"/>
    <w:rPr>
      <w:rFonts w:ascii="Arial" w:eastAsiaTheme="majorEastAsia" w:hAnsi="Arial" w:cstheme="majorBidi"/>
      <w:b/>
      <w:bCs/>
      <w:iCs/>
      <w:sz w:val="24"/>
      <w:szCs w:val="24"/>
      <w:lang w:val="cs-CZ"/>
    </w:rPr>
  </w:style>
  <w:style w:type="character" w:customStyle="1" w:styleId="Nadpis5Char">
    <w:name w:val="Nadpis 5 Char"/>
    <w:aliases w:val="ASAPHeading 5 Char,Heading 5   Appendix A to X Char,Appendix A to X Char,Heading 5   Appendix A to X1 Char,Appendix A to X1 Char,Heading 5   Appendix A to X2 Char,Appendix A to X2 Char,Heading 5   Appendix A to X11 Char,MUS5 Char,H5 Char"/>
    <w:basedOn w:val="Standardnpsmoodstavce"/>
    <w:link w:val="Nadpis5"/>
    <w:rsid w:val="0008794A"/>
    <w:rPr>
      <w:rFonts w:ascii="Arial" w:eastAsiaTheme="majorEastAsia" w:hAnsi="Arial" w:cstheme="majorBidi"/>
      <w:b/>
      <w:i/>
      <w:color w:val="00133A" w:themeColor="accent1" w:themeShade="7F"/>
      <w:sz w:val="24"/>
      <w:szCs w:val="24"/>
      <w:lang w:val="cs-CZ"/>
    </w:rPr>
  </w:style>
  <w:style w:type="character" w:customStyle="1" w:styleId="Nadpis6Char">
    <w:name w:val="Nadpis 6 Char"/>
    <w:aliases w:val="ASAPHeading 6 Char,Heading 6  Appendix Y &amp; Z Char,Heading 6  Appendix Y &amp; Z1 Char,Heading 6  Appendix Y &amp; Z2 Char,Heading 6  Appendix Y &amp; Z11 Char,MUS6 Char,H6 Char,ASAPHeading 61 Char,ASAPHeading 62 Char,ASAPHeading 63 Char,h6 Char,l Char"/>
    <w:basedOn w:val="Standardnpsmoodstavce"/>
    <w:link w:val="Nadpis6"/>
    <w:rsid w:val="0008794A"/>
    <w:rPr>
      <w:rFonts w:ascii="Arial" w:eastAsiaTheme="majorEastAsia" w:hAnsi="Arial" w:cstheme="majorBidi"/>
      <w:i/>
      <w:iCs/>
      <w:color w:val="00133A" w:themeColor="accent1" w:themeShade="7F"/>
      <w:sz w:val="24"/>
      <w:szCs w:val="24"/>
      <w:lang w:val="cs-CZ"/>
    </w:rPr>
  </w:style>
  <w:style w:type="character" w:customStyle="1" w:styleId="Nadpis7Char">
    <w:name w:val="Nadpis 7 Char"/>
    <w:aliases w:val="ASAPHeading 7 Char,MUS7 Char,ASAPHeading 71 Char,ASAPHeading 72 Char,ASAPHeading 73 Char,ASAPHeading 74 Char,H7 Char,letter list Char,lettered list Char,letter list1 Char,lettered list1 Char,letter list2 Char,lettered list2 Char"/>
    <w:basedOn w:val="Standardnpsmoodstavce"/>
    <w:link w:val="Nadpis7"/>
    <w:rsid w:val="00E421C0"/>
    <w:rPr>
      <w:rFonts w:ascii="Arial" w:eastAsiaTheme="majorEastAsia" w:hAnsi="Arial" w:cstheme="majorBidi"/>
      <w:i/>
      <w:iCs/>
      <w:color w:val="404040" w:themeColor="text1" w:themeTint="BF"/>
      <w:sz w:val="22"/>
      <w:szCs w:val="24"/>
      <w:lang w:val="cs-CZ"/>
    </w:rPr>
  </w:style>
  <w:style w:type="character" w:customStyle="1" w:styleId="Nadpis8Char">
    <w:name w:val="Nadpis 8 Char"/>
    <w:aliases w:val="ASAPHeading 8 Char,MUS8 Char,H8 Char,(Appendici) Char,action Char,action1 Char,action2 Char,action11 Char,action3 Char,action4 Char,action5 Char,action6 Char,action7 Char,action12 Char,action21 Char,action111 Char,action31 Char"/>
    <w:basedOn w:val="Standardnpsmoodstavce"/>
    <w:link w:val="Nadpis8"/>
    <w:rsid w:val="00E421C0"/>
    <w:rPr>
      <w:rFonts w:ascii="Arial" w:eastAsiaTheme="majorEastAsia" w:hAnsi="Arial" w:cstheme="majorBidi"/>
      <w:i/>
      <w:color w:val="404040" w:themeColor="text1" w:themeTint="BF"/>
      <w:lang w:val="cs-CZ"/>
    </w:rPr>
  </w:style>
  <w:style w:type="character" w:customStyle="1" w:styleId="Nadpis9Char">
    <w:name w:val="Nadpis 9 Char"/>
    <w:aliases w:val="h9 Char,heading9 Char,ASAPHeading 9 Char,App Heading Char,MUS9 Char,H9 Char,(Bibliografia) Char,progress Char,progress1 Char,progress2 Char,progress11 Char,progress3 Char,progress4 Char,progress5 Char,progress6 Char,progress7 Char"/>
    <w:basedOn w:val="Standardnpsmoodstavce"/>
    <w:link w:val="Nadpis9"/>
    <w:rsid w:val="00E421C0"/>
    <w:rPr>
      <w:rFonts w:ascii="Arial" w:eastAsiaTheme="majorEastAsia" w:hAnsi="Arial" w:cstheme="majorBidi"/>
      <w:i/>
      <w:iCs/>
      <w:color w:val="404040" w:themeColor="text1" w:themeTint="BF"/>
      <w:sz w:val="18"/>
      <w:lang w:val="cs-CZ"/>
    </w:rPr>
  </w:style>
  <w:style w:type="paragraph" w:styleId="Obsah5">
    <w:name w:val="toc 5"/>
    <w:basedOn w:val="Normln"/>
    <w:next w:val="Normln"/>
    <w:autoRedefine/>
    <w:uiPriority w:val="39"/>
    <w:rsid w:val="00210E5E"/>
    <w:pPr>
      <w:spacing w:after="100"/>
      <w:ind w:left="960"/>
    </w:pPr>
  </w:style>
  <w:style w:type="character" w:styleId="Znakapoznpodarou">
    <w:name w:val="footnote reference"/>
    <w:aliases w:val="Überschrift 4 Zchn1,Título 4 Car Zchn,Heading 4 Char1 Car Zchn,no vale 2 Zchn,no vale 2 Car Zchn,PGI Fußnote Ziffer,BVI fnr,Footnote symbol,Footnote Reference Superscript,Appel note de bas de p,Appel note de bas de page,Légende"/>
    <w:basedOn w:val="Standardnpsmoodstavce"/>
    <w:uiPriority w:val="99"/>
    <w:rsid w:val="00E421C0"/>
    <w:rPr>
      <w:rFonts w:ascii="Arial" w:hAnsi="Arial"/>
      <w:sz w:val="16"/>
      <w:vertAlign w:val="superscript"/>
    </w:rPr>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 Char1,fn"/>
    <w:basedOn w:val="Normln"/>
    <w:link w:val="TextpoznpodarouChar"/>
    <w:uiPriority w:val="99"/>
    <w:qFormat/>
    <w:rsid w:val="00E421C0"/>
    <w:rPr>
      <w:sz w:val="16"/>
      <w:szCs w:val="20"/>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uiPriority w:val="99"/>
    <w:rsid w:val="00E421C0"/>
    <w:rPr>
      <w:rFonts w:ascii="Arial" w:hAnsi="Arial"/>
      <w:sz w:val="16"/>
    </w:rPr>
  </w:style>
  <w:style w:type="paragraph" w:customStyle="1" w:styleId="Highlight3">
    <w:name w:val="Highlight 3"/>
    <w:basedOn w:val="Highlight2"/>
    <w:qFormat/>
    <w:rsid w:val="00D34C27"/>
    <w:rPr>
      <w:color w:val="00A1DE" w:themeColor="accent3"/>
    </w:rPr>
  </w:style>
  <w:style w:type="paragraph" w:customStyle="1" w:styleId="Style10ptDarkBlueBefore5ptAfter5pt">
    <w:name w:val="Style 10 pt Dark Blue Before:  5 pt After:  5 pt"/>
    <w:basedOn w:val="Normln"/>
    <w:rsid w:val="00C735E2"/>
    <w:rPr>
      <w:rFonts w:ascii="Times New Roman" w:hAnsi="Times New Roman"/>
      <w:color w:val="000080"/>
      <w:sz w:val="20"/>
      <w:szCs w:val="20"/>
    </w:rPr>
  </w:style>
  <w:style w:type="paragraph" w:styleId="Odstavecseseznamem">
    <w:name w:val="List Paragraph"/>
    <w:aliases w:val="Odstavec cíl se seznamem,Odstavec se seznamem1,Nad,Odstavec se seznamem5"/>
    <w:basedOn w:val="Normln"/>
    <w:link w:val="OdstavecseseznamemChar"/>
    <w:uiPriority w:val="34"/>
    <w:qFormat/>
    <w:rsid w:val="003A7264"/>
    <w:pPr>
      <w:ind w:left="720"/>
      <w:contextualSpacing/>
    </w:pPr>
  </w:style>
  <w:style w:type="character" w:styleId="Odkaznakoment">
    <w:name w:val="annotation reference"/>
    <w:basedOn w:val="Standardnpsmoodstavce"/>
    <w:rsid w:val="005C5D09"/>
    <w:rPr>
      <w:sz w:val="16"/>
      <w:szCs w:val="16"/>
    </w:rPr>
  </w:style>
  <w:style w:type="paragraph" w:styleId="Textkomente">
    <w:name w:val="annotation text"/>
    <w:basedOn w:val="Normln"/>
    <w:link w:val="TextkomenteChar"/>
    <w:rsid w:val="005C5D09"/>
    <w:rPr>
      <w:sz w:val="20"/>
      <w:szCs w:val="20"/>
    </w:rPr>
  </w:style>
  <w:style w:type="character" w:customStyle="1" w:styleId="TextkomenteChar">
    <w:name w:val="Text komentáře Char"/>
    <w:basedOn w:val="Standardnpsmoodstavce"/>
    <w:link w:val="Textkomente"/>
    <w:rsid w:val="005C5D09"/>
    <w:rPr>
      <w:rFonts w:ascii="Arial" w:hAnsi="Arial"/>
      <w:lang w:val="cs-CZ"/>
    </w:rPr>
  </w:style>
  <w:style w:type="paragraph" w:styleId="Pedmtkomente">
    <w:name w:val="annotation subject"/>
    <w:basedOn w:val="Textkomente"/>
    <w:next w:val="Textkomente"/>
    <w:link w:val="PedmtkomenteChar"/>
    <w:rsid w:val="005C5D09"/>
    <w:rPr>
      <w:b/>
      <w:bCs/>
    </w:rPr>
  </w:style>
  <w:style w:type="character" w:customStyle="1" w:styleId="PedmtkomenteChar">
    <w:name w:val="Předmět komentáře Char"/>
    <w:basedOn w:val="TextkomenteChar"/>
    <w:link w:val="Pedmtkomente"/>
    <w:rsid w:val="005C5D09"/>
    <w:rPr>
      <w:rFonts w:ascii="Arial" w:hAnsi="Arial"/>
      <w:b/>
      <w:bCs/>
      <w:lang w:val="cs-CZ"/>
    </w:rPr>
  </w:style>
  <w:style w:type="paragraph" w:styleId="Revize">
    <w:name w:val="Revision"/>
    <w:hidden/>
    <w:uiPriority w:val="99"/>
    <w:semiHidden/>
    <w:rsid w:val="00237A98"/>
    <w:rPr>
      <w:rFonts w:ascii="Arial" w:hAnsi="Arial"/>
      <w:sz w:val="19"/>
      <w:szCs w:val="24"/>
      <w:lang w:val="cs-CZ"/>
    </w:rPr>
  </w:style>
  <w:style w:type="paragraph" w:customStyle="1" w:styleId="normalnsodrkami">
    <w:name w:val="normalní s odrážkami"/>
    <w:basedOn w:val="Normln"/>
    <w:rsid w:val="00D31571"/>
    <w:pPr>
      <w:numPr>
        <w:numId w:val="5"/>
      </w:numPr>
    </w:pPr>
    <w:rPr>
      <w:sz w:val="20"/>
      <w:lang w:eastAsia="cs-CZ"/>
    </w:rPr>
  </w:style>
  <w:style w:type="character" w:customStyle="1" w:styleId="BodytextChar">
    <w:name w:val="Body text Char"/>
    <w:link w:val="BodyText1"/>
    <w:rsid w:val="000979ED"/>
    <w:rPr>
      <w:rFonts w:ascii="Arial" w:hAnsi="Arial"/>
      <w:color w:val="000000"/>
      <w:sz w:val="19"/>
      <w:szCs w:val="48"/>
      <w:lang w:val="cs-CZ"/>
    </w:rPr>
  </w:style>
  <w:style w:type="character" w:customStyle="1" w:styleId="OdstavecseseznamemChar">
    <w:name w:val="Odstavec se seznamem Char"/>
    <w:aliases w:val="Odstavec cíl se seznamem Char,Odstavec se seznamem1 Char,Nad Char,Odstavec se seznamem5 Char"/>
    <w:link w:val="Odstavecseseznamem"/>
    <w:uiPriority w:val="34"/>
    <w:locked/>
    <w:rsid w:val="003A7264"/>
    <w:rPr>
      <w:rFonts w:ascii="Arial" w:hAnsi="Arial"/>
      <w:sz w:val="19"/>
      <w:szCs w:val="24"/>
      <w:lang w:val="cs-CZ"/>
    </w:rPr>
  </w:style>
  <w:style w:type="paragraph" w:customStyle="1" w:styleId="Textodstavce">
    <w:name w:val="Text odstavce"/>
    <w:basedOn w:val="Normln"/>
    <w:rsid w:val="00BF18BE"/>
    <w:pPr>
      <w:numPr>
        <w:ilvl w:val="6"/>
        <w:numId w:val="6"/>
      </w:numPr>
      <w:tabs>
        <w:tab w:val="left" w:pos="851"/>
      </w:tabs>
      <w:spacing w:before="120"/>
      <w:outlineLvl w:val="6"/>
    </w:pPr>
    <w:rPr>
      <w:rFonts w:ascii="Times New Roman" w:hAnsi="Times New Roman"/>
      <w:sz w:val="24"/>
      <w:szCs w:val="20"/>
      <w:lang w:val="en-US" w:eastAsia="cs-CZ"/>
    </w:rPr>
  </w:style>
  <w:style w:type="paragraph" w:customStyle="1" w:styleId="Textbodu">
    <w:name w:val="Text bodu"/>
    <w:basedOn w:val="Normln"/>
    <w:rsid w:val="00BF18BE"/>
    <w:pPr>
      <w:numPr>
        <w:ilvl w:val="8"/>
        <w:numId w:val="6"/>
      </w:numPr>
      <w:outlineLvl w:val="8"/>
    </w:pPr>
    <w:rPr>
      <w:rFonts w:ascii="Times New Roman" w:hAnsi="Times New Roman"/>
      <w:sz w:val="24"/>
      <w:szCs w:val="20"/>
      <w:lang w:val="en-US" w:eastAsia="cs-CZ"/>
    </w:rPr>
  </w:style>
  <w:style w:type="paragraph" w:customStyle="1" w:styleId="Textpsmene">
    <w:name w:val="Text písmene"/>
    <w:basedOn w:val="Normln"/>
    <w:rsid w:val="00BF18BE"/>
    <w:pPr>
      <w:numPr>
        <w:ilvl w:val="7"/>
        <w:numId w:val="6"/>
      </w:numPr>
      <w:outlineLvl w:val="7"/>
    </w:pPr>
    <w:rPr>
      <w:rFonts w:ascii="Times New Roman" w:hAnsi="Times New Roman"/>
      <w:sz w:val="24"/>
      <w:szCs w:val="20"/>
      <w:lang w:val="en-US" w:eastAsia="cs-CZ"/>
    </w:rPr>
  </w:style>
  <w:style w:type="paragraph" w:styleId="Normlnweb">
    <w:name w:val="Normal (Web)"/>
    <w:basedOn w:val="Normln"/>
    <w:uiPriority w:val="99"/>
    <w:rsid w:val="009A27F7"/>
    <w:pPr>
      <w:spacing w:before="100" w:beforeAutospacing="1" w:after="100" w:afterAutospacing="1"/>
    </w:pPr>
    <w:rPr>
      <w:rFonts w:ascii="Arial Unicode MS" w:eastAsia="Arial Unicode MS" w:hAnsi="Arial Unicode MS" w:cs="Arial Unicode MS"/>
      <w:sz w:val="24"/>
      <w:lang w:val="en-US" w:eastAsia="cs-CZ"/>
    </w:rPr>
  </w:style>
  <w:style w:type="paragraph" w:styleId="Titulek">
    <w:name w:val="caption"/>
    <w:basedOn w:val="Normln"/>
    <w:next w:val="Normln"/>
    <w:link w:val="TitulekChar"/>
    <w:qFormat/>
    <w:rsid w:val="00DE2A6D"/>
    <w:pPr>
      <w:spacing w:after="100" w:afterAutospacing="1"/>
    </w:pPr>
    <w:rPr>
      <w:rFonts w:ascii="Times New Roman" w:hAnsi="Times New Roman"/>
      <w:b/>
      <w:bCs/>
      <w:color w:val="002776" w:themeColor="text2"/>
      <w:sz w:val="20"/>
      <w:szCs w:val="20"/>
    </w:rPr>
  </w:style>
  <w:style w:type="character" w:customStyle="1" w:styleId="TitulekChar">
    <w:name w:val="Titulek Char"/>
    <w:basedOn w:val="Standardnpsmoodstavce"/>
    <w:link w:val="Titulek"/>
    <w:rsid w:val="00DE2A6D"/>
    <w:rPr>
      <w:b/>
      <w:bCs/>
      <w:color w:val="002776" w:themeColor="text2"/>
      <w:lang w:val="cs-CZ"/>
    </w:rPr>
  </w:style>
  <w:style w:type="character" w:customStyle="1" w:styleId="st">
    <w:name w:val="st"/>
    <w:basedOn w:val="Standardnpsmoodstavce"/>
    <w:rsid w:val="00D913FA"/>
  </w:style>
  <w:style w:type="paragraph" w:customStyle="1" w:styleId="Deloittebodytext">
    <w:name w:val="Deloitte body text"/>
    <w:link w:val="DeloittebodytextChar"/>
    <w:qFormat/>
    <w:rsid w:val="00CF46D9"/>
    <w:rPr>
      <w:rFonts w:ascii="Arial" w:hAnsi="Arial" w:cstheme="minorHAnsi"/>
      <w:color w:val="000000"/>
      <w:sz w:val="19"/>
      <w:szCs w:val="48"/>
      <w:lang w:val="cs-CZ"/>
    </w:rPr>
  </w:style>
  <w:style w:type="character" w:customStyle="1" w:styleId="DeloittebodytextChar">
    <w:name w:val="Deloitte body text Char"/>
    <w:basedOn w:val="Standardnpsmoodstavce"/>
    <w:link w:val="Deloittebodytext"/>
    <w:rsid w:val="00CF46D9"/>
    <w:rPr>
      <w:rFonts w:ascii="Arial" w:hAnsi="Arial" w:cstheme="minorHAnsi"/>
      <w:color w:val="000000"/>
      <w:sz w:val="19"/>
      <w:szCs w:val="48"/>
      <w:lang w:val="cs-CZ"/>
    </w:rPr>
  </w:style>
  <w:style w:type="paragraph" w:customStyle="1" w:styleId="BodyText3">
    <w:name w:val="Body Text3"/>
    <w:qFormat/>
    <w:rsid w:val="00412A8D"/>
    <w:rPr>
      <w:rFonts w:ascii="Arial" w:hAnsi="Arial"/>
      <w:color w:val="000000"/>
      <w:sz w:val="19"/>
      <w:szCs w:val="48"/>
      <w:lang w:val="cs-CZ"/>
    </w:rPr>
  </w:style>
  <w:style w:type="character" w:customStyle="1" w:styleId="Nadpis3Char">
    <w:name w:val="Nadpis 3 Char"/>
    <w:aliases w:val="h3 Char,- 1) Char,2) Char,3) Char,- 1. Char,2. Char,3. Char,H3 Char,Heading Char,List 1 Char,Nadpis_3_úroveň Char,Záhlaví 3 Char,V_Head3 Char,V_Head31 Char,V_Head32 Char,Podkapitola2 Char,ASAPHeading 3 Char,Sub Paragraph Char,TRM 12 3 Char"/>
    <w:link w:val="Nadpis3"/>
    <w:rsid w:val="003E1852"/>
    <w:rPr>
      <w:rFonts w:ascii="Arial" w:hAnsi="Arial" w:cs="Arial"/>
      <w:b/>
      <w:bCs/>
      <w:iCs/>
      <w:color w:val="3C8A2E" w:themeColor="accent5"/>
      <w:kern w:val="32"/>
      <w:sz w:val="24"/>
      <w:szCs w:val="26"/>
      <w:lang w:val="cs-CZ"/>
    </w:rPr>
  </w:style>
  <w:style w:type="paragraph" w:customStyle="1" w:styleId="Bodyodsazene">
    <w:name w:val="Body odsazene"/>
    <w:basedOn w:val="BodyText1"/>
    <w:link w:val="BodyodsazeneChar"/>
    <w:qFormat/>
    <w:rsid w:val="00167A57"/>
    <w:pPr>
      <w:spacing w:before="120" w:after="120"/>
    </w:pPr>
  </w:style>
  <w:style w:type="character" w:customStyle="1" w:styleId="BodyodsazeneChar">
    <w:name w:val="Body odsazene Char"/>
    <w:basedOn w:val="Standardnpsmoodstavce"/>
    <w:link w:val="Bodyodsazene"/>
    <w:rsid w:val="00167A57"/>
    <w:rPr>
      <w:rFonts w:ascii="Arial" w:hAnsi="Arial"/>
      <w:color w:val="000000"/>
      <w:sz w:val="19"/>
      <w:szCs w:val="48"/>
      <w:lang w:val="cs-CZ"/>
    </w:rPr>
  </w:style>
  <w:style w:type="paragraph" w:styleId="Zkladntext">
    <w:name w:val="Body Text"/>
    <w:basedOn w:val="Normln"/>
    <w:link w:val="ZkladntextChar"/>
    <w:uiPriority w:val="1"/>
    <w:qFormat/>
    <w:rsid w:val="00283E62"/>
    <w:pPr>
      <w:widowControl w:val="0"/>
      <w:ind w:left="140"/>
      <w:jc w:val="left"/>
    </w:pPr>
    <w:rPr>
      <w:rFonts w:eastAsia="Arial" w:cstheme="minorBidi"/>
      <w:szCs w:val="19"/>
      <w:lang w:val="en-US"/>
    </w:rPr>
  </w:style>
  <w:style w:type="character" w:customStyle="1" w:styleId="ZkladntextChar">
    <w:name w:val="Základní text Char"/>
    <w:basedOn w:val="Standardnpsmoodstavce"/>
    <w:link w:val="Zkladntext"/>
    <w:uiPriority w:val="1"/>
    <w:rsid w:val="00283E62"/>
    <w:rPr>
      <w:rFonts w:ascii="Arial" w:eastAsia="Arial" w:hAnsi="Arial" w:cstheme="minorBidi"/>
      <w:sz w:val="19"/>
      <w:szCs w:val="19"/>
    </w:rPr>
  </w:style>
  <w:style w:type="paragraph" w:customStyle="1" w:styleId="TableParagraph">
    <w:name w:val="Table Paragraph"/>
    <w:basedOn w:val="Normln"/>
    <w:uiPriority w:val="1"/>
    <w:qFormat/>
    <w:rsid w:val="00283E62"/>
    <w:pPr>
      <w:widowControl w:val="0"/>
      <w:jc w:val="left"/>
    </w:pPr>
    <w:rPr>
      <w:rFonts w:asciiTheme="minorHAnsi" w:eastAsiaTheme="minorHAnsi" w:hAnsiTheme="minorHAnsi" w:cstheme="minorBidi"/>
      <w:sz w:val="22"/>
      <w:szCs w:val="22"/>
      <w:lang w:val="en-US"/>
    </w:rPr>
  </w:style>
  <w:style w:type="character" w:customStyle="1" w:styleId="TextbublinyChar">
    <w:name w:val="Text bubliny Char"/>
    <w:basedOn w:val="Standardnpsmoodstavce"/>
    <w:link w:val="Textbubliny"/>
    <w:uiPriority w:val="99"/>
    <w:semiHidden/>
    <w:rsid w:val="00283E62"/>
    <w:rPr>
      <w:rFonts w:ascii="Tahoma" w:hAnsi="Tahoma" w:cs="Tahoma"/>
      <w:sz w:val="16"/>
      <w:szCs w:val="16"/>
      <w:lang w:val="cs-CZ"/>
    </w:rPr>
  </w:style>
  <w:style w:type="paragraph" w:styleId="Nzev">
    <w:name w:val="Title"/>
    <w:basedOn w:val="Normln"/>
    <w:next w:val="Normln"/>
    <w:link w:val="NzevChar"/>
    <w:uiPriority w:val="10"/>
    <w:qFormat/>
    <w:rsid w:val="00283E62"/>
    <w:pPr>
      <w:widowControl w:val="0"/>
      <w:pBdr>
        <w:bottom w:val="single" w:sz="8" w:space="4" w:color="002776" w:themeColor="accent1"/>
      </w:pBdr>
      <w:spacing w:after="300"/>
      <w:contextualSpacing/>
      <w:jc w:val="left"/>
    </w:pPr>
    <w:rPr>
      <w:rFonts w:asciiTheme="majorHAnsi" w:eastAsiaTheme="majorEastAsia" w:hAnsiTheme="majorHAnsi" w:cstheme="majorBidi"/>
      <w:color w:val="001D58" w:themeColor="text2" w:themeShade="BF"/>
      <w:spacing w:val="5"/>
      <w:kern w:val="28"/>
      <w:sz w:val="52"/>
      <w:szCs w:val="52"/>
      <w:lang w:val="en-US"/>
    </w:rPr>
  </w:style>
  <w:style w:type="character" w:customStyle="1" w:styleId="NzevChar">
    <w:name w:val="Název Char"/>
    <w:basedOn w:val="Standardnpsmoodstavce"/>
    <w:link w:val="Nzev"/>
    <w:uiPriority w:val="10"/>
    <w:rsid w:val="00283E62"/>
    <w:rPr>
      <w:rFonts w:asciiTheme="majorHAnsi" w:eastAsiaTheme="majorEastAsia" w:hAnsiTheme="majorHAnsi" w:cstheme="majorBidi"/>
      <w:color w:val="001D58" w:themeColor="text2" w:themeShade="BF"/>
      <w:spacing w:val="5"/>
      <w:kern w:val="28"/>
      <w:sz w:val="52"/>
      <w:szCs w:val="52"/>
    </w:rPr>
  </w:style>
  <w:style w:type="character" w:customStyle="1" w:styleId="Nadpis1Char">
    <w:name w:val="Nadpis 1 Char"/>
    <w:aliases w:val="Deloitte Heading 1 Char,Heading 1 Char1 Char Char,Heading 1 Char Char Char Char,h1 Char Char Char Char,H1 Char Char Char Char,1 Char1 Char Char Char,Naglówek 1 Char Char Char Char,Naglówek 11 Char Char Char Char,1 gho Char"/>
    <w:basedOn w:val="Standardnpsmoodstavce"/>
    <w:link w:val="Nadpis1"/>
    <w:rsid w:val="00F043A0"/>
    <w:rPr>
      <w:rFonts w:ascii="Times New Roman Bold" w:hAnsi="Times New Roman Bold" w:cs="Arial"/>
      <w:bCs/>
      <w:color w:val="002776"/>
      <w:kern w:val="32"/>
      <w:sz w:val="60"/>
      <w:szCs w:val="32"/>
      <w:lang w:val="cs-CZ"/>
    </w:rPr>
  </w:style>
  <w:style w:type="paragraph" w:styleId="Seznamobrzk">
    <w:name w:val="table of figures"/>
    <w:basedOn w:val="Normln"/>
    <w:next w:val="Normln"/>
    <w:uiPriority w:val="99"/>
    <w:rsid w:val="00837914"/>
  </w:style>
  <w:style w:type="character" w:styleId="Zvraznn">
    <w:name w:val="Emphasis"/>
    <w:basedOn w:val="Standardnpsmoodstavce"/>
    <w:uiPriority w:val="20"/>
    <w:qFormat/>
    <w:rsid w:val="009C5D77"/>
    <w:rPr>
      <w:b/>
      <w:bCs/>
      <w:i w:val="0"/>
      <w:iCs w:val="0"/>
    </w:rPr>
  </w:style>
  <w:style w:type="paragraph" w:customStyle="1" w:styleId="Default">
    <w:name w:val="Default"/>
    <w:rsid w:val="00D664DC"/>
    <w:pPr>
      <w:autoSpaceDE w:val="0"/>
      <w:autoSpaceDN w:val="0"/>
      <w:adjustRightInd w:val="0"/>
    </w:pPr>
    <w:rPr>
      <w:rFonts w:ascii="Georgia" w:hAnsi="Georgia" w:cs="Georgia"/>
      <w:color w:val="000000"/>
      <w:sz w:val="24"/>
      <w:szCs w:val="24"/>
      <w:lang w:val="cs-CZ"/>
    </w:rPr>
  </w:style>
  <w:style w:type="paragraph" w:styleId="Nadpisobsahu">
    <w:name w:val="TOC Heading"/>
    <w:basedOn w:val="Nadpis1"/>
    <w:next w:val="Normln"/>
    <w:uiPriority w:val="39"/>
    <w:semiHidden/>
    <w:unhideWhenUsed/>
    <w:qFormat/>
    <w:rsid w:val="00363543"/>
    <w:pPr>
      <w:keepLines/>
      <w:pageBreakBefore w:val="0"/>
      <w:numPr>
        <w:numId w:val="0"/>
      </w:numPr>
      <w:spacing w:before="480" w:after="0" w:line="276" w:lineRule="auto"/>
      <w:outlineLvl w:val="9"/>
    </w:pPr>
    <w:rPr>
      <w:rFonts w:asciiTheme="majorHAnsi" w:eastAsiaTheme="majorEastAsia" w:hAnsiTheme="majorHAnsi" w:cstheme="majorBidi"/>
      <w:b/>
      <w:color w:val="001D58" w:themeColor="accent1" w:themeShade="BF"/>
      <w:kern w:val="0"/>
      <w:sz w:val="28"/>
      <w:szCs w:val="28"/>
      <w:lang w:val="en-US" w:eastAsia="ja-JP"/>
    </w:rPr>
  </w:style>
  <w:style w:type="character" w:customStyle="1" w:styleId="hps">
    <w:name w:val="hps"/>
    <w:basedOn w:val="Standardnpsmoodstavce"/>
    <w:rsid w:val="0063536F"/>
  </w:style>
  <w:style w:type="character" w:styleId="Siln">
    <w:name w:val="Strong"/>
    <w:basedOn w:val="Standardnpsmoodstavce"/>
    <w:uiPriority w:val="22"/>
    <w:qFormat/>
    <w:rsid w:val="00C379C3"/>
    <w:rPr>
      <w:b/>
      <w:bCs/>
    </w:rPr>
  </w:style>
  <w:style w:type="paragraph" w:customStyle="1" w:styleId="Pa3">
    <w:name w:val="Pa3"/>
    <w:basedOn w:val="Default"/>
    <w:next w:val="Default"/>
    <w:uiPriority w:val="99"/>
    <w:rsid w:val="00AF2D35"/>
    <w:pPr>
      <w:spacing w:line="171" w:lineRule="atLeast"/>
    </w:pPr>
    <w:rPr>
      <w:rFonts w:ascii="Humnst777 Lt AT" w:hAnsi="Humnst777 Lt AT" w:cs="Times New Roman"/>
      <w:color w:val="auto"/>
    </w:rPr>
  </w:style>
  <w:style w:type="paragraph" w:customStyle="1" w:styleId="Pa2">
    <w:name w:val="Pa2"/>
    <w:basedOn w:val="Default"/>
    <w:next w:val="Default"/>
    <w:uiPriority w:val="99"/>
    <w:rsid w:val="00AF2D35"/>
    <w:pPr>
      <w:spacing w:line="171" w:lineRule="atLeast"/>
    </w:pPr>
    <w:rPr>
      <w:rFonts w:ascii="Humnst777 Lt AT" w:hAnsi="Humnst777 Lt AT" w:cs="Times New Roman"/>
      <w:color w:val="auto"/>
    </w:rPr>
  </w:style>
  <w:style w:type="character" w:customStyle="1" w:styleId="A5">
    <w:name w:val="A5"/>
    <w:uiPriority w:val="99"/>
    <w:rsid w:val="00AF2D35"/>
    <w:rPr>
      <w:rFonts w:cs="Humnst777 Lt AT"/>
      <w:color w:val="000000"/>
      <w:sz w:val="30"/>
      <w:szCs w:val="30"/>
    </w:rPr>
  </w:style>
  <w:style w:type="paragraph" w:customStyle="1" w:styleId="CM1">
    <w:name w:val="CM1"/>
    <w:basedOn w:val="Default"/>
    <w:next w:val="Default"/>
    <w:uiPriority w:val="99"/>
    <w:rsid w:val="00AF2D35"/>
    <w:rPr>
      <w:rFonts w:ascii="EUAlbertina" w:hAnsi="EUAlbertina" w:cs="Times New Roman"/>
      <w:color w:val="auto"/>
    </w:rPr>
  </w:style>
  <w:style w:type="paragraph" w:customStyle="1" w:styleId="CM3">
    <w:name w:val="CM3"/>
    <w:basedOn w:val="Default"/>
    <w:next w:val="Default"/>
    <w:uiPriority w:val="99"/>
    <w:rsid w:val="00AF2D35"/>
    <w:rPr>
      <w:rFonts w:ascii="EUAlbertina" w:hAnsi="EUAlbertina" w:cs="Times New Roman"/>
      <w:color w:val="auto"/>
    </w:rPr>
  </w:style>
  <w:style w:type="paragraph" w:customStyle="1" w:styleId="CM4">
    <w:name w:val="CM4"/>
    <w:basedOn w:val="Default"/>
    <w:next w:val="Default"/>
    <w:uiPriority w:val="99"/>
    <w:rsid w:val="00AF2D35"/>
    <w:rPr>
      <w:rFonts w:ascii="EUAlbertina" w:hAnsi="EUAlbertina" w:cs="Times New Roman"/>
      <w:color w:val="auto"/>
    </w:rPr>
  </w:style>
  <w:style w:type="table" w:customStyle="1" w:styleId="TableGridLight1">
    <w:name w:val="Table Grid Light1"/>
    <w:basedOn w:val="Normlntabulka"/>
    <w:uiPriority w:val="40"/>
    <w:rsid w:val="00E35B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Standardnpsmoodstavce"/>
    <w:rsid w:val="00933C2B"/>
  </w:style>
  <w:style w:type="paragraph" w:customStyle="1" w:styleId="Barevnoddlova">
    <w:name w:val="Barevný oddělovač"/>
    <w:basedOn w:val="Zkladntext"/>
    <w:link w:val="BarevnoddlovaChar"/>
    <w:qFormat/>
    <w:rsid w:val="00C32283"/>
    <w:pPr>
      <w:keepNext/>
      <w:keepLines/>
      <w:widowControl/>
      <w:ind w:left="0"/>
      <w:jc w:val="both"/>
    </w:pPr>
    <w:rPr>
      <w:rFonts w:eastAsia="Times New Roman" w:cs="Arial"/>
      <w:b/>
      <w:color w:val="31849B"/>
      <w:sz w:val="24"/>
      <w:szCs w:val="20"/>
      <w:lang w:val="cs-CZ" w:eastAsia="cs-CZ"/>
    </w:rPr>
  </w:style>
  <w:style w:type="character" w:customStyle="1" w:styleId="BarevnoddlovaChar">
    <w:name w:val="Barevný oddělovač Char"/>
    <w:link w:val="Barevnoddlova"/>
    <w:rsid w:val="00C32283"/>
    <w:rPr>
      <w:rFonts w:ascii="Arial" w:hAnsi="Arial" w:cs="Arial"/>
      <w:b/>
      <w:color w:val="31849B"/>
      <w:sz w:val="24"/>
      <w:lang w:val="cs-CZ" w:eastAsia="cs-CZ"/>
    </w:rPr>
  </w:style>
  <w:style w:type="paragraph" w:styleId="Seznamsodrkami">
    <w:name w:val="List Bullet"/>
    <w:basedOn w:val="Normln"/>
    <w:uiPriority w:val="13"/>
    <w:unhideWhenUsed/>
    <w:qFormat/>
    <w:rsid w:val="00950F26"/>
    <w:pPr>
      <w:spacing w:after="240" w:line="240" w:lineRule="atLeast"/>
      <w:contextualSpacing/>
      <w:jc w:val="left"/>
    </w:pPr>
    <w:rPr>
      <w:rFonts w:ascii="Georgia" w:eastAsia="Arial" w:hAnsi="Georgia"/>
      <w:sz w:val="20"/>
      <w:szCs w:val="20"/>
    </w:rPr>
  </w:style>
  <w:style w:type="character" w:styleId="Odkazintenzivn">
    <w:name w:val="Intense Reference"/>
    <w:qFormat/>
    <w:rsid w:val="00696700"/>
    <w:rPr>
      <w:rFonts w:cs="Times New Roman"/>
      <w:b/>
      <w:bCs/>
      <w:smallCaps/>
      <w:color w:val="002776"/>
      <w:spacing w:val="5"/>
    </w:rPr>
  </w:style>
  <w:style w:type="character" w:customStyle="1" w:styleId="st1">
    <w:name w:val="st1"/>
    <w:rsid w:val="00696700"/>
  </w:style>
  <w:style w:type="table" w:customStyle="1" w:styleId="GridTable4-Accent21">
    <w:name w:val="Grid Table 4 - Accent 21"/>
    <w:basedOn w:val="Normlntabulka"/>
    <w:uiPriority w:val="49"/>
    <w:rsid w:val="009C685C"/>
    <w:rPr>
      <w:rFonts w:asciiTheme="minorHAnsi" w:eastAsiaTheme="minorHAnsi" w:hAnsiTheme="minorHAnsi" w:cstheme="minorBidi"/>
      <w:sz w:val="22"/>
      <w:szCs w:val="22"/>
      <w:lang w:val="cs-CZ"/>
    </w:rPr>
    <w:tblPr>
      <w:tblStyleRowBandSize w:val="1"/>
      <w:tblStyleColBandSize w:val="1"/>
      <w:tblBorders>
        <w:top w:val="single" w:sz="4" w:space="0" w:color="C6FF4C" w:themeColor="accent2" w:themeTint="99"/>
        <w:left w:val="single" w:sz="4" w:space="0" w:color="C6FF4C" w:themeColor="accent2" w:themeTint="99"/>
        <w:bottom w:val="single" w:sz="4" w:space="0" w:color="C6FF4C" w:themeColor="accent2" w:themeTint="99"/>
        <w:right w:val="single" w:sz="4" w:space="0" w:color="C6FF4C" w:themeColor="accent2" w:themeTint="99"/>
        <w:insideH w:val="single" w:sz="4" w:space="0" w:color="C6FF4C" w:themeColor="accent2" w:themeTint="99"/>
        <w:insideV w:val="single" w:sz="4" w:space="0" w:color="C6FF4C" w:themeColor="accent2" w:themeTint="99"/>
      </w:tblBorders>
    </w:tblPr>
    <w:tblStylePr w:type="firstRow">
      <w:rPr>
        <w:b/>
        <w:bCs/>
        <w:color w:val="FFFFFF" w:themeColor="background1"/>
      </w:rPr>
      <w:tblPr/>
      <w:tcPr>
        <w:tcBorders>
          <w:top w:val="single" w:sz="4" w:space="0" w:color="92D400" w:themeColor="accent2"/>
          <w:left w:val="single" w:sz="4" w:space="0" w:color="92D400" w:themeColor="accent2"/>
          <w:bottom w:val="single" w:sz="4" w:space="0" w:color="92D400" w:themeColor="accent2"/>
          <w:right w:val="single" w:sz="4" w:space="0" w:color="92D400" w:themeColor="accent2"/>
          <w:insideH w:val="nil"/>
          <w:insideV w:val="nil"/>
        </w:tcBorders>
        <w:shd w:val="clear" w:color="auto" w:fill="92D400" w:themeFill="accent2"/>
      </w:tcPr>
    </w:tblStylePr>
    <w:tblStylePr w:type="lastRow">
      <w:rPr>
        <w:b/>
        <w:bCs/>
      </w:rPr>
      <w:tblPr/>
      <w:tcPr>
        <w:tcBorders>
          <w:top w:val="double" w:sz="4" w:space="0" w:color="92D400" w:themeColor="accent2"/>
        </w:tcBorders>
      </w:tcPr>
    </w:tblStylePr>
    <w:tblStylePr w:type="firstCol">
      <w:rPr>
        <w:b/>
        <w:bCs/>
      </w:rPr>
    </w:tblStylePr>
    <w:tblStylePr w:type="lastCol">
      <w:rPr>
        <w:b/>
        <w:bCs/>
      </w:rPr>
    </w:tblStylePr>
    <w:tblStylePr w:type="band1Vert">
      <w:tblPr/>
      <w:tcPr>
        <w:shd w:val="clear" w:color="auto" w:fill="ECFFC3" w:themeFill="accent2" w:themeFillTint="33"/>
      </w:tcPr>
    </w:tblStylePr>
    <w:tblStylePr w:type="band1Horz">
      <w:tblPr/>
      <w:tcPr>
        <w:shd w:val="clear" w:color="auto" w:fill="ECFFC3" w:themeFill="accent2" w:themeFillTint="33"/>
      </w:tcPr>
    </w:tblStylePr>
  </w:style>
  <w:style w:type="character" w:customStyle="1" w:styleId="atn">
    <w:name w:val="atn"/>
    <w:basedOn w:val="Standardnpsmoodstavce"/>
    <w:rsid w:val="001C454C"/>
  </w:style>
  <w:style w:type="character" w:customStyle="1" w:styleId="alt-edited1">
    <w:name w:val="alt-edited1"/>
    <w:basedOn w:val="Standardnpsmoodstavce"/>
    <w:rsid w:val="001C454C"/>
    <w:rPr>
      <w:color w:val="4D90F0"/>
    </w:rPr>
  </w:style>
  <w:style w:type="character" w:customStyle="1" w:styleId="shorttext">
    <w:name w:val="short_text"/>
    <w:basedOn w:val="Standardnpsmoodstavce"/>
    <w:rsid w:val="00C96000"/>
  </w:style>
  <w:style w:type="paragraph" w:customStyle="1" w:styleId="p3">
    <w:name w:val="p3"/>
    <w:basedOn w:val="Normln"/>
    <w:rsid w:val="00FA4AE5"/>
    <w:pPr>
      <w:spacing w:before="100" w:beforeAutospacing="1" w:after="100" w:afterAutospacing="1"/>
      <w:jc w:val="left"/>
    </w:pPr>
    <w:rPr>
      <w:rFonts w:ascii="Times New Roman" w:hAnsi="Times New Roman"/>
      <w:sz w:val="24"/>
      <w:lang w:eastAsia="cs-CZ"/>
    </w:rPr>
  </w:style>
  <w:style w:type="character" w:customStyle="1" w:styleId="s1">
    <w:name w:val="s1"/>
    <w:basedOn w:val="Standardnpsmoodstavce"/>
    <w:rsid w:val="00FA4AE5"/>
  </w:style>
  <w:style w:type="paragraph" w:customStyle="1" w:styleId="p1">
    <w:name w:val="p1"/>
    <w:basedOn w:val="Normln"/>
    <w:rsid w:val="00D6172B"/>
    <w:pPr>
      <w:spacing w:before="100" w:beforeAutospacing="1" w:after="100" w:afterAutospacing="1"/>
      <w:jc w:val="left"/>
    </w:pPr>
    <w:rPr>
      <w:rFonts w:ascii="Times New Roman" w:hAnsi="Times New Roman"/>
      <w:sz w:val="24"/>
      <w:lang w:eastAsia="cs-CZ"/>
    </w:rPr>
  </w:style>
  <w:style w:type="paragraph" w:customStyle="1" w:styleId="article-perex">
    <w:name w:val="article-perex"/>
    <w:basedOn w:val="Normln"/>
    <w:rsid w:val="00E1324D"/>
    <w:pPr>
      <w:spacing w:before="100" w:beforeAutospacing="1" w:after="100" w:afterAutospacing="1"/>
      <w:jc w:val="left"/>
    </w:pPr>
    <w:rPr>
      <w:rFonts w:ascii="Times New Roman" w:hAnsi="Times New Roman"/>
      <w:sz w:val="24"/>
      <w:lang w:eastAsia="cs-CZ"/>
    </w:rPr>
  </w:style>
  <w:style w:type="character" w:styleId="CittHTML">
    <w:name w:val="HTML Cite"/>
    <w:basedOn w:val="Standardnpsmoodstavce"/>
    <w:uiPriority w:val="99"/>
    <w:semiHidden/>
    <w:unhideWhenUsed/>
    <w:rsid w:val="00614AC7"/>
    <w:rPr>
      <w:i/>
      <w:iCs/>
    </w:rPr>
  </w:style>
  <w:style w:type="character" w:customStyle="1" w:styleId="rs-person">
    <w:name w:val="rs-person"/>
    <w:basedOn w:val="Standardnpsmoodstavce"/>
    <w:rsid w:val="00EE753E"/>
  </w:style>
  <w:style w:type="character" w:styleId="Sledovanodkaz">
    <w:name w:val="FollowedHyperlink"/>
    <w:basedOn w:val="Standardnpsmoodstavce"/>
    <w:semiHidden/>
    <w:unhideWhenUsed/>
    <w:rsid w:val="00A77EA1"/>
    <w:rPr>
      <w:color w:val="C9DD03" w:themeColor="followedHyperlink"/>
      <w:u w:val="single"/>
    </w:rPr>
  </w:style>
  <w:style w:type="character" w:styleId="Zstupntext">
    <w:name w:val="Placeholder Text"/>
    <w:basedOn w:val="Standardnpsmoodstavce"/>
    <w:uiPriority w:val="99"/>
    <w:semiHidden/>
    <w:rsid w:val="00464C9D"/>
    <w:rPr>
      <w:color w:val="808080"/>
    </w:rPr>
  </w:style>
  <w:style w:type="character" w:customStyle="1" w:styleId="essayfootnotecitation">
    <w:name w:val="essay_footnotecitation"/>
    <w:basedOn w:val="Standardnpsmoodstavce"/>
    <w:rsid w:val="00B01AA8"/>
  </w:style>
  <w:style w:type="paragraph" w:customStyle="1" w:styleId="Zkladntextodsazen1">
    <w:name w:val="Základní text odsazený1"/>
    <w:basedOn w:val="Normln"/>
    <w:rsid w:val="004E60C4"/>
    <w:pPr>
      <w:spacing w:before="120"/>
      <w:ind w:left="567"/>
    </w:pPr>
    <w:rPr>
      <w:rFonts w:ascii="Times New Roman" w:hAnsi="Times New Roman"/>
      <w:iCs/>
      <w:sz w:val="24"/>
      <w:lang w:eastAsia="cs-CZ"/>
    </w:rPr>
  </w:style>
  <w:style w:type="paragraph" w:customStyle="1" w:styleId="Pa20">
    <w:name w:val="Pa20"/>
    <w:basedOn w:val="Default"/>
    <w:next w:val="Default"/>
    <w:uiPriority w:val="99"/>
    <w:rsid w:val="001D1FD9"/>
    <w:pPr>
      <w:spacing w:line="200" w:lineRule="atLeast"/>
    </w:pPr>
    <w:rPr>
      <w:rFonts w:ascii="Myriad Pro Light" w:hAnsi="Myriad Pro Light" w:cs="Times New Roman"/>
      <w:color w:val="auto"/>
    </w:rPr>
  </w:style>
  <w:style w:type="character" w:customStyle="1" w:styleId="A12">
    <w:name w:val="A12"/>
    <w:uiPriority w:val="99"/>
    <w:rsid w:val="001D1FD9"/>
    <w:rPr>
      <w:rFonts w:cs="Myriad Pro Light"/>
      <w:b/>
      <w:bCs/>
      <w:color w:val="000000"/>
      <w:sz w:val="28"/>
      <w:szCs w:val="28"/>
    </w:rPr>
  </w:style>
  <w:style w:type="character" w:customStyle="1" w:styleId="A13">
    <w:name w:val="A13"/>
    <w:uiPriority w:val="99"/>
    <w:rsid w:val="001D1FD9"/>
    <w:rPr>
      <w:rFonts w:cs="Myriad Pro Light"/>
      <w:color w:val="000000"/>
      <w:sz w:val="11"/>
      <w:szCs w:val="11"/>
    </w:rPr>
  </w:style>
  <w:style w:type="paragraph" w:customStyle="1" w:styleId="Odskoknadpis4">
    <w:name w:val="Odskok nadpis 4"/>
    <w:basedOn w:val="Normln"/>
    <w:link w:val="Odskoknadpis4Char"/>
    <w:qFormat/>
    <w:rsid w:val="00F0643D"/>
    <w:pPr>
      <w:spacing w:line="276" w:lineRule="auto"/>
      <w:ind w:left="1134"/>
    </w:pPr>
    <w:rPr>
      <w:rFonts w:ascii="Times New Roman" w:eastAsiaTheme="minorHAnsi" w:hAnsi="Times New Roman"/>
      <w:sz w:val="22"/>
      <w:szCs w:val="22"/>
    </w:rPr>
  </w:style>
  <w:style w:type="character" w:customStyle="1" w:styleId="Odskoknadpis4Char">
    <w:name w:val="Odskok nadpis 4 Char"/>
    <w:basedOn w:val="Standardnpsmoodstavce"/>
    <w:link w:val="Odskoknadpis4"/>
    <w:rsid w:val="00F0643D"/>
    <w:rPr>
      <w:rFonts w:eastAsiaTheme="minorHAnsi"/>
      <w:sz w:val="22"/>
      <w:szCs w:val="22"/>
      <w:lang w:val="cs-CZ"/>
    </w:rPr>
  </w:style>
  <w:style w:type="character" w:customStyle="1" w:styleId="ListParagraphChar1">
    <w:name w:val="List Paragraph Char1"/>
    <w:basedOn w:val="Standardnpsmoodstavce"/>
    <w:uiPriority w:val="99"/>
    <w:locked/>
    <w:rsid w:val="00DA4E52"/>
  </w:style>
  <w:style w:type="paragraph" w:customStyle="1" w:styleId="Bodycopy">
    <w:name w:val="Body copy"/>
    <w:basedOn w:val="Normln"/>
    <w:link w:val="BodycopyChar"/>
    <w:qFormat/>
    <w:rsid w:val="00DA4E52"/>
    <w:pPr>
      <w:spacing w:before="120" w:line="288" w:lineRule="auto"/>
    </w:pPr>
    <w:rPr>
      <w:rFonts w:eastAsia="Times"/>
      <w:color w:val="000000"/>
      <w:sz w:val="20"/>
      <w:szCs w:val="20"/>
      <w:lang w:val="en-GB"/>
    </w:rPr>
  </w:style>
  <w:style w:type="character" w:customStyle="1" w:styleId="BodycopyChar">
    <w:name w:val="Body copy Char"/>
    <w:link w:val="Bodycopy"/>
    <w:rsid w:val="00DA4E52"/>
    <w:rPr>
      <w:rFonts w:ascii="Arial" w:eastAsia="Times" w:hAnsi="Arial"/>
      <w:color w:val="000000"/>
      <w:lang w:val="en-GB"/>
    </w:rPr>
  </w:style>
  <w:style w:type="paragraph" w:customStyle="1" w:styleId="Caption1">
    <w:name w:val="Caption1"/>
    <w:next w:val="Normln"/>
    <w:rsid w:val="00DA4E52"/>
    <w:pPr>
      <w:spacing w:after="200"/>
    </w:pPr>
    <w:rPr>
      <w:rFonts w:ascii="Lucida Grande" w:eastAsia="ヒラギノ角ゴ Pro W3" w:hAnsi="Lucida Grande"/>
      <w:b/>
      <w:color w:val="0A0623"/>
      <w:sz w:val="18"/>
      <w:lang w:eastAsia="cs-CZ"/>
    </w:rPr>
  </w:style>
  <w:style w:type="numbering" w:customStyle="1" w:styleId="NoList1">
    <w:name w:val="No List1"/>
    <w:next w:val="Bezseznamu"/>
    <w:uiPriority w:val="99"/>
    <w:semiHidden/>
    <w:unhideWhenUsed/>
    <w:rsid w:val="00DA4E52"/>
  </w:style>
  <w:style w:type="table" w:customStyle="1" w:styleId="Deloittetable61">
    <w:name w:val="Deloitte table 61"/>
    <w:basedOn w:val="Normlntabulka"/>
    <w:rsid w:val="00DA4E52"/>
    <w:rPr>
      <w:rFonts w:ascii="Arial" w:hAnsi="Arial"/>
      <w:sz w:val="19"/>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paragraph" w:customStyle="1" w:styleId="CharChar2CharCharCharChar">
    <w:name w:val="Char Char2 Char Char Char Char"/>
    <w:basedOn w:val="Normln"/>
    <w:rsid w:val="00DA4E52"/>
    <w:pPr>
      <w:spacing w:after="0"/>
      <w:jc w:val="left"/>
    </w:pPr>
    <w:rPr>
      <w:rFonts w:ascii="Times New Roman" w:hAnsi="Times New Roman"/>
      <w:sz w:val="24"/>
      <w:lang w:eastAsia="cs-CZ"/>
    </w:rPr>
  </w:style>
  <w:style w:type="table" w:styleId="Mkatabulky8">
    <w:name w:val="Table Grid 8"/>
    <w:basedOn w:val="Normlntabulka"/>
    <w:rsid w:val="00DA4E52"/>
    <w:pPr>
      <w:spacing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Nadpis2Char1">
    <w:name w:val="Nadpis 2 Char1"/>
    <w:aliases w:val="h2 Char,Normal Heading 2 Char,LetHead2 Char,- 1 Char,2 Char,3 Char,H2 Char,Heading_eng 2 Char,Main header Char,Outline2 Char Char,HAA-Section Char Char,Sub Heading Char Char,ignorer2 Char Char,Nadpis_2 Char Char,adpis 2 Char Char,2m Char"/>
    <w:basedOn w:val="Standardnpsmoodstavce"/>
    <w:link w:val="Nadpis2"/>
    <w:rsid w:val="00E16AFF"/>
    <w:rPr>
      <w:rFonts w:ascii="Arial" w:hAnsi="Arial" w:cs="Arial"/>
      <w:b/>
      <w:iCs/>
      <w:color w:val="92D400" w:themeColor="accent2"/>
      <w:kern w:val="32"/>
      <w:sz w:val="24"/>
      <w:szCs w:val="24"/>
      <w:lang w:val="cs-CZ"/>
    </w:rPr>
  </w:style>
  <w:style w:type="table" w:styleId="Svtlseznamzvraznn2">
    <w:name w:val="Light List Accent 2"/>
    <w:basedOn w:val="Normlntabulka"/>
    <w:uiPriority w:val="61"/>
    <w:rsid w:val="00276CD5"/>
    <w:rPr>
      <w:rFonts w:asciiTheme="minorHAnsi" w:eastAsiaTheme="minorHAnsi" w:hAnsiTheme="minorHAnsi" w:cstheme="minorBidi"/>
      <w:sz w:val="22"/>
      <w:szCs w:val="22"/>
      <w:lang w:val="en-GB"/>
    </w:rPr>
    <w:tblPr>
      <w:tblStyleRowBandSize w:val="1"/>
      <w:tblStyleColBandSize w:val="1"/>
      <w:tblBorders>
        <w:top w:val="single" w:sz="8" w:space="0" w:color="92D400" w:themeColor="accent2"/>
        <w:left w:val="single" w:sz="8" w:space="0" w:color="92D400" w:themeColor="accent2"/>
        <w:bottom w:val="single" w:sz="8" w:space="0" w:color="92D400" w:themeColor="accent2"/>
        <w:right w:val="single" w:sz="8" w:space="0" w:color="92D400" w:themeColor="accent2"/>
      </w:tblBorders>
    </w:tblPr>
    <w:tblStylePr w:type="firstRow">
      <w:pPr>
        <w:spacing w:before="0" w:after="0" w:line="240" w:lineRule="auto"/>
      </w:pPr>
      <w:rPr>
        <w:b/>
        <w:bCs/>
        <w:color w:val="FFFFFF" w:themeColor="background1"/>
      </w:rPr>
      <w:tblPr/>
      <w:tcPr>
        <w:shd w:val="clear" w:color="auto" w:fill="92D400" w:themeFill="accent2"/>
      </w:tcPr>
    </w:tblStylePr>
    <w:tblStylePr w:type="lastRow">
      <w:pPr>
        <w:spacing w:before="0" w:after="0" w:line="240" w:lineRule="auto"/>
      </w:pPr>
      <w:rPr>
        <w:b/>
        <w:bCs/>
      </w:rPr>
      <w:tblPr/>
      <w:tcPr>
        <w:tcBorders>
          <w:top w:val="double" w:sz="6" w:space="0" w:color="92D400" w:themeColor="accent2"/>
          <w:left w:val="single" w:sz="8" w:space="0" w:color="92D400" w:themeColor="accent2"/>
          <w:bottom w:val="single" w:sz="8" w:space="0" w:color="92D400" w:themeColor="accent2"/>
          <w:right w:val="single" w:sz="8" w:space="0" w:color="92D400" w:themeColor="accent2"/>
        </w:tcBorders>
      </w:tcPr>
    </w:tblStylePr>
    <w:tblStylePr w:type="firstCol">
      <w:rPr>
        <w:b/>
        <w:bCs/>
      </w:rPr>
    </w:tblStylePr>
    <w:tblStylePr w:type="lastCol">
      <w:rPr>
        <w:b/>
        <w:bCs/>
      </w:rPr>
    </w:tblStylePr>
    <w:tblStylePr w:type="band1Vert">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tblStylePr w:type="band1Horz">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4096">
      <w:bodyDiv w:val="1"/>
      <w:marLeft w:val="0"/>
      <w:marRight w:val="0"/>
      <w:marTop w:val="0"/>
      <w:marBottom w:val="0"/>
      <w:divBdr>
        <w:top w:val="none" w:sz="0" w:space="0" w:color="auto"/>
        <w:left w:val="none" w:sz="0" w:space="0" w:color="auto"/>
        <w:bottom w:val="none" w:sz="0" w:space="0" w:color="auto"/>
        <w:right w:val="none" w:sz="0" w:space="0" w:color="auto"/>
      </w:divBdr>
    </w:div>
    <w:div w:id="26761748">
      <w:bodyDiv w:val="1"/>
      <w:marLeft w:val="0"/>
      <w:marRight w:val="0"/>
      <w:marTop w:val="0"/>
      <w:marBottom w:val="0"/>
      <w:divBdr>
        <w:top w:val="none" w:sz="0" w:space="0" w:color="auto"/>
        <w:left w:val="none" w:sz="0" w:space="0" w:color="auto"/>
        <w:bottom w:val="none" w:sz="0" w:space="0" w:color="auto"/>
        <w:right w:val="none" w:sz="0" w:space="0" w:color="auto"/>
      </w:divBdr>
      <w:divsChild>
        <w:div w:id="1911308391">
          <w:marLeft w:val="0"/>
          <w:marRight w:val="0"/>
          <w:marTop w:val="0"/>
          <w:marBottom w:val="0"/>
          <w:divBdr>
            <w:top w:val="none" w:sz="0" w:space="0" w:color="auto"/>
            <w:left w:val="none" w:sz="0" w:space="0" w:color="auto"/>
            <w:bottom w:val="none" w:sz="0" w:space="0" w:color="auto"/>
            <w:right w:val="none" w:sz="0" w:space="0" w:color="auto"/>
          </w:divBdr>
        </w:div>
        <w:div w:id="1237276373">
          <w:marLeft w:val="0"/>
          <w:marRight w:val="0"/>
          <w:marTop w:val="0"/>
          <w:marBottom w:val="0"/>
          <w:divBdr>
            <w:top w:val="none" w:sz="0" w:space="0" w:color="auto"/>
            <w:left w:val="none" w:sz="0" w:space="0" w:color="auto"/>
            <w:bottom w:val="none" w:sz="0" w:space="0" w:color="auto"/>
            <w:right w:val="none" w:sz="0" w:space="0" w:color="auto"/>
          </w:divBdr>
        </w:div>
        <w:div w:id="1546673223">
          <w:marLeft w:val="0"/>
          <w:marRight w:val="0"/>
          <w:marTop w:val="0"/>
          <w:marBottom w:val="0"/>
          <w:divBdr>
            <w:top w:val="none" w:sz="0" w:space="0" w:color="auto"/>
            <w:left w:val="none" w:sz="0" w:space="0" w:color="auto"/>
            <w:bottom w:val="none" w:sz="0" w:space="0" w:color="auto"/>
            <w:right w:val="none" w:sz="0" w:space="0" w:color="auto"/>
          </w:divBdr>
        </w:div>
        <w:div w:id="718212901">
          <w:marLeft w:val="0"/>
          <w:marRight w:val="0"/>
          <w:marTop w:val="0"/>
          <w:marBottom w:val="0"/>
          <w:divBdr>
            <w:top w:val="none" w:sz="0" w:space="0" w:color="auto"/>
            <w:left w:val="none" w:sz="0" w:space="0" w:color="auto"/>
            <w:bottom w:val="none" w:sz="0" w:space="0" w:color="auto"/>
            <w:right w:val="none" w:sz="0" w:space="0" w:color="auto"/>
          </w:divBdr>
        </w:div>
      </w:divsChild>
    </w:div>
    <w:div w:id="30496389">
      <w:bodyDiv w:val="1"/>
      <w:marLeft w:val="0"/>
      <w:marRight w:val="0"/>
      <w:marTop w:val="0"/>
      <w:marBottom w:val="0"/>
      <w:divBdr>
        <w:top w:val="none" w:sz="0" w:space="0" w:color="auto"/>
        <w:left w:val="none" w:sz="0" w:space="0" w:color="auto"/>
        <w:bottom w:val="none" w:sz="0" w:space="0" w:color="auto"/>
        <w:right w:val="none" w:sz="0" w:space="0" w:color="auto"/>
      </w:divBdr>
      <w:divsChild>
        <w:div w:id="1177815131">
          <w:marLeft w:val="1166"/>
          <w:marRight w:val="0"/>
          <w:marTop w:val="106"/>
          <w:marBottom w:val="0"/>
          <w:divBdr>
            <w:top w:val="none" w:sz="0" w:space="0" w:color="auto"/>
            <w:left w:val="none" w:sz="0" w:space="0" w:color="auto"/>
            <w:bottom w:val="none" w:sz="0" w:space="0" w:color="auto"/>
            <w:right w:val="none" w:sz="0" w:space="0" w:color="auto"/>
          </w:divBdr>
        </w:div>
        <w:div w:id="542792820">
          <w:marLeft w:val="1166"/>
          <w:marRight w:val="0"/>
          <w:marTop w:val="106"/>
          <w:marBottom w:val="0"/>
          <w:divBdr>
            <w:top w:val="none" w:sz="0" w:space="0" w:color="auto"/>
            <w:left w:val="none" w:sz="0" w:space="0" w:color="auto"/>
            <w:bottom w:val="none" w:sz="0" w:space="0" w:color="auto"/>
            <w:right w:val="none" w:sz="0" w:space="0" w:color="auto"/>
          </w:divBdr>
        </w:div>
      </w:divsChild>
    </w:div>
    <w:div w:id="35589880">
      <w:bodyDiv w:val="1"/>
      <w:marLeft w:val="0"/>
      <w:marRight w:val="0"/>
      <w:marTop w:val="0"/>
      <w:marBottom w:val="0"/>
      <w:divBdr>
        <w:top w:val="none" w:sz="0" w:space="0" w:color="auto"/>
        <w:left w:val="none" w:sz="0" w:space="0" w:color="auto"/>
        <w:bottom w:val="none" w:sz="0" w:space="0" w:color="auto"/>
        <w:right w:val="none" w:sz="0" w:space="0" w:color="auto"/>
      </w:divBdr>
    </w:div>
    <w:div w:id="45221512">
      <w:bodyDiv w:val="1"/>
      <w:marLeft w:val="0"/>
      <w:marRight w:val="0"/>
      <w:marTop w:val="0"/>
      <w:marBottom w:val="0"/>
      <w:divBdr>
        <w:top w:val="none" w:sz="0" w:space="0" w:color="auto"/>
        <w:left w:val="none" w:sz="0" w:space="0" w:color="auto"/>
        <w:bottom w:val="none" w:sz="0" w:space="0" w:color="auto"/>
        <w:right w:val="none" w:sz="0" w:space="0" w:color="auto"/>
      </w:divBdr>
    </w:div>
    <w:div w:id="51778349">
      <w:bodyDiv w:val="1"/>
      <w:marLeft w:val="0"/>
      <w:marRight w:val="0"/>
      <w:marTop w:val="0"/>
      <w:marBottom w:val="0"/>
      <w:divBdr>
        <w:top w:val="none" w:sz="0" w:space="0" w:color="auto"/>
        <w:left w:val="none" w:sz="0" w:space="0" w:color="auto"/>
        <w:bottom w:val="none" w:sz="0" w:space="0" w:color="auto"/>
        <w:right w:val="none" w:sz="0" w:space="0" w:color="auto"/>
      </w:divBdr>
    </w:div>
    <w:div w:id="64568181">
      <w:bodyDiv w:val="1"/>
      <w:marLeft w:val="0"/>
      <w:marRight w:val="0"/>
      <w:marTop w:val="0"/>
      <w:marBottom w:val="0"/>
      <w:divBdr>
        <w:top w:val="none" w:sz="0" w:space="0" w:color="auto"/>
        <w:left w:val="none" w:sz="0" w:space="0" w:color="auto"/>
        <w:bottom w:val="none" w:sz="0" w:space="0" w:color="auto"/>
        <w:right w:val="none" w:sz="0" w:space="0" w:color="auto"/>
      </w:divBdr>
      <w:divsChild>
        <w:div w:id="806164836">
          <w:marLeft w:val="1166"/>
          <w:marRight w:val="0"/>
          <w:marTop w:val="106"/>
          <w:marBottom w:val="0"/>
          <w:divBdr>
            <w:top w:val="none" w:sz="0" w:space="0" w:color="auto"/>
            <w:left w:val="none" w:sz="0" w:space="0" w:color="auto"/>
            <w:bottom w:val="none" w:sz="0" w:space="0" w:color="auto"/>
            <w:right w:val="none" w:sz="0" w:space="0" w:color="auto"/>
          </w:divBdr>
        </w:div>
        <w:div w:id="1205409391">
          <w:marLeft w:val="1166"/>
          <w:marRight w:val="0"/>
          <w:marTop w:val="106"/>
          <w:marBottom w:val="0"/>
          <w:divBdr>
            <w:top w:val="none" w:sz="0" w:space="0" w:color="auto"/>
            <w:left w:val="none" w:sz="0" w:space="0" w:color="auto"/>
            <w:bottom w:val="none" w:sz="0" w:space="0" w:color="auto"/>
            <w:right w:val="none" w:sz="0" w:space="0" w:color="auto"/>
          </w:divBdr>
        </w:div>
        <w:div w:id="1544442048">
          <w:marLeft w:val="1166"/>
          <w:marRight w:val="0"/>
          <w:marTop w:val="106"/>
          <w:marBottom w:val="0"/>
          <w:divBdr>
            <w:top w:val="none" w:sz="0" w:space="0" w:color="auto"/>
            <w:left w:val="none" w:sz="0" w:space="0" w:color="auto"/>
            <w:bottom w:val="none" w:sz="0" w:space="0" w:color="auto"/>
            <w:right w:val="none" w:sz="0" w:space="0" w:color="auto"/>
          </w:divBdr>
        </w:div>
      </w:divsChild>
    </w:div>
    <w:div w:id="75831767">
      <w:bodyDiv w:val="1"/>
      <w:marLeft w:val="0"/>
      <w:marRight w:val="0"/>
      <w:marTop w:val="0"/>
      <w:marBottom w:val="0"/>
      <w:divBdr>
        <w:top w:val="none" w:sz="0" w:space="0" w:color="auto"/>
        <w:left w:val="none" w:sz="0" w:space="0" w:color="auto"/>
        <w:bottom w:val="none" w:sz="0" w:space="0" w:color="auto"/>
        <w:right w:val="none" w:sz="0" w:space="0" w:color="auto"/>
      </w:divBdr>
    </w:div>
    <w:div w:id="87969209">
      <w:bodyDiv w:val="1"/>
      <w:marLeft w:val="0"/>
      <w:marRight w:val="0"/>
      <w:marTop w:val="0"/>
      <w:marBottom w:val="0"/>
      <w:divBdr>
        <w:top w:val="none" w:sz="0" w:space="0" w:color="auto"/>
        <w:left w:val="none" w:sz="0" w:space="0" w:color="auto"/>
        <w:bottom w:val="none" w:sz="0" w:space="0" w:color="auto"/>
        <w:right w:val="none" w:sz="0" w:space="0" w:color="auto"/>
      </w:divBdr>
      <w:divsChild>
        <w:div w:id="1422339739">
          <w:marLeft w:val="0"/>
          <w:marRight w:val="0"/>
          <w:marTop w:val="0"/>
          <w:marBottom w:val="0"/>
          <w:divBdr>
            <w:top w:val="none" w:sz="0" w:space="0" w:color="auto"/>
            <w:left w:val="none" w:sz="0" w:space="0" w:color="auto"/>
            <w:bottom w:val="none" w:sz="0" w:space="0" w:color="auto"/>
            <w:right w:val="none" w:sz="0" w:space="0" w:color="auto"/>
          </w:divBdr>
        </w:div>
      </w:divsChild>
    </w:div>
    <w:div w:id="117453510">
      <w:bodyDiv w:val="1"/>
      <w:marLeft w:val="0"/>
      <w:marRight w:val="0"/>
      <w:marTop w:val="0"/>
      <w:marBottom w:val="0"/>
      <w:divBdr>
        <w:top w:val="none" w:sz="0" w:space="0" w:color="auto"/>
        <w:left w:val="none" w:sz="0" w:space="0" w:color="auto"/>
        <w:bottom w:val="none" w:sz="0" w:space="0" w:color="auto"/>
        <w:right w:val="none" w:sz="0" w:space="0" w:color="auto"/>
      </w:divBdr>
    </w:div>
    <w:div w:id="145900070">
      <w:bodyDiv w:val="1"/>
      <w:marLeft w:val="0"/>
      <w:marRight w:val="0"/>
      <w:marTop w:val="0"/>
      <w:marBottom w:val="0"/>
      <w:divBdr>
        <w:top w:val="none" w:sz="0" w:space="0" w:color="auto"/>
        <w:left w:val="none" w:sz="0" w:space="0" w:color="auto"/>
        <w:bottom w:val="none" w:sz="0" w:space="0" w:color="auto"/>
        <w:right w:val="none" w:sz="0" w:space="0" w:color="auto"/>
      </w:divBdr>
    </w:div>
    <w:div w:id="147986916">
      <w:bodyDiv w:val="1"/>
      <w:marLeft w:val="0"/>
      <w:marRight w:val="0"/>
      <w:marTop w:val="0"/>
      <w:marBottom w:val="0"/>
      <w:divBdr>
        <w:top w:val="none" w:sz="0" w:space="0" w:color="auto"/>
        <w:left w:val="none" w:sz="0" w:space="0" w:color="auto"/>
        <w:bottom w:val="none" w:sz="0" w:space="0" w:color="auto"/>
        <w:right w:val="none" w:sz="0" w:space="0" w:color="auto"/>
      </w:divBdr>
    </w:div>
    <w:div w:id="155920809">
      <w:bodyDiv w:val="1"/>
      <w:marLeft w:val="0"/>
      <w:marRight w:val="0"/>
      <w:marTop w:val="0"/>
      <w:marBottom w:val="0"/>
      <w:divBdr>
        <w:top w:val="none" w:sz="0" w:space="0" w:color="auto"/>
        <w:left w:val="none" w:sz="0" w:space="0" w:color="auto"/>
        <w:bottom w:val="none" w:sz="0" w:space="0" w:color="auto"/>
        <w:right w:val="none" w:sz="0" w:space="0" w:color="auto"/>
      </w:divBdr>
    </w:div>
    <w:div w:id="160392647">
      <w:bodyDiv w:val="1"/>
      <w:marLeft w:val="0"/>
      <w:marRight w:val="0"/>
      <w:marTop w:val="0"/>
      <w:marBottom w:val="0"/>
      <w:divBdr>
        <w:top w:val="none" w:sz="0" w:space="0" w:color="auto"/>
        <w:left w:val="none" w:sz="0" w:space="0" w:color="auto"/>
        <w:bottom w:val="none" w:sz="0" w:space="0" w:color="auto"/>
        <w:right w:val="none" w:sz="0" w:space="0" w:color="auto"/>
      </w:divBdr>
    </w:div>
    <w:div w:id="160774629">
      <w:bodyDiv w:val="1"/>
      <w:marLeft w:val="0"/>
      <w:marRight w:val="0"/>
      <w:marTop w:val="0"/>
      <w:marBottom w:val="0"/>
      <w:divBdr>
        <w:top w:val="none" w:sz="0" w:space="0" w:color="auto"/>
        <w:left w:val="none" w:sz="0" w:space="0" w:color="auto"/>
        <w:bottom w:val="none" w:sz="0" w:space="0" w:color="auto"/>
        <w:right w:val="none" w:sz="0" w:space="0" w:color="auto"/>
      </w:divBdr>
      <w:divsChild>
        <w:div w:id="23986669">
          <w:marLeft w:val="0"/>
          <w:marRight w:val="0"/>
          <w:marTop w:val="0"/>
          <w:marBottom w:val="0"/>
          <w:divBdr>
            <w:top w:val="none" w:sz="0" w:space="0" w:color="auto"/>
            <w:left w:val="none" w:sz="0" w:space="0" w:color="auto"/>
            <w:bottom w:val="none" w:sz="0" w:space="0" w:color="auto"/>
            <w:right w:val="none" w:sz="0" w:space="0" w:color="auto"/>
          </w:divBdr>
        </w:div>
        <w:div w:id="1794788861">
          <w:marLeft w:val="0"/>
          <w:marRight w:val="0"/>
          <w:marTop w:val="0"/>
          <w:marBottom w:val="0"/>
          <w:divBdr>
            <w:top w:val="none" w:sz="0" w:space="0" w:color="auto"/>
            <w:left w:val="none" w:sz="0" w:space="0" w:color="auto"/>
            <w:bottom w:val="none" w:sz="0" w:space="0" w:color="auto"/>
            <w:right w:val="none" w:sz="0" w:space="0" w:color="auto"/>
          </w:divBdr>
        </w:div>
        <w:div w:id="1964193830">
          <w:marLeft w:val="0"/>
          <w:marRight w:val="0"/>
          <w:marTop w:val="0"/>
          <w:marBottom w:val="0"/>
          <w:divBdr>
            <w:top w:val="none" w:sz="0" w:space="0" w:color="auto"/>
            <w:left w:val="none" w:sz="0" w:space="0" w:color="auto"/>
            <w:bottom w:val="none" w:sz="0" w:space="0" w:color="auto"/>
            <w:right w:val="none" w:sz="0" w:space="0" w:color="auto"/>
          </w:divBdr>
        </w:div>
        <w:div w:id="765661704">
          <w:marLeft w:val="0"/>
          <w:marRight w:val="0"/>
          <w:marTop w:val="0"/>
          <w:marBottom w:val="0"/>
          <w:divBdr>
            <w:top w:val="none" w:sz="0" w:space="0" w:color="auto"/>
            <w:left w:val="none" w:sz="0" w:space="0" w:color="auto"/>
            <w:bottom w:val="none" w:sz="0" w:space="0" w:color="auto"/>
            <w:right w:val="none" w:sz="0" w:space="0" w:color="auto"/>
          </w:divBdr>
        </w:div>
        <w:div w:id="1560170086">
          <w:marLeft w:val="0"/>
          <w:marRight w:val="0"/>
          <w:marTop w:val="0"/>
          <w:marBottom w:val="0"/>
          <w:divBdr>
            <w:top w:val="none" w:sz="0" w:space="0" w:color="auto"/>
            <w:left w:val="none" w:sz="0" w:space="0" w:color="auto"/>
            <w:bottom w:val="none" w:sz="0" w:space="0" w:color="auto"/>
            <w:right w:val="none" w:sz="0" w:space="0" w:color="auto"/>
          </w:divBdr>
        </w:div>
        <w:div w:id="863521988">
          <w:marLeft w:val="0"/>
          <w:marRight w:val="0"/>
          <w:marTop w:val="0"/>
          <w:marBottom w:val="0"/>
          <w:divBdr>
            <w:top w:val="none" w:sz="0" w:space="0" w:color="auto"/>
            <w:left w:val="none" w:sz="0" w:space="0" w:color="auto"/>
            <w:bottom w:val="none" w:sz="0" w:space="0" w:color="auto"/>
            <w:right w:val="none" w:sz="0" w:space="0" w:color="auto"/>
          </w:divBdr>
        </w:div>
        <w:div w:id="507790044">
          <w:marLeft w:val="0"/>
          <w:marRight w:val="0"/>
          <w:marTop w:val="0"/>
          <w:marBottom w:val="0"/>
          <w:divBdr>
            <w:top w:val="none" w:sz="0" w:space="0" w:color="auto"/>
            <w:left w:val="none" w:sz="0" w:space="0" w:color="auto"/>
            <w:bottom w:val="none" w:sz="0" w:space="0" w:color="auto"/>
            <w:right w:val="none" w:sz="0" w:space="0" w:color="auto"/>
          </w:divBdr>
        </w:div>
        <w:div w:id="106239333">
          <w:marLeft w:val="0"/>
          <w:marRight w:val="0"/>
          <w:marTop w:val="0"/>
          <w:marBottom w:val="0"/>
          <w:divBdr>
            <w:top w:val="none" w:sz="0" w:space="0" w:color="auto"/>
            <w:left w:val="none" w:sz="0" w:space="0" w:color="auto"/>
            <w:bottom w:val="none" w:sz="0" w:space="0" w:color="auto"/>
            <w:right w:val="none" w:sz="0" w:space="0" w:color="auto"/>
          </w:divBdr>
        </w:div>
        <w:div w:id="1498839616">
          <w:marLeft w:val="0"/>
          <w:marRight w:val="0"/>
          <w:marTop w:val="0"/>
          <w:marBottom w:val="0"/>
          <w:divBdr>
            <w:top w:val="none" w:sz="0" w:space="0" w:color="auto"/>
            <w:left w:val="none" w:sz="0" w:space="0" w:color="auto"/>
            <w:bottom w:val="none" w:sz="0" w:space="0" w:color="auto"/>
            <w:right w:val="none" w:sz="0" w:space="0" w:color="auto"/>
          </w:divBdr>
        </w:div>
      </w:divsChild>
    </w:div>
    <w:div w:id="166407024">
      <w:bodyDiv w:val="1"/>
      <w:marLeft w:val="0"/>
      <w:marRight w:val="0"/>
      <w:marTop w:val="0"/>
      <w:marBottom w:val="0"/>
      <w:divBdr>
        <w:top w:val="none" w:sz="0" w:space="0" w:color="auto"/>
        <w:left w:val="none" w:sz="0" w:space="0" w:color="auto"/>
        <w:bottom w:val="none" w:sz="0" w:space="0" w:color="auto"/>
        <w:right w:val="none" w:sz="0" w:space="0" w:color="auto"/>
      </w:divBdr>
    </w:div>
    <w:div w:id="175772595">
      <w:bodyDiv w:val="1"/>
      <w:marLeft w:val="0"/>
      <w:marRight w:val="0"/>
      <w:marTop w:val="0"/>
      <w:marBottom w:val="0"/>
      <w:divBdr>
        <w:top w:val="none" w:sz="0" w:space="0" w:color="auto"/>
        <w:left w:val="none" w:sz="0" w:space="0" w:color="auto"/>
        <w:bottom w:val="none" w:sz="0" w:space="0" w:color="auto"/>
        <w:right w:val="none" w:sz="0" w:space="0" w:color="auto"/>
      </w:divBdr>
    </w:div>
    <w:div w:id="185292813">
      <w:bodyDiv w:val="1"/>
      <w:marLeft w:val="0"/>
      <w:marRight w:val="0"/>
      <w:marTop w:val="0"/>
      <w:marBottom w:val="0"/>
      <w:divBdr>
        <w:top w:val="none" w:sz="0" w:space="0" w:color="auto"/>
        <w:left w:val="none" w:sz="0" w:space="0" w:color="auto"/>
        <w:bottom w:val="none" w:sz="0" w:space="0" w:color="auto"/>
        <w:right w:val="none" w:sz="0" w:space="0" w:color="auto"/>
      </w:divBdr>
      <w:divsChild>
        <w:div w:id="1700201929">
          <w:marLeft w:val="0"/>
          <w:marRight w:val="0"/>
          <w:marTop w:val="0"/>
          <w:marBottom w:val="0"/>
          <w:divBdr>
            <w:top w:val="none" w:sz="0" w:space="0" w:color="auto"/>
            <w:left w:val="none" w:sz="0" w:space="0" w:color="auto"/>
            <w:bottom w:val="none" w:sz="0" w:space="0" w:color="auto"/>
            <w:right w:val="none" w:sz="0" w:space="0" w:color="auto"/>
          </w:divBdr>
        </w:div>
      </w:divsChild>
    </w:div>
    <w:div w:id="202209670">
      <w:bodyDiv w:val="1"/>
      <w:marLeft w:val="0"/>
      <w:marRight w:val="0"/>
      <w:marTop w:val="0"/>
      <w:marBottom w:val="0"/>
      <w:divBdr>
        <w:top w:val="none" w:sz="0" w:space="0" w:color="auto"/>
        <w:left w:val="none" w:sz="0" w:space="0" w:color="auto"/>
        <w:bottom w:val="none" w:sz="0" w:space="0" w:color="auto"/>
        <w:right w:val="none" w:sz="0" w:space="0" w:color="auto"/>
      </w:divBdr>
    </w:div>
    <w:div w:id="208032694">
      <w:bodyDiv w:val="1"/>
      <w:marLeft w:val="0"/>
      <w:marRight w:val="0"/>
      <w:marTop w:val="0"/>
      <w:marBottom w:val="0"/>
      <w:divBdr>
        <w:top w:val="none" w:sz="0" w:space="0" w:color="auto"/>
        <w:left w:val="none" w:sz="0" w:space="0" w:color="auto"/>
        <w:bottom w:val="none" w:sz="0" w:space="0" w:color="auto"/>
        <w:right w:val="none" w:sz="0" w:space="0" w:color="auto"/>
      </w:divBdr>
    </w:div>
    <w:div w:id="221673629">
      <w:bodyDiv w:val="1"/>
      <w:marLeft w:val="0"/>
      <w:marRight w:val="0"/>
      <w:marTop w:val="0"/>
      <w:marBottom w:val="0"/>
      <w:divBdr>
        <w:top w:val="none" w:sz="0" w:space="0" w:color="auto"/>
        <w:left w:val="none" w:sz="0" w:space="0" w:color="auto"/>
        <w:bottom w:val="none" w:sz="0" w:space="0" w:color="auto"/>
        <w:right w:val="none" w:sz="0" w:space="0" w:color="auto"/>
      </w:divBdr>
    </w:div>
    <w:div w:id="229193876">
      <w:bodyDiv w:val="1"/>
      <w:marLeft w:val="0"/>
      <w:marRight w:val="0"/>
      <w:marTop w:val="0"/>
      <w:marBottom w:val="0"/>
      <w:divBdr>
        <w:top w:val="none" w:sz="0" w:space="0" w:color="auto"/>
        <w:left w:val="none" w:sz="0" w:space="0" w:color="auto"/>
        <w:bottom w:val="none" w:sz="0" w:space="0" w:color="auto"/>
        <w:right w:val="none" w:sz="0" w:space="0" w:color="auto"/>
      </w:divBdr>
      <w:divsChild>
        <w:div w:id="914240643">
          <w:marLeft w:val="1166"/>
          <w:marRight w:val="0"/>
          <w:marTop w:val="106"/>
          <w:marBottom w:val="0"/>
          <w:divBdr>
            <w:top w:val="none" w:sz="0" w:space="0" w:color="auto"/>
            <w:left w:val="none" w:sz="0" w:space="0" w:color="auto"/>
            <w:bottom w:val="none" w:sz="0" w:space="0" w:color="auto"/>
            <w:right w:val="none" w:sz="0" w:space="0" w:color="auto"/>
          </w:divBdr>
        </w:div>
      </w:divsChild>
    </w:div>
    <w:div w:id="244268492">
      <w:bodyDiv w:val="1"/>
      <w:marLeft w:val="0"/>
      <w:marRight w:val="0"/>
      <w:marTop w:val="0"/>
      <w:marBottom w:val="0"/>
      <w:divBdr>
        <w:top w:val="none" w:sz="0" w:space="0" w:color="auto"/>
        <w:left w:val="none" w:sz="0" w:space="0" w:color="auto"/>
        <w:bottom w:val="none" w:sz="0" w:space="0" w:color="auto"/>
        <w:right w:val="none" w:sz="0" w:space="0" w:color="auto"/>
      </w:divBdr>
    </w:div>
    <w:div w:id="245311932">
      <w:bodyDiv w:val="1"/>
      <w:marLeft w:val="0"/>
      <w:marRight w:val="0"/>
      <w:marTop w:val="0"/>
      <w:marBottom w:val="0"/>
      <w:divBdr>
        <w:top w:val="none" w:sz="0" w:space="0" w:color="auto"/>
        <w:left w:val="none" w:sz="0" w:space="0" w:color="auto"/>
        <w:bottom w:val="none" w:sz="0" w:space="0" w:color="auto"/>
        <w:right w:val="none" w:sz="0" w:space="0" w:color="auto"/>
      </w:divBdr>
      <w:divsChild>
        <w:div w:id="550265348">
          <w:marLeft w:val="1166"/>
          <w:marRight w:val="0"/>
          <w:marTop w:val="106"/>
          <w:marBottom w:val="0"/>
          <w:divBdr>
            <w:top w:val="none" w:sz="0" w:space="0" w:color="auto"/>
            <w:left w:val="none" w:sz="0" w:space="0" w:color="auto"/>
            <w:bottom w:val="none" w:sz="0" w:space="0" w:color="auto"/>
            <w:right w:val="none" w:sz="0" w:space="0" w:color="auto"/>
          </w:divBdr>
        </w:div>
        <w:div w:id="710154662">
          <w:marLeft w:val="1166"/>
          <w:marRight w:val="0"/>
          <w:marTop w:val="106"/>
          <w:marBottom w:val="0"/>
          <w:divBdr>
            <w:top w:val="none" w:sz="0" w:space="0" w:color="auto"/>
            <w:left w:val="none" w:sz="0" w:space="0" w:color="auto"/>
            <w:bottom w:val="none" w:sz="0" w:space="0" w:color="auto"/>
            <w:right w:val="none" w:sz="0" w:space="0" w:color="auto"/>
          </w:divBdr>
        </w:div>
      </w:divsChild>
    </w:div>
    <w:div w:id="250823601">
      <w:bodyDiv w:val="1"/>
      <w:marLeft w:val="0"/>
      <w:marRight w:val="0"/>
      <w:marTop w:val="0"/>
      <w:marBottom w:val="0"/>
      <w:divBdr>
        <w:top w:val="none" w:sz="0" w:space="0" w:color="auto"/>
        <w:left w:val="none" w:sz="0" w:space="0" w:color="auto"/>
        <w:bottom w:val="none" w:sz="0" w:space="0" w:color="auto"/>
        <w:right w:val="none" w:sz="0" w:space="0" w:color="auto"/>
      </w:divBdr>
    </w:div>
    <w:div w:id="261646204">
      <w:bodyDiv w:val="1"/>
      <w:marLeft w:val="0"/>
      <w:marRight w:val="0"/>
      <w:marTop w:val="0"/>
      <w:marBottom w:val="0"/>
      <w:divBdr>
        <w:top w:val="none" w:sz="0" w:space="0" w:color="auto"/>
        <w:left w:val="none" w:sz="0" w:space="0" w:color="auto"/>
        <w:bottom w:val="none" w:sz="0" w:space="0" w:color="auto"/>
        <w:right w:val="none" w:sz="0" w:space="0" w:color="auto"/>
      </w:divBdr>
    </w:div>
    <w:div w:id="273371549">
      <w:bodyDiv w:val="1"/>
      <w:marLeft w:val="0"/>
      <w:marRight w:val="0"/>
      <w:marTop w:val="0"/>
      <w:marBottom w:val="0"/>
      <w:divBdr>
        <w:top w:val="none" w:sz="0" w:space="0" w:color="auto"/>
        <w:left w:val="none" w:sz="0" w:space="0" w:color="auto"/>
        <w:bottom w:val="none" w:sz="0" w:space="0" w:color="auto"/>
        <w:right w:val="none" w:sz="0" w:space="0" w:color="auto"/>
      </w:divBdr>
    </w:div>
    <w:div w:id="278881728">
      <w:bodyDiv w:val="1"/>
      <w:marLeft w:val="0"/>
      <w:marRight w:val="0"/>
      <w:marTop w:val="0"/>
      <w:marBottom w:val="0"/>
      <w:divBdr>
        <w:top w:val="none" w:sz="0" w:space="0" w:color="auto"/>
        <w:left w:val="none" w:sz="0" w:space="0" w:color="auto"/>
        <w:bottom w:val="none" w:sz="0" w:space="0" w:color="auto"/>
        <w:right w:val="none" w:sz="0" w:space="0" w:color="auto"/>
      </w:divBdr>
      <w:divsChild>
        <w:div w:id="1269460013">
          <w:marLeft w:val="1166"/>
          <w:marRight w:val="0"/>
          <w:marTop w:val="106"/>
          <w:marBottom w:val="0"/>
          <w:divBdr>
            <w:top w:val="none" w:sz="0" w:space="0" w:color="auto"/>
            <w:left w:val="none" w:sz="0" w:space="0" w:color="auto"/>
            <w:bottom w:val="none" w:sz="0" w:space="0" w:color="auto"/>
            <w:right w:val="none" w:sz="0" w:space="0" w:color="auto"/>
          </w:divBdr>
        </w:div>
        <w:div w:id="2117869097">
          <w:marLeft w:val="1166"/>
          <w:marRight w:val="0"/>
          <w:marTop w:val="106"/>
          <w:marBottom w:val="0"/>
          <w:divBdr>
            <w:top w:val="none" w:sz="0" w:space="0" w:color="auto"/>
            <w:left w:val="none" w:sz="0" w:space="0" w:color="auto"/>
            <w:bottom w:val="none" w:sz="0" w:space="0" w:color="auto"/>
            <w:right w:val="none" w:sz="0" w:space="0" w:color="auto"/>
          </w:divBdr>
        </w:div>
      </w:divsChild>
    </w:div>
    <w:div w:id="282687305">
      <w:bodyDiv w:val="1"/>
      <w:marLeft w:val="0"/>
      <w:marRight w:val="0"/>
      <w:marTop w:val="0"/>
      <w:marBottom w:val="0"/>
      <w:divBdr>
        <w:top w:val="none" w:sz="0" w:space="0" w:color="auto"/>
        <w:left w:val="none" w:sz="0" w:space="0" w:color="auto"/>
        <w:bottom w:val="none" w:sz="0" w:space="0" w:color="auto"/>
        <w:right w:val="none" w:sz="0" w:space="0" w:color="auto"/>
      </w:divBdr>
    </w:div>
    <w:div w:id="288240971">
      <w:bodyDiv w:val="1"/>
      <w:marLeft w:val="0"/>
      <w:marRight w:val="0"/>
      <w:marTop w:val="0"/>
      <w:marBottom w:val="0"/>
      <w:divBdr>
        <w:top w:val="none" w:sz="0" w:space="0" w:color="auto"/>
        <w:left w:val="none" w:sz="0" w:space="0" w:color="auto"/>
        <w:bottom w:val="none" w:sz="0" w:space="0" w:color="auto"/>
        <w:right w:val="none" w:sz="0" w:space="0" w:color="auto"/>
      </w:divBdr>
      <w:divsChild>
        <w:div w:id="1391341478">
          <w:marLeft w:val="0"/>
          <w:marRight w:val="0"/>
          <w:marTop w:val="0"/>
          <w:marBottom w:val="0"/>
          <w:divBdr>
            <w:top w:val="none" w:sz="0" w:space="0" w:color="auto"/>
            <w:left w:val="none" w:sz="0" w:space="0" w:color="auto"/>
            <w:bottom w:val="none" w:sz="0" w:space="0" w:color="auto"/>
            <w:right w:val="none" w:sz="0" w:space="0" w:color="auto"/>
          </w:divBdr>
        </w:div>
      </w:divsChild>
    </w:div>
    <w:div w:id="300618678">
      <w:bodyDiv w:val="1"/>
      <w:marLeft w:val="0"/>
      <w:marRight w:val="0"/>
      <w:marTop w:val="0"/>
      <w:marBottom w:val="0"/>
      <w:divBdr>
        <w:top w:val="none" w:sz="0" w:space="0" w:color="auto"/>
        <w:left w:val="none" w:sz="0" w:space="0" w:color="auto"/>
        <w:bottom w:val="none" w:sz="0" w:space="0" w:color="auto"/>
        <w:right w:val="none" w:sz="0" w:space="0" w:color="auto"/>
      </w:divBdr>
    </w:div>
    <w:div w:id="305621942">
      <w:bodyDiv w:val="1"/>
      <w:marLeft w:val="0"/>
      <w:marRight w:val="0"/>
      <w:marTop w:val="0"/>
      <w:marBottom w:val="0"/>
      <w:divBdr>
        <w:top w:val="none" w:sz="0" w:space="0" w:color="auto"/>
        <w:left w:val="none" w:sz="0" w:space="0" w:color="auto"/>
        <w:bottom w:val="none" w:sz="0" w:space="0" w:color="auto"/>
        <w:right w:val="none" w:sz="0" w:space="0" w:color="auto"/>
      </w:divBdr>
    </w:div>
    <w:div w:id="306513862">
      <w:bodyDiv w:val="1"/>
      <w:marLeft w:val="0"/>
      <w:marRight w:val="0"/>
      <w:marTop w:val="0"/>
      <w:marBottom w:val="0"/>
      <w:divBdr>
        <w:top w:val="none" w:sz="0" w:space="0" w:color="auto"/>
        <w:left w:val="none" w:sz="0" w:space="0" w:color="auto"/>
        <w:bottom w:val="none" w:sz="0" w:space="0" w:color="auto"/>
        <w:right w:val="none" w:sz="0" w:space="0" w:color="auto"/>
      </w:divBdr>
      <w:divsChild>
        <w:div w:id="183709489">
          <w:marLeft w:val="0"/>
          <w:marRight w:val="0"/>
          <w:marTop w:val="0"/>
          <w:marBottom w:val="0"/>
          <w:divBdr>
            <w:top w:val="none" w:sz="0" w:space="0" w:color="auto"/>
            <w:left w:val="none" w:sz="0" w:space="0" w:color="auto"/>
            <w:bottom w:val="none" w:sz="0" w:space="0" w:color="auto"/>
            <w:right w:val="none" w:sz="0" w:space="0" w:color="auto"/>
          </w:divBdr>
        </w:div>
        <w:div w:id="40715780">
          <w:marLeft w:val="0"/>
          <w:marRight w:val="0"/>
          <w:marTop w:val="0"/>
          <w:marBottom w:val="0"/>
          <w:divBdr>
            <w:top w:val="none" w:sz="0" w:space="0" w:color="auto"/>
            <w:left w:val="none" w:sz="0" w:space="0" w:color="auto"/>
            <w:bottom w:val="none" w:sz="0" w:space="0" w:color="auto"/>
            <w:right w:val="none" w:sz="0" w:space="0" w:color="auto"/>
          </w:divBdr>
        </w:div>
        <w:div w:id="308219216">
          <w:marLeft w:val="0"/>
          <w:marRight w:val="0"/>
          <w:marTop w:val="0"/>
          <w:marBottom w:val="0"/>
          <w:divBdr>
            <w:top w:val="none" w:sz="0" w:space="0" w:color="auto"/>
            <w:left w:val="none" w:sz="0" w:space="0" w:color="auto"/>
            <w:bottom w:val="none" w:sz="0" w:space="0" w:color="auto"/>
            <w:right w:val="none" w:sz="0" w:space="0" w:color="auto"/>
          </w:divBdr>
        </w:div>
        <w:div w:id="939338238">
          <w:marLeft w:val="0"/>
          <w:marRight w:val="0"/>
          <w:marTop w:val="0"/>
          <w:marBottom w:val="0"/>
          <w:divBdr>
            <w:top w:val="none" w:sz="0" w:space="0" w:color="auto"/>
            <w:left w:val="none" w:sz="0" w:space="0" w:color="auto"/>
            <w:bottom w:val="none" w:sz="0" w:space="0" w:color="auto"/>
            <w:right w:val="none" w:sz="0" w:space="0" w:color="auto"/>
          </w:divBdr>
        </w:div>
        <w:div w:id="2066559686">
          <w:marLeft w:val="0"/>
          <w:marRight w:val="0"/>
          <w:marTop w:val="0"/>
          <w:marBottom w:val="0"/>
          <w:divBdr>
            <w:top w:val="none" w:sz="0" w:space="0" w:color="auto"/>
            <w:left w:val="none" w:sz="0" w:space="0" w:color="auto"/>
            <w:bottom w:val="none" w:sz="0" w:space="0" w:color="auto"/>
            <w:right w:val="none" w:sz="0" w:space="0" w:color="auto"/>
          </w:divBdr>
        </w:div>
        <w:div w:id="1972637494">
          <w:marLeft w:val="0"/>
          <w:marRight w:val="0"/>
          <w:marTop w:val="0"/>
          <w:marBottom w:val="0"/>
          <w:divBdr>
            <w:top w:val="none" w:sz="0" w:space="0" w:color="auto"/>
            <w:left w:val="none" w:sz="0" w:space="0" w:color="auto"/>
            <w:bottom w:val="none" w:sz="0" w:space="0" w:color="auto"/>
            <w:right w:val="none" w:sz="0" w:space="0" w:color="auto"/>
          </w:divBdr>
        </w:div>
      </w:divsChild>
    </w:div>
    <w:div w:id="316614951">
      <w:bodyDiv w:val="1"/>
      <w:marLeft w:val="0"/>
      <w:marRight w:val="0"/>
      <w:marTop w:val="0"/>
      <w:marBottom w:val="0"/>
      <w:divBdr>
        <w:top w:val="none" w:sz="0" w:space="0" w:color="auto"/>
        <w:left w:val="none" w:sz="0" w:space="0" w:color="auto"/>
        <w:bottom w:val="none" w:sz="0" w:space="0" w:color="auto"/>
        <w:right w:val="none" w:sz="0" w:space="0" w:color="auto"/>
      </w:divBdr>
    </w:div>
    <w:div w:id="319619475">
      <w:bodyDiv w:val="1"/>
      <w:marLeft w:val="0"/>
      <w:marRight w:val="0"/>
      <w:marTop w:val="0"/>
      <w:marBottom w:val="0"/>
      <w:divBdr>
        <w:top w:val="none" w:sz="0" w:space="0" w:color="auto"/>
        <w:left w:val="none" w:sz="0" w:space="0" w:color="auto"/>
        <w:bottom w:val="none" w:sz="0" w:space="0" w:color="auto"/>
        <w:right w:val="none" w:sz="0" w:space="0" w:color="auto"/>
      </w:divBdr>
    </w:div>
    <w:div w:id="351419662">
      <w:bodyDiv w:val="1"/>
      <w:marLeft w:val="0"/>
      <w:marRight w:val="0"/>
      <w:marTop w:val="0"/>
      <w:marBottom w:val="0"/>
      <w:divBdr>
        <w:top w:val="none" w:sz="0" w:space="0" w:color="auto"/>
        <w:left w:val="none" w:sz="0" w:space="0" w:color="auto"/>
        <w:bottom w:val="none" w:sz="0" w:space="0" w:color="auto"/>
        <w:right w:val="none" w:sz="0" w:space="0" w:color="auto"/>
      </w:divBdr>
    </w:div>
    <w:div w:id="367804181">
      <w:bodyDiv w:val="1"/>
      <w:marLeft w:val="0"/>
      <w:marRight w:val="0"/>
      <w:marTop w:val="0"/>
      <w:marBottom w:val="0"/>
      <w:divBdr>
        <w:top w:val="none" w:sz="0" w:space="0" w:color="auto"/>
        <w:left w:val="none" w:sz="0" w:space="0" w:color="auto"/>
        <w:bottom w:val="none" w:sz="0" w:space="0" w:color="auto"/>
        <w:right w:val="none" w:sz="0" w:space="0" w:color="auto"/>
      </w:divBdr>
      <w:divsChild>
        <w:div w:id="995887609">
          <w:marLeft w:val="0"/>
          <w:marRight w:val="0"/>
          <w:marTop w:val="0"/>
          <w:marBottom w:val="0"/>
          <w:divBdr>
            <w:top w:val="none" w:sz="0" w:space="0" w:color="auto"/>
            <w:left w:val="none" w:sz="0" w:space="0" w:color="auto"/>
            <w:bottom w:val="none" w:sz="0" w:space="0" w:color="auto"/>
            <w:right w:val="none" w:sz="0" w:space="0" w:color="auto"/>
          </w:divBdr>
          <w:divsChild>
            <w:div w:id="927884947">
              <w:marLeft w:val="0"/>
              <w:marRight w:val="0"/>
              <w:marTop w:val="0"/>
              <w:marBottom w:val="0"/>
              <w:divBdr>
                <w:top w:val="none" w:sz="0" w:space="0" w:color="auto"/>
                <w:left w:val="none" w:sz="0" w:space="0" w:color="auto"/>
                <w:bottom w:val="none" w:sz="0" w:space="0" w:color="auto"/>
                <w:right w:val="none" w:sz="0" w:space="0" w:color="auto"/>
              </w:divBdr>
              <w:divsChild>
                <w:div w:id="1231574327">
                  <w:marLeft w:val="0"/>
                  <w:marRight w:val="0"/>
                  <w:marTop w:val="0"/>
                  <w:marBottom w:val="0"/>
                  <w:divBdr>
                    <w:top w:val="none" w:sz="0" w:space="0" w:color="auto"/>
                    <w:left w:val="none" w:sz="0" w:space="0" w:color="auto"/>
                    <w:bottom w:val="none" w:sz="0" w:space="0" w:color="auto"/>
                    <w:right w:val="none" w:sz="0" w:space="0" w:color="auto"/>
                  </w:divBdr>
                  <w:divsChild>
                    <w:div w:id="1677461643">
                      <w:marLeft w:val="0"/>
                      <w:marRight w:val="0"/>
                      <w:marTop w:val="0"/>
                      <w:marBottom w:val="0"/>
                      <w:divBdr>
                        <w:top w:val="none" w:sz="0" w:space="0" w:color="auto"/>
                        <w:left w:val="none" w:sz="0" w:space="0" w:color="auto"/>
                        <w:bottom w:val="none" w:sz="0" w:space="0" w:color="auto"/>
                        <w:right w:val="none" w:sz="0" w:space="0" w:color="auto"/>
                      </w:divBdr>
                      <w:divsChild>
                        <w:div w:id="10331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384694">
      <w:bodyDiv w:val="1"/>
      <w:marLeft w:val="0"/>
      <w:marRight w:val="0"/>
      <w:marTop w:val="0"/>
      <w:marBottom w:val="0"/>
      <w:divBdr>
        <w:top w:val="none" w:sz="0" w:space="0" w:color="auto"/>
        <w:left w:val="none" w:sz="0" w:space="0" w:color="auto"/>
        <w:bottom w:val="none" w:sz="0" w:space="0" w:color="auto"/>
        <w:right w:val="none" w:sz="0" w:space="0" w:color="auto"/>
      </w:divBdr>
    </w:div>
    <w:div w:id="388501012">
      <w:bodyDiv w:val="1"/>
      <w:marLeft w:val="0"/>
      <w:marRight w:val="0"/>
      <w:marTop w:val="0"/>
      <w:marBottom w:val="0"/>
      <w:divBdr>
        <w:top w:val="none" w:sz="0" w:space="0" w:color="auto"/>
        <w:left w:val="none" w:sz="0" w:space="0" w:color="auto"/>
        <w:bottom w:val="none" w:sz="0" w:space="0" w:color="auto"/>
        <w:right w:val="none" w:sz="0" w:space="0" w:color="auto"/>
      </w:divBdr>
      <w:divsChild>
        <w:div w:id="958805186">
          <w:marLeft w:val="0"/>
          <w:marRight w:val="0"/>
          <w:marTop w:val="0"/>
          <w:marBottom w:val="0"/>
          <w:divBdr>
            <w:top w:val="none" w:sz="0" w:space="0" w:color="auto"/>
            <w:left w:val="none" w:sz="0" w:space="0" w:color="auto"/>
            <w:bottom w:val="none" w:sz="0" w:space="0" w:color="auto"/>
            <w:right w:val="none" w:sz="0" w:space="0" w:color="auto"/>
          </w:divBdr>
        </w:div>
      </w:divsChild>
    </w:div>
    <w:div w:id="402532034">
      <w:bodyDiv w:val="1"/>
      <w:marLeft w:val="0"/>
      <w:marRight w:val="0"/>
      <w:marTop w:val="0"/>
      <w:marBottom w:val="0"/>
      <w:divBdr>
        <w:top w:val="none" w:sz="0" w:space="0" w:color="auto"/>
        <w:left w:val="none" w:sz="0" w:space="0" w:color="auto"/>
        <w:bottom w:val="none" w:sz="0" w:space="0" w:color="auto"/>
        <w:right w:val="none" w:sz="0" w:space="0" w:color="auto"/>
      </w:divBdr>
    </w:div>
    <w:div w:id="414089193">
      <w:bodyDiv w:val="1"/>
      <w:marLeft w:val="0"/>
      <w:marRight w:val="0"/>
      <w:marTop w:val="0"/>
      <w:marBottom w:val="0"/>
      <w:divBdr>
        <w:top w:val="none" w:sz="0" w:space="0" w:color="auto"/>
        <w:left w:val="none" w:sz="0" w:space="0" w:color="auto"/>
        <w:bottom w:val="none" w:sz="0" w:space="0" w:color="auto"/>
        <w:right w:val="none" w:sz="0" w:space="0" w:color="auto"/>
      </w:divBdr>
    </w:div>
    <w:div w:id="439034366">
      <w:bodyDiv w:val="1"/>
      <w:marLeft w:val="0"/>
      <w:marRight w:val="0"/>
      <w:marTop w:val="0"/>
      <w:marBottom w:val="0"/>
      <w:divBdr>
        <w:top w:val="none" w:sz="0" w:space="0" w:color="auto"/>
        <w:left w:val="none" w:sz="0" w:space="0" w:color="auto"/>
        <w:bottom w:val="none" w:sz="0" w:space="0" w:color="auto"/>
        <w:right w:val="none" w:sz="0" w:space="0" w:color="auto"/>
      </w:divBdr>
    </w:div>
    <w:div w:id="445194229">
      <w:bodyDiv w:val="1"/>
      <w:marLeft w:val="0"/>
      <w:marRight w:val="0"/>
      <w:marTop w:val="0"/>
      <w:marBottom w:val="0"/>
      <w:divBdr>
        <w:top w:val="none" w:sz="0" w:space="0" w:color="auto"/>
        <w:left w:val="none" w:sz="0" w:space="0" w:color="auto"/>
        <w:bottom w:val="none" w:sz="0" w:space="0" w:color="auto"/>
        <w:right w:val="none" w:sz="0" w:space="0" w:color="auto"/>
      </w:divBdr>
      <w:divsChild>
        <w:div w:id="118256822">
          <w:marLeft w:val="0"/>
          <w:marRight w:val="0"/>
          <w:marTop w:val="0"/>
          <w:marBottom w:val="0"/>
          <w:divBdr>
            <w:top w:val="none" w:sz="0" w:space="0" w:color="auto"/>
            <w:left w:val="none" w:sz="0" w:space="0" w:color="auto"/>
            <w:bottom w:val="none" w:sz="0" w:space="0" w:color="auto"/>
            <w:right w:val="none" w:sz="0" w:space="0" w:color="auto"/>
          </w:divBdr>
        </w:div>
      </w:divsChild>
    </w:div>
    <w:div w:id="446659213">
      <w:bodyDiv w:val="1"/>
      <w:marLeft w:val="0"/>
      <w:marRight w:val="0"/>
      <w:marTop w:val="0"/>
      <w:marBottom w:val="0"/>
      <w:divBdr>
        <w:top w:val="none" w:sz="0" w:space="0" w:color="auto"/>
        <w:left w:val="none" w:sz="0" w:space="0" w:color="auto"/>
        <w:bottom w:val="none" w:sz="0" w:space="0" w:color="auto"/>
        <w:right w:val="none" w:sz="0" w:space="0" w:color="auto"/>
      </w:divBdr>
    </w:div>
    <w:div w:id="473571738">
      <w:bodyDiv w:val="1"/>
      <w:marLeft w:val="0"/>
      <w:marRight w:val="0"/>
      <w:marTop w:val="0"/>
      <w:marBottom w:val="0"/>
      <w:divBdr>
        <w:top w:val="none" w:sz="0" w:space="0" w:color="auto"/>
        <w:left w:val="none" w:sz="0" w:space="0" w:color="auto"/>
        <w:bottom w:val="none" w:sz="0" w:space="0" w:color="auto"/>
        <w:right w:val="none" w:sz="0" w:space="0" w:color="auto"/>
      </w:divBdr>
    </w:div>
    <w:div w:id="479540529">
      <w:bodyDiv w:val="1"/>
      <w:marLeft w:val="0"/>
      <w:marRight w:val="0"/>
      <w:marTop w:val="0"/>
      <w:marBottom w:val="0"/>
      <w:divBdr>
        <w:top w:val="none" w:sz="0" w:space="0" w:color="auto"/>
        <w:left w:val="none" w:sz="0" w:space="0" w:color="auto"/>
        <w:bottom w:val="none" w:sz="0" w:space="0" w:color="auto"/>
        <w:right w:val="none" w:sz="0" w:space="0" w:color="auto"/>
      </w:divBdr>
    </w:div>
    <w:div w:id="487747606">
      <w:bodyDiv w:val="1"/>
      <w:marLeft w:val="0"/>
      <w:marRight w:val="0"/>
      <w:marTop w:val="0"/>
      <w:marBottom w:val="0"/>
      <w:divBdr>
        <w:top w:val="none" w:sz="0" w:space="0" w:color="auto"/>
        <w:left w:val="none" w:sz="0" w:space="0" w:color="auto"/>
        <w:bottom w:val="none" w:sz="0" w:space="0" w:color="auto"/>
        <w:right w:val="none" w:sz="0" w:space="0" w:color="auto"/>
      </w:divBdr>
    </w:div>
    <w:div w:id="500974006">
      <w:bodyDiv w:val="1"/>
      <w:marLeft w:val="0"/>
      <w:marRight w:val="0"/>
      <w:marTop w:val="0"/>
      <w:marBottom w:val="0"/>
      <w:divBdr>
        <w:top w:val="none" w:sz="0" w:space="0" w:color="auto"/>
        <w:left w:val="none" w:sz="0" w:space="0" w:color="auto"/>
        <w:bottom w:val="none" w:sz="0" w:space="0" w:color="auto"/>
        <w:right w:val="none" w:sz="0" w:space="0" w:color="auto"/>
      </w:divBdr>
    </w:div>
    <w:div w:id="513306327">
      <w:bodyDiv w:val="1"/>
      <w:marLeft w:val="0"/>
      <w:marRight w:val="0"/>
      <w:marTop w:val="0"/>
      <w:marBottom w:val="0"/>
      <w:divBdr>
        <w:top w:val="none" w:sz="0" w:space="0" w:color="auto"/>
        <w:left w:val="none" w:sz="0" w:space="0" w:color="auto"/>
        <w:bottom w:val="none" w:sz="0" w:space="0" w:color="auto"/>
        <w:right w:val="none" w:sz="0" w:space="0" w:color="auto"/>
      </w:divBdr>
    </w:div>
    <w:div w:id="530387065">
      <w:bodyDiv w:val="1"/>
      <w:marLeft w:val="0"/>
      <w:marRight w:val="0"/>
      <w:marTop w:val="0"/>
      <w:marBottom w:val="0"/>
      <w:divBdr>
        <w:top w:val="none" w:sz="0" w:space="0" w:color="auto"/>
        <w:left w:val="none" w:sz="0" w:space="0" w:color="auto"/>
        <w:bottom w:val="none" w:sz="0" w:space="0" w:color="auto"/>
        <w:right w:val="none" w:sz="0" w:space="0" w:color="auto"/>
      </w:divBdr>
      <w:divsChild>
        <w:div w:id="954293355">
          <w:marLeft w:val="1166"/>
          <w:marRight w:val="0"/>
          <w:marTop w:val="106"/>
          <w:marBottom w:val="0"/>
          <w:divBdr>
            <w:top w:val="none" w:sz="0" w:space="0" w:color="auto"/>
            <w:left w:val="none" w:sz="0" w:space="0" w:color="auto"/>
            <w:bottom w:val="none" w:sz="0" w:space="0" w:color="auto"/>
            <w:right w:val="none" w:sz="0" w:space="0" w:color="auto"/>
          </w:divBdr>
        </w:div>
        <w:div w:id="313409547">
          <w:marLeft w:val="1166"/>
          <w:marRight w:val="0"/>
          <w:marTop w:val="106"/>
          <w:marBottom w:val="0"/>
          <w:divBdr>
            <w:top w:val="none" w:sz="0" w:space="0" w:color="auto"/>
            <w:left w:val="none" w:sz="0" w:space="0" w:color="auto"/>
            <w:bottom w:val="none" w:sz="0" w:space="0" w:color="auto"/>
            <w:right w:val="none" w:sz="0" w:space="0" w:color="auto"/>
          </w:divBdr>
        </w:div>
        <w:div w:id="392778446">
          <w:marLeft w:val="1166"/>
          <w:marRight w:val="0"/>
          <w:marTop w:val="106"/>
          <w:marBottom w:val="0"/>
          <w:divBdr>
            <w:top w:val="none" w:sz="0" w:space="0" w:color="auto"/>
            <w:left w:val="none" w:sz="0" w:space="0" w:color="auto"/>
            <w:bottom w:val="none" w:sz="0" w:space="0" w:color="auto"/>
            <w:right w:val="none" w:sz="0" w:space="0" w:color="auto"/>
          </w:divBdr>
        </w:div>
        <w:div w:id="1315602055">
          <w:marLeft w:val="1166"/>
          <w:marRight w:val="0"/>
          <w:marTop w:val="106"/>
          <w:marBottom w:val="0"/>
          <w:divBdr>
            <w:top w:val="none" w:sz="0" w:space="0" w:color="auto"/>
            <w:left w:val="none" w:sz="0" w:space="0" w:color="auto"/>
            <w:bottom w:val="none" w:sz="0" w:space="0" w:color="auto"/>
            <w:right w:val="none" w:sz="0" w:space="0" w:color="auto"/>
          </w:divBdr>
        </w:div>
      </w:divsChild>
    </w:div>
    <w:div w:id="561256226">
      <w:bodyDiv w:val="1"/>
      <w:marLeft w:val="0"/>
      <w:marRight w:val="0"/>
      <w:marTop w:val="0"/>
      <w:marBottom w:val="0"/>
      <w:divBdr>
        <w:top w:val="none" w:sz="0" w:space="0" w:color="auto"/>
        <w:left w:val="none" w:sz="0" w:space="0" w:color="auto"/>
        <w:bottom w:val="none" w:sz="0" w:space="0" w:color="auto"/>
        <w:right w:val="none" w:sz="0" w:space="0" w:color="auto"/>
      </w:divBdr>
      <w:divsChild>
        <w:div w:id="569585812">
          <w:marLeft w:val="0"/>
          <w:marRight w:val="0"/>
          <w:marTop w:val="0"/>
          <w:marBottom w:val="0"/>
          <w:divBdr>
            <w:top w:val="none" w:sz="0" w:space="0" w:color="auto"/>
            <w:left w:val="none" w:sz="0" w:space="0" w:color="auto"/>
            <w:bottom w:val="none" w:sz="0" w:space="0" w:color="auto"/>
            <w:right w:val="none" w:sz="0" w:space="0" w:color="auto"/>
          </w:divBdr>
        </w:div>
      </w:divsChild>
    </w:div>
    <w:div w:id="563683337">
      <w:bodyDiv w:val="1"/>
      <w:marLeft w:val="0"/>
      <w:marRight w:val="0"/>
      <w:marTop w:val="0"/>
      <w:marBottom w:val="0"/>
      <w:divBdr>
        <w:top w:val="none" w:sz="0" w:space="0" w:color="auto"/>
        <w:left w:val="none" w:sz="0" w:space="0" w:color="auto"/>
        <w:bottom w:val="none" w:sz="0" w:space="0" w:color="auto"/>
        <w:right w:val="none" w:sz="0" w:space="0" w:color="auto"/>
      </w:divBdr>
    </w:div>
    <w:div w:id="593174036">
      <w:bodyDiv w:val="1"/>
      <w:marLeft w:val="0"/>
      <w:marRight w:val="0"/>
      <w:marTop w:val="0"/>
      <w:marBottom w:val="0"/>
      <w:divBdr>
        <w:top w:val="none" w:sz="0" w:space="0" w:color="auto"/>
        <w:left w:val="none" w:sz="0" w:space="0" w:color="auto"/>
        <w:bottom w:val="none" w:sz="0" w:space="0" w:color="auto"/>
        <w:right w:val="none" w:sz="0" w:space="0" w:color="auto"/>
      </w:divBdr>
    </w:div>
    <w:div w:id="599333453">
      <w:bodyDiv w:val="1"/>
      <w:marLeft w:val="0"/>
      <w:marRight w:val="0"/>
      <w:marTop w:val="0"/>
      <w:marBottom w:val="0"/>
      <w:divBdr>
        <w:top w:val="none" w:sz="0" w:space="0" w:color="auto"/>
        <w:left w:val="none" w:sz="0" w:space="0" w:color="auto"/>
        <w:bottom w:val="none" w:sz="0" w:space="0" w:color="auto"/>
        <w:right w:val="none" w:sz="0" w:space="0" w:color="auto"/>
      </w:divBdr>
    </w:div>
    <w:div w:id="603851410">
      <w:bodyDiv w:val="1"/>
      <w:marLeft w:val="0"/>
      <w:marRight w:val="0"/>
      <w:marTop w:val="0"/>
      <w:marBottom w:val="0"/>
      <w:divBdr>
        <w:top w:val="none" w:sz="0" w:space="0" w:color="auto"/>
        <w:left w:val="none" w:sz="0" w:space="0" w:color="auto"/>
        <w:bottom w:val="none" w:sz="0" w:space="0" w:color="auto"/>
        <w:right w:val="none" w:sz="0" w:space="0" w:color="auto"/>
      </w:divBdr>
    </w:div>
    <w:div w:id="631906162">
      <w:bodyDiv w:val="1"/>
      <w:marLeft w:val="0"/>
      <w:marRight w:val="0"/>
      <w:marTop w:val="0"/>
      <w:marBottom w:val="0"/>
      <w:divBdr>
        <w:top w:val="none" w:sz="0" w:space="0" w:color="auto"/>
        <w:left w:val="none" w:sz="0" w:space="0" w:color="auto"/>
        <w:bottom w:val="none" w:sz="0" w:space="0" w:color="auto"/>
        <w:right w:val="none" w:sz="0" w:space="0" w:color="auto"/>
      </w:divBdr>
    </w:div>
    <w:div w:id="633951534">
      <w:bodyDiv w:val="1"/>
      <w:marLeft w:val="0"/>
      <w:marRight w:val="0"/>
      <w:marTop w:val="0"/>
      <w:marBottom w:val="0"/>
      <w:divBdr>
        <w:top w:val="none" w:sz="0" w:space="0" w:color="auto"/>
        <w:left w:val="none" w:sz="0" w:space="0" w:color="auto"/>
        <w:bottom w:val="none" w:sz="0" w:space="0" w:color="auto"/>
        <w:right w:val="none" w:sz="0" w:space="0" w:color="auto"/>
      </w:divBdr>
    </w:div>
    <w:div w:id="635069732">
      <w:bodyDiv w:val="1"/>
      <w:marLeft w:val="0"/>
      <w:marRight w:val="0"/>
      <w:marTop w:val="0"/>
      <w:marBottom w:val="0"/>
      <w:divBdr>
        <w:top w:val="none" w:sz="0" w:space="0" w:color="auto"/>
        <w:left w:val="none" w:sz="0" w:space="0" w:color="auto"/>
        <w:bottom w:val="none" w:sz="0" w:space="0" w:color="auto"/>
        <w:right w:val="none" w:sz="0" w:space="0" w:color="auto"/>
      </w:divBdr>
    </w:div>
    <w:div w:id="637535323">
      <w:bodyDiv w:val="1"/>
      <w:marLeft w:val="0"/>
      <w:marRight w:val="0"/>
      <w:marTop w:val="0"/>
      <w:marBottom w:val="0"/>
      <w:divBdr>
        <w:top w:val="none" w:sz="0" w:space="0" w:color="auto"/>
        <w:left w:val="none" w:sz="0" w:space="0" w:color="auto"/>
        <w:bottom w:val="none" w:sz="0" w:space="0" w:color="auto"/>
        <w:right w:val="none" w:sz="0" w:space="0" w:color="auto"/>
      </w:divBdr>
    </w:div>
    <w:div w:id="654723556">
      <w:bodyDiv w:val="1"/>
      <w:marLeft w:val="0"/>
      <w:marRight w:val="0"/>
      <w:marTop w:val="0"/>
      <w:marBottom w:val="0"/>
      <w:divBdr>
        <w:top w:val="none" w:sz="0" w:space="0" w:color="auto"/>
        <w:left w:val="none" w:sz="0" w:space="0" w:color="auto"/>
        <w:bottom w:val="none" w:sz="0" w:space="0" w:color="auto"/>
        <w:right w:val="none" w:sz="0" w:space="0" w:color="auto"/>
      </w:divBdr>
    </w:div>
    <w:div w:id="678313124">
      <w:bodyDiv w:val="1"/>
      <w:marLeft w:val="0"/>
      <w:marRight w:val="0"/>
      <w:marTop w:val="0"/>
      <w:marBottom w:val="0"/>
      <w:divBdr>
        <w:top w:val="none" w:sz="0" w:space="0" w:color="auto"/>
        <w:left w:val="none" w:sz="0" w:space="0" w:color="auto"/>
        <w:bottom w:val="none" w:sz="0" w:space="0" w:color="auto"/>
        <w:right w:val="none" w:sz="0" w:space="0" w:color="auto"/>
      </w:divBdr>
      <w:divsChild>
        <w:div w:id="911355872">
          <w:marLeft w:val="0"/>
          <w:marRight w:val="0"/>
          <w:marTop w:val="0"/>
          <w:marBottom w:val="0"/>
          <w:divBdr>
            <w:top w:val="none" w:sz="0" w:space="0" w:color="auto"/>
            <w:left w:val="none" w:sz="0" w:space="0" w:color="auto"/>
            <w:bottom w:val="none" w:sz="0" w:space="0" w:color="auto"/>
            <w:right w:val="none" w:sz="0" w:space="0" w:color="auto"/>
          </w:divBdr>
          <w:divsChild>
            <w:div w:id="1949191638">
              <w:marLeft w:val="0"/>
              <w:marRight w:val="0"/>
              <w:marTop w:val="0"/>
              <w:marBottom w:val="0"/>
              <w:divBdr>
                <w:top w:val="none" w:sz="0" w:space="0" w:color="auto"/>
                <w:left w:val="none" w:sz="0" w:space="0" w:color="auto"/>
                <w:bottom w:val="none" w:sz="0" w:space="0" w:color="auto"/>
                <w:right w:val="none" w:sz="0" w:space="0" w:color="auto"/>
              </w:divBdr>
              <w:divsChild>
                <w:div w:id="1365517871">
                  <w:marLeft w:val="0"/>
                  <w:marRight w:val="0"/>
                  <w:marTop w:val="0"/>
                  <w:marBottom w:val="0"/>
                  <w:divBdr>
                    <w:top w:val="none" w:sz="0" w:space="0" w:color="auto"/>
                    <w:left w:val="none" w:sz="0" w:space="0" w:color="auto"/>
                    <w:bottom w:val="none" w:sz="0" w:space="0" w:color="auto"/>
                    <w:right w:val="none" w:sz="0" w:space="0" w:color="auto"/>
                  </w:divBdr>
                  <w:divsChild>
                    <w:div w:id="1177496227">
                      <w:marLeft w:val="0"/>
                      <w:marRight w:val="0"/>
                      <w:marTop w:val="0"/>
                      <w:marBottom w:val="0"/>
                      <w:divBdr>
                        <w:top w:val="none" w:sz="0" w:space="0" w:color="auto"/>
                        <w:left w:val="none" w:sz="0" w:space="0" w:color="auto"/>
                        <w:bottom w:val="none" w:sz="0" w:space="0" w:color="auto"/>
                        <w:right w:val="none" w:sz="0" w:space="0" w:color="auto"/>
                      </w:divBdr>
                      <w:divsChild>
                        <w:div w:id="15724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75989">
      <w:bodyDiv w:val="1"/>
      <w:marLeft w:val="0"/>
      <w:marRight w:val="0"/>
      <w:marTop w:val="0"/>
      <w:marBottom w:val="0"/>
      <w:divBdr>
        <w:top w:val="none" w:sz="0" w:space="0" w:color="auto"/>
        <w:left w:val="none" w:sz="0" w:space="0" w:color="auto"/>
        <w:bottom w:val="none" w:sz="0" w:space="0" w:color="auto"/>
        <w:right w:val="none" w:sz="0" w:space="0" w:color="auto"/>
      </w:divBdr>
      <w:divsChild>
        <w:div w:id="1125850899">
          <w:marLeft w:val="1166"/>
          <w:marRight w:val="0"/>
          <w:marTop w:val="106"/>
          <w:marBottom w:val="0"/>
          <w:divBdr>
            <w:top w:val="none" w:sz="0" w:space="0" w:color="auto"/>
            <w:left w:val="none" w:sz="0" w:space="0" w:color="auto"/>
            <w:bottom w:val="none" w:sz="0" w:space="0" w:color="auto"/>
            <w:right w:val="none" w:sz="0" w:space="0" w:color="auto"/>
          </w:divBdr>
        </w:div>
        <w:div w:id="1743798214">
          <w:marLeft w:val="1166"/>
          <w:marRight w:val="0"/>
          <w:marTop w:val="106"/>
          <w:marBottom w:val="0"/>
          <w:divBdr>
            <w:top w:val="none" w:sz="0" w:space="0" w:color="auto"/>
            <w:left w:val="none" w:sz="0" w:space="0" w:color="auto"/>
            <w:bottom w:val="none" w:sz="0" w:space="0" w:color="auto"/>
            <w:right w:val="none" w:sz="0" w:space="0" w:color="auto"/>
          </w:divBdr>
        </w:div>
      </w:divsChild>
    </w:div>
    <w:div w:id="723144614">
      <w:bodyDiv w:val="1"/>
      <w:marLeft w:val="0"/>
      <w:marRight w:val="0"/>
      <w:marTop w:val="0"/>
      <w:marBottom w:val="0"/>
      <w:divBdr>
        <w:top w:val="none" w:sz="0" w:space="0" w:color="auto"/>
        <w:left w:val="none" w:sz="0" w:space="0" w:color="auto"/>
        <w:bottom w:val="none" w:sz="0" w:space="0" w:color="auto"/>
        <w:right w:val="none" w:sz="0" w:space="0" w:color="auto"/>
      </w:divBdr>
    </w:div>
    <w:div w:id="725301510">
      <w:bodyDiv w:val="1"/>
      <w:marLeft w:val="0"/>
      <w:marRight w:val="0"/>
      <w:marTop w:val="0"/>
      <w:marBottom w:val="0"/>
      <w:divBdr>
        <w:top w:val="none" w:sz="0" w:space="0" w:color="auto"/>
        <w:left w:val="none" w:sz="0" w:space="0" w:color="auto"/>
        <w:bottom w:val="none" w:sz="0" w:space="0" w:color="auto"/>
        <w:right w:val="none" w:sz="0" w:space="0" w:color="auto"/>
      </w:divBdr>
    </w:div>
    <w:div w:id="734544387">
      <w:bodyDiv w:val="1"/>
      <w:marLeft w:val="0"/>
      <w:marRight w:val="0"/>
      <w:marTop w:val="0"/>
      <w:marBottom w:val="0"/>
      <w:divBdr>
        <w:top w:val="none" w:sz="0" w:space="0" w:color="auto"/>
        <w:left w:val="none" w:sz="0" w:space="0" w:color="auto"/>
        <w:bottom w:val="none" w:sz="0" w:space="0" w:color="auto"/>
        <w:right w:val="none" w:sz="0" w:space="0" w:color="auto"/>
      </w:divBdr>
    </w:div>
    <w:div w:id="736821422">
      <w:bodyDiv w:val="1"/>
      <w:marLeft w:val="0"/>
      <w:marRight w:val="0"/>
      <w:marTop w:val="0"/>
      <w:marBottom w:val="0"/>
      <w:divBdr>
        <w:top w:val="none" w:sz="0" w:space="0" w:color="auto"/>
        <w:left w:val="none" w:sz="0" w:space="0" w:color="auto"/>
        <w:bottom w:val="none" w:sz="0" w:space="0" w:color="auto"/>
        <w:right w:val="none" w:sz="0" w:space="0" w:color="auto"/>
      </w:divBdr>
      <w:divsChild>
        <w:div w:id="1221020128">
          <w:marLeft w:val="1166"/>
          <w:marRight w:val="0"/>
          <w:marTop w:val="106"/>
          <w:marBottom w:val="0"/>
          <w:divBdr>
            <w:top w:val="none" w:sz="0" w:space="0" w:color="auto"/>
            <w:left w:val="none" w:sz="0" w:space="0" w:color="auto"/>
            <w:bottom w:val="none" w:sz="0" w:space="0" w:color="auto"/>
            <w:right w:val="none" w:sz="0" w:space="0" w:color="auto"/>
          </w:divBdr>
        </w:div>
        <w:div w:id="895123429">
          <w:marLeft w:val="1166"/>
          <w:marRight w:val="0"/>
          <w:marTop w:val="115"/>
          <w:marBottom w:val="0"/>
          <w:divBdr>
            <w:top w:val="none" w:sz="0" w:space="0" w:color="auto"/>
            <w:left w:val="none" w:sz="0" w:space="0" w:color="auto"/>
            <w:bottom w:val="none" w:sz="0" w:space="0" w:color="auto"/>
            <w:right w:val="none" w:sz="0" w:space="0" w:color="auto"/>
          </w:divBdr>
        </w:div>
      </w:divsChild>
    </w:div>
    <w:div w:id="743527859">
      <w:bodyDiv w:val="1"/>
      <w:marLeft w:val="0"/>
      <w:marRight w:val="0"/>
      <w:marTop w:val="0"/>
      <w:marBottom w:val="0"/>
      <w:divBdr>
        <w:top w:val="none" w:sz="0" w:space="0" w:color="auto"/>
        <w:left w:val="none" w:sz="0" w:space="0" w:color="auto"/>
        <w:bottom w:val="none" w:sz="0" w:space="0" w:color="auto"/>
        <w:right w:val="none" w:sz="0" w:space="0" w:color="auto"/>
      </w:divBdr>
    </w:div>
    <w:div w:id="755201713">
      <w:bodyDiv w:val="1"/>
      <w:marLeft w:val="0"/>
      <w:marRight w:val="0"/>
      <w:marTop w:val="0"/>
      <w:marBottom w:val="0"/>
      <w:divBdr>
        <w:top w:val="none" w:sz="0" w:space="0" w:color="auto"/>
        <w:left w:val="none" w:sz="0" w:space="0" w:color="auto"/>
        <w:bottom w:val="none" w:sz="0" w:space="0" w:color="auto"/>
        <w:right w:val="none" w:sz="0" w:space="0" w:color="auto"/>
      </w:divBdr>
    </w:div>
    <w:div w:id="775910588">
      <w:bodyDiv w:val="1"/>
      <w:marLeft w:val="0"/>
      <w:marRight w:val="0"/>
      <w:marTop w:val="0"/>
      <w:marBottom w:val="0"/>
      <w:divBdr>
        <w:top w:val="none" w:sz="0" w:space="0" w:color="auto"/>
        <w:left w:val="none" w:sz="0" w:space="0" w:color="auto"/>
        <w:bottom w:val="none" w:sz="0" w:space="0" w:color="auto"/>
        <w:right w:val="none" w:sz="0" w:space="0" w:color="auto"/>
      </w:divBdr>
      <w:divsChild>
        <w:div w:id="1097403664">
          <w:marLeft w:val="1166"/>
          <w:marRight w:val="0"/>
          <w:marTop w:val="106"/>
          <w:marBottom w:val="0"/>
          <w:divBdr>
            <w:top w:val="none" w:sz="0" w:space="0" w:color="auto"/>
            <w:left w:val="none" w:sz="0" w:space="0" w:color="auto"/>
            <w:bottom w:val="none" w:sz="0" w:space="0" w:color="auto"/>
            <w:right w:val="none" w:sz="0" w:space="0" w:color="auto"/>
          </w:divBdr>
        </w:div>
      </w:divsChild>
    </w:div>
    <w:div w:id="790319577">
      <w:bodyDiv w:val="1"/>
      <w:marLeft w:val="0"/>
      <w:marRight w:val="0"/>
      <w:marTop w:val="0"/>
      <w:marBottom w:val="0"/>
      <w:divBdr>
        <w:top w:val="none" w:sz="0" w:space="0" w:color="auto"/>
        <w:left w:val="none" w:sz="0" w:space="0" w:color="auto"/>
        <w:bottom w:val="none" w:sz="0" w:space="0" w:color="auto"/>
        <w:right w:val="none" w:sz="0" w:space="0" w:color="auto"/>
      </w:divBdr>
    </w:div>
    <w:div w:id="825780172">
      <w:bodyDiv w:val="1"/>
      <w:marLeft w:val="0"/>
      <w:marRight w:val="0"/>
      <w:marTop w:val="0"/>
      <w:marBottom w:val="0"/>
      <w:divBdr>
        <w:top w:val="none" w:sz="0" w:space="0" w:color="auto"/>
        <w:left w:val="none" w:sz="0" w:space="0" w:color="auto"/>
        <w:bottom w:val="none" w:sz="0" w:space="0" w:color="auto"/>
        <w:right w:val="none" w:sz="0" w:space="0" w:color="auto"/>
      </w:divBdr>
    </w:div>
    <w:div w:id="830291412">
      <w:bodyDiv w:val="1"/>
      <w:marLeft w:val="0"/>
      <w:marRight w:val="0"/>
      <w:marTop w:val="0"/>
      <w:marBottom w:val="0"/>
      <w:divBdr>
        <w:top w:val="none" w:sz="0" w:space="0" w:color="auto"/>
        <w:left w:val="none" w:sz="0" w:space="0" w:color="auto"/>
        <w:bottom w:val="none" w:sz="0" w:space="0" w:color="auto"/>
        <w:right w:val="none" w:sz="0" w:space="0" w:color="auto"/>
      </w:divBdr>
    </w:div>
    <w:div w:id="858860188">
      <w:bodyDiv w:val="1"/>
      <w:marLeft w:val="0"/>
      <w:marRight w:val="0"/>
      <w:marTop w:val="0"/>
      <w:marBottom w:val="0"/>
      <w:divBdr>
        <w:top w:val="none" w:sz="0" w:space="0" w:color="auto"/>
        <w:left w:val="none" w:sz="0" w:space="0" w:color="auto"/>
        <w:bottom w:val="none" w:sz="0" w:space="0" w:color="auto"/>
        <w:right w:val="none" w:sz="0" w:space="0" w:color="auto"/>
      </w:divBdr>
    </w:div>
    <w:div w:id="865673316">
      <w:bodyDiv w:val="1"/>
      <w:marLeft w:val="0"/>
      <w:marRight w:val="0"/>
      <w:marTop w:val="0"/>
      <w:marBottom w:val="0"/>
      <w:divBdr>
        <w:top w:val="none" w:sz="0" w:space="0" w:color="auto"/>
        <w:left w:val="none" w:sz="0" w:space="0" w:color="auto"/>
        <w:bottom w:val="none" w:sz="0" w:space="0" w:color="auto"/>
        <w:right w:val="none" w:sz="0" w:space="0" w:color="auto"/>
      </w:divBdr>
    </w:div>
    <w:div w:id="872156277">
      <w:bodyDiv w:val="1"/>
      <w:marLeft w:val="0"/>
      <w:marRight w:val="0"/>
      <w:marTop w:val="0"/>
      <w:marBottom w:val="0"/>
      <w:divBdr>
        <w:top w:val="none" w:sz="0" w:space="0" w:color="auto"/>
        <w:left w:val="none" w:sz="0" w:space="0" w:color="auto"/>
        <w:bottom w:val="none" w:sz="0" w:space="0" w:color="auto"/>
        <w:right w:val="none" w:sz="0" w:space="0" w:color="auto"/>
      </w:divBdr>
    </w:div>
    <w:div w:id="889224799">
      <w:bodyDiv w:val="1"/>
      <w:marLeft w:val="0"/>
      <w:marRight w:val="0"/>
      <w:marTop w:val="0"/>
      <w:marBottom w:val="0"/>
      <w:divBdr>
        <w:top w:val="none" w:sz="0" w:space="0" w:color="auto"/>
        <w:left w:val="none" w:sz="0" w:space="0" w:color="auto"/>
        <w:bottom w:val="none" w:sz="0" w:space="0" w:color="auto"/>
        <w:right w:val="none" w:sz="0" w:space="0" w:color="auto"/>
      </w:divBdr>
      <w:divsChild>
        <w:div w:id="1801072988">
          <w:marLeft w:val="1166"/>
          <w:marRight w:val="0"/>
          <w:marTop w:val="106"/>
          <w:marBottom w:val="0"/>
          <w:divBdr>
            <w:top w:val="none" w:sz="0" w:space="0" w:color="auto"/>
            <w:left w:val="none" w:sz="0" w:space="0" w:color="auto"/>
            <w:bottom w:val="none" w:sz="0" w:space="0" w:color="auto"/>
            <w:right w:val="none" w:sz="0" w:space="0" w:color="auto"/>
          </w:divBdr>
        </w:div>
      </w:divsChild>
    </w:div>
    <w:div w:id="894589953">
      <w:bodyDiv w:val="1"/>
      <w:marLeft w:val="0"/>
      <w:marRight w:val="0"/>
      <w:marTop w:val="0"/>
      <w:marBottom w:val="0"/>
      <w:divBdr>
        <w:top w:val="none" w:sz="0" w:space="0" w:color="auto"/>
        <w:left w:val="none" w:sz="0" w:space="0" w:color="auto"/>
        <w:bottom w:val="none" w:sz="0" w:space="0" w:color="auto"/>
        <w:right w:val="none" w:sz="0" w:space="0" w:color="auto"/>
      </w:divBdr>
    </w:div>
    <w:div w:id="898125943">
      <w:bodyDiv w:val="1"/>
      <w:marLeft w:val="0"/>
      <w:marRight w:val="0"/>
      <w:marTop w:val="0"/>
      <w:marBottom w:val="0"/>
      <w:divBdr>
        <w:top w:val="none" w:sz="0" w:space="0" w:color="auto"/>
        <w:left w:val="none" w:sz="0" w:space="0" w:color="auto"/>
        <w:bottom w:val="none" w:sz="0" w:space="0" w:color="auto"/>
        <w:right w:val="none" w:sz="0" w:space="0" w:color="auto"/>
      </w:divBdr>
    </w:div>
    <w:div w:id="918518104">
      <w:bodyDiv w:val="1"/>
      <w:marLeft w:val="0"/>
      <w:marRight w:val="0"/>
      <w:marTop w:val="0"/>
      <w:marBottom w:val="0"/>
      <w:divBdr>
        <w:top w:val="none" w:sz="0" w:space="0" w:color="auto"/>
        <w:left w:val="none" w:sz="0" w:space="0" w:color="auto"/>
        <w:bottom w:val="none" w:sz="0" w:space="0" w:color="auto"/>
        <w:right w:val="none" w:sz="0" w:space="0" w:color="auto"/>
      </w:divBdr>
    </w:div>
    <w:div w:id="929118591">
      <w:bodyDiv w:val="1"/>
      <w:marLeft w:val="0"/>
      <w:marRight w:val="0"/>
      <w:marTop w:val="0"/>
      <w:marBottom w:val="0"/>
      <w:divBdr>
        <w:top w:val="none" w:sz="0" w:space="0" w:color="auto"/>
        <w:left w:val="none" w:sz="0" w:space="0" w:color="auto"/>
        <w:bottom w:val="none" w:sz="0" w:space="0" w:color="auto"/>
        <w:right w:val="none" w:sz="0" w:space="0" w:color="auto"/>
      </w:divBdr>
      <w:divsChild>
        <w:div w:id="1762408407">
          <w:marLeft w:val="1166"/>
          <w:marRight w:val="0"/>
          <w:marTop w:val="106"/>
          <w:marBottom w:val="0"/>
          <w:divBdr>
            <w:top w:val="none" w:sz="0" w:space="0" w:color="auto"/>
            <w:left w:val="none" w:sz="0" w:space="0" w:color="auto"/>
            <w:bottom w:val="none" w:sz="0" w:space="0" w:color="auto"/>
            <w:right w:val="none" w:sz="0" w:space="0" w:color="auto"/>
          </w:divBdr>
        </w:div>
        <w:div w:id="1781607099">
          <w:marLeft w:val="1166"/>
          <w:marRight w:val="0"/>
          <w:marTop w:val="106"/>
          <w:marBottom w:val="0"/>
          <w:divBdr>
            <w:top w:val="none" w:sz="0" w:space="0" w:color="auto"/>
            <w:left w:val="none" w:sz="0" w:space="0" w:color="auto"/>
            <w:bottom w:val="none" w:sz="0" w:space="0" w:color="auto"/>
            <w:right w:val="none" w:sz="0" w:space="0" w:color="auto"/>
          </w:divBdr>
        </w:div>
        <w:div w:id="1144928335">
          <w:marLeft w:val="1166"/>
          <w:marRight w:val="0"/>
          <w:marTop w:val="106"/>
          <w:marBottom w:val="0"/>
          <w:divBdr>
            <w:top w:val="none" w:sz="0" w:space="0" w:color="auto"/>
            <w:left w:val="none" w:sz="0" w:space="0" w:color="auto"/>
            <w:bottom w:val="none" w:sz="0" w:space="0" w:color="auto"/>
            <w:right w:val="none" w:sz="0" w:space="0" w:color="auto"/>
          </w:divBdr>
        </w:div>
      </w:divsChild>
    </w:div>
    <w:div w:id="933174546">
      <w:bodyDiv w:val="1"/>
      <w:marLeft w:val="0"/>
      <w:marRight w:val="0"/>
      <w:marTop w:val="0"/>
      <w:marBottom w:val="0"/>
      <w:divBdr>
        <w:top w:val="none" w:sz="0" w:space="0" w:color="auto"/>
        <w:left w:val="none" w:sz="0" w:space="0" w:color="auto"/>
        <w:bottom w:val="none" w:sz="0" w:space="0" w:color="auto"/>
        <w:right w:val="none" w:sz="0" w:space="0" w:color="auto"/>
      </w:divBdr>
    </w:div>
    <w:div w:id="938492696">
      <w:bodyDiv w:val="1"/>
      <w:marLeft w:val="0"/>
      <w:marRight w:val="0"/>
      <w:marTop w:val="0"/>
      <w:marBottom w:val="0"/>
      <w:divBdr>
        <w:top w:val="none" w:sz="0" w:space="0" w:color="auto"/>
        <w:left w:val="none" w:sz="0" w:space="0" w:color="auto"/>
        <w:bottom w:val="none" w:sz="0" w:space="0" w:color="auto"/>
        <w:right w:val="none" w:sz="0" w:space="0" w:color="auto"/>
      </w:divBdr>
    </w:div>
    <w:div w:id="963147555">
      <w:bodyDiv w:val="1"/>
      <w:marLeft w:val="0"/>
      <w:marRight w:val="0"/>
      <w:marTop w:val="0"/>
      <w:marBottom w:val="0"/>
      <w:divBdr>
        <w:top w:val="none" w:sz="0" w:space="0" w:color="auto"/>
        <w:left w:val="none" w:sz="0" w:space="0" w:color="auto"/>
        <w:bottom w:val="none" w:sz="0" w:space="0" w:color="auto"/>
        <w:right w:val="none" w:sz="0" w:space="0" w:color="auto"/>
      </w:divBdr>
    </w:div>
    <w:div w:id="973870871">
      <w:bodyDiv w:val="1"/>
      <w:marLeft w:val="0"/>
      <w:marRight w:val="0"/>
      <w:marTop w:val="0"/>
      <w:marBottom w:val="0"/>
      <w:divBdr>
        <w:top w:val="none" w:sz="0" w:space="0" w:color="auto"/>
        <w:left w:val="none" w:sz="0" w:space="0" w:color="auto"/>
        <w:bottom w:val="none" w:sz="0" w:space="0" w:color="auto"/>
        <w:right w:val="none" w:sz="0" w:space="0" w:color="auto"/>
      </w:divBdr>
    </w:div>
    <w:div w:id="986011371">
      <w:bodyDiv w:val="1"/>
      <w:marLeft w:val="0"/>
      <w:marRight w:val="0"/>
      <w:marTop w:val="0"/>
      <w:marBottom w:val="0"/>
      <w:divBdr>
        <w:top w:val="none" w:sz="0" w:space="0" w:color="auto"/>
        <w:left w:val="none" w:sz="0" w:space="0" w:color="auto"/>
        <w:bottom w:val="none" w:sz="0" w:space="0" w:color="auto"/>
        <w:right w:val="none" w:sz="0" w:space="0" w:color="auto"/>
      </w:divBdr>
    </w:div>
    <w:div w:id="1004893449">
      <w:bodyDiv w:val="1"/>
      <w:marLeft w:val="0"/>
      <w:marRight w:val="0"/>
      <w:marTop w:val="0"/>
      <w:marBottom w:val="0"/>
      <w:divBdr>
        <w:top w:val="none" w:sz="0" w:space="0" w:color="auto"/>
        <w:left w:val="none" w:sz="0" w:space="0" w:color="auto"/>
        <w:bottom w:val="none" w:sz="0" w:space="0" w:color="auto"/>
        <w:right w:val="none" w:sz="0" w:space="0" w:color="auto"/>
      </w:divBdr>
    </w:div>
    <w:div w:id="1005354825">
      <w:bodyDiv w:val="1"/>
      <w:marLeft w:val="0"/>
      <w:marRight w:val="0"/>
      <w:marTop w:val="0"/>
      <w:marBottom w:val="0"/>
      <w:divBdr>
        <w:top w:val="none" w:sz="0" w:space="0" w:color="auto"/>
        <w:left w:val="none" w:sz="0" w:space="0" w:color="auto"/>
        <w:bottom w:val="none" w:sz="0" w:space="0" w:color="auto"/>
        <w:right w:val="none" w:sz="0" w:space="0" w:color="auto"/>
      </w:divBdr>
      <w:divsChild>
        <w:div w:id="1356349561">
          <w:marLeft w:val="0"/>
          <w:marRight w:val="0"/>
          <w:marTop w:val="0"/>
          <w:marBottom w:val="0"/>
          <w:divBdr>
            <w:top w:val="none" w:sz="0" w:space="0" w:color="auto"/>
            <w:left w:val="none" w:sz="0" w:space="0" w:color="auto"/>
            <w:bottom w:val="none" w:sz="0" w:space="0" w:color="auto"/>
            <w:right w:val="none" w:sz="0" w:space="0" w:color="auto"/>
          </w:divBdr>
        </w:div>
        <w:div w:id="1814444918">
          <w:marLeft w:val="0"/>
          <w:marRight w:val="0"/>
          <w:marTop w:val="0"/>
          <w:marBottom w:val="0"/>
          <w:divBdr>
            <w:top w:val="none" w:sz="0" w:space="0" w:color="auto"/>
            <w:left w:val="none" w:sz="0" w:space="0" w:color="auto"/>
            <w:bottom w:val="none" w:sz="0" w:space="0" w:color="auto"/>
            <w:right w:val="none" w:sz="0" w:space="0" w:color="auto"/>
          </w:divBdr>
        </w:div>
        <w:div w:id="701905154">
          <w:marLeft w:val="0"/>
          <w:marRight w:val="0"/>
          <w:marTop w:val="0"/>
          <w:marBottom w:val="0"/>
          <w:divBdr>
            <w:top w:val="none" w:sz="0" w:space="0" w:color="auto"/>
            <w:left w:val="none" w:sz="0" w:space="0" w:color="auto"/>
            <w:bottom w:val="none" w:sz="0" w:space="0" w:color="auto"/>
            <w:right w:val="none" w:sz="0" w:space="0" w:color="auto"/>
          </w:divBdr>
        </w:div>
        <w:div w:id="750811560">
          <w:marLeft w:val="0"/>
          <w:marRight w:val="0"/>
          <w:marTop w:val="0"/>
          <w:marBottom w:val="0"/>
          <w:divBdr>
            <w:top w:val="none" w:sz="0" w:space="0" w:color="auto"/>
            <w:left w:val="none" w:sz="0" w:space="0" w:color="auto"/>
            <w:bottom w:val="none" w:sz="0" w:space="0" w:color="auto"/>
            <w:right w:val="none" w:sz="0" w:space="0" w:color="auto"/>
          </w:divBdr>
        </w:div>
      </w:divsChild>
    </w:div>
    <w:div w:id="1013990287">
      <w:bodyDiv w:val="1"/>
      <w:marLeft w:val="0"/>
      <w:marRight w:val="0"/>
      <w:marTop w:val="0"/>
      <w:marBottom w:val="0"/>
      <w:divBdr>
        <w:top w:val="none" w:sz="0" w:space="0" w:color="auto"/>
        <w:left w:val="none" w:sz="0" w:space="0" w:color="auto"/>
        <w:bottom w:val="none" w:sz="0" w:space="0" w:color="auto"/>
        <w:right w:val="none" w:sz="0" w:space="0" w:color="auto"/>
      </w:divBdr>
      <w:divsChild>
        <w:div w:id="1225794688">
          <w:marLeft w:val="1166"/>
          <w:marRight w:val="0"/>
          <w:marTop w:val="106"/>
          <w:marBottom w:val="0"/>
          <w:divBdr>
            <w:top w:val="none" w:sz="0" w:space="0" w:color="auto"/>
            <w:left w:val="none" w:sz="0" w:space="0" w:color="auto"/>
            <w:bottom w:val="none" w:sz="0" w:space="0" w:color="auto"/>
            <w:right w:val="none" w:sz="0" w:space="0" w:color="auto"/>
          </w:divBdr>
        </w:div>
        <w:div w:id="654844882">
          <w:marLeft w:val="1166"/>
          <w:marRight w:val="0"/>
          <w:marTop w:val="106"/>
          <w:marBottom w:val="0"/>
          <w:divBdr>
            <w:top w:val="none" w:sz="0" w:space="0" w:color="auto"/>
            <w:left w:val="none" w:sz="0" w:space="0" w:color="auto"/>
            <w:bottom w:val="none" w:sz="0" w:space="0" w:color="auto"/>
            <w:right w:val="none" w:sz="0" w:space="0" w:color="auto"/>
          </w:divBdr>
        </w:div>
      </w:divsChild>
    </w:div>
    <w:div w:id="1035543341">
      <w:bodyDiv w:val="1"/>
      <w:marLeft w:val="0"/>
      <w:marRight w:val="0"/>
      <w:marTop w:val="0"/>
      <w:marBottom w:val="0"/>
      <w:divBdr>
        <w:top w:val="none" w:sz="0" w:space="0" w:color="auto"/>
        <w:left w:val="none" w:sz="0" w:space="0" w:color="auto"/>
        <w:bottom w:val="none" w:sz="0" w:space="0" w:color="auto"/>
        <w:right w:val="none" w:sz="0" w:space="0" w:color="auto"/>
      </w:divBdr>
      <w:divsChild>
        <w:div w:id="1655374913">
          <w:marLeft w:val="1166"/>
          <w:marRight w:val="0"/>
          <w:marTop w:val="106"/>
          <w:marBottom w:val="0"/>
          <w:divBdr>
            <w:top w:val="none" w:sz="0" w:space="0" w:color="auto"/>
            <w:left w:val="none" w:sz="0" w:space="0" w:color="auto"/>
            <w:bottom w:val="none" w:sz="0" w:space="0" w:color="auto"/>
            <w:right w:val="none" w:sz="0" w:space="0" w:color="auto"/>
          </w:divBdr>
        </w:div>
      </w:divsChild>
    </w:div>
    <w:div w:id="1062487515">
      <w:bodyDiv w:val="1"/>
      <w:marLeft w:val="0"/>
      <w:marRight w:val="0"/>
      <w:marTop w:val="0"/>
      <w:marBottom w:val="0"/>
      <w:divBdr>
        <w:top w:val="none" w:sz="0" w:space="0" w:color="auto"/>
        <w:left w:val="none" w:sz="0" w:space="0" w:color="auto"/>
        <w:bottom w:val="none" w:sz="0" w:space="0" w:color="auto"/>
        <w:right w:val="none" w:sz="0" w:space="0" w:color="auto"/>
      </w:divBdr>
    </w:div>
    <w:div w:id="1082488811">
      <w:bodyDiv w:val="1"/>
      <w:marLeft w:val="0"/>
      <w:marRight w:val="0"/>
      <w:marTop w:val="0"/>
      <w:marBottom w:val="0"/>
      <w:divBdr>
        <w:top w:val="none" w:sz="0" w:space="0" w:color="auto"/>
        <w:left w:val="none" w:sz="0" w:space="0" w:color="auto"/>
        <w:bottom w:val="none" w:sz="0" w:space="0" w:color="auto"/>
        <w:right w:val="none" w:sz="0" w:space="0" w:color="auto"/>
      </w:divBdr>
    </w:div>
    <w:div w:id="1088190156">
      <w:bodyDiv w:val="1"/>
      <w:marLeft w:val="0"/>
      <w:marRight w:val="0"/>
      <w:marTop w:val="0"/>
      <w:marBottom w:val="0"/>
      <w:divBdr>
        <w:top w:val="none" w:sz="0" w:space="0" w:color="auto"/>
        <w:left w:val="none" w:sz="0" w:space="0" w:color="auto"/>
        <w:bottom w:val="none" w:sz="0" w:space="0" w:color="auto"/>
        <w:right w:val="none" w:sz="0" w:space="0" w:color="auto"/>
      </w:divBdr>
    </w:div>
    <w:div w:id="1098253106">
      <w:bodyDiv w:val="1"/>
      <w:marLeft w:val="0"/>
      <w:marRight w:val="0"/>
      <w:marTop w:val="0"/>
      <w:marBottom w:val="0"/>
      <w:divBdr>
        <w:top w:val="none" w:sz="0" w:space="0" w:color="auto"/>
        <w:left w:val="none" w:sz="0" w:space="0" w:color="auto"/>
        <w:bottom w:val="none" w:sz="0" w:space="0" w:color="auto"/>
        <w:right w:val="none" w:sz="0" w:space="0" w:color="auto"/>
      </w:divBdr>
    </w:div>
    <w:div w:id="1108084544">
      <w:bodyDiv w:val="1"/>
      <w:marLeft w:val="0"/>
      <w:marRight w:val="0"/>
      <w:marTop w:val="0"/>
      <w:marBottom w:val="0"/>
      <w:divBdr>
        <w:top w:val="none" w:sz="0" w:space="0" w:color="auto"/>
        <w:left w:val="none" w:sz="0" w:space="0" w:color="auto"/>
        <w:bottom w:val="none" w:sz="0" w:space="0" w:color="auto"/>
        <w:right w:val="none" w:sz="0" w:space="0" w:color="auto"/>
      </w:divBdr>
    </w:div>
    <w:div w:id="1130436983">
      <w:bodyDiv w:val="1"/>
      <w:marLeft w:val="0"/>
      <w:marRight w:val="0"/>
      <w:marTop w:val="0"/>
      <w:marBottom w:val="0"/>
      <w:divBdr>
        <w:top w:val="none" w:sz="0" w:space="0" w:color="auto"/>
        <w:left w:val="none" w:sz="0" w:space="0" w:color="auto"/>
        <w:bottom w:val="none" w:sz="0" w:space="0" w:color="auto"/>
        <w:right w:val="none" w:sz="0" w:space="0" w:color="auto"/>
      </w:divBdr>
    </w:div>
    <w:div w:id="1148864733">
      <w:bodyDiv w:val="1"/>
      <w:marLeft w:val="0"/>
      <w:marRight w:val="0"/>
      <w:marTop w:val="0"/>
      <w:marBottom w:val="0"/>
      <w:divBdr>
        <w:top w:val="none" w:sz="0" w:space="0" w:color="auto"/>
        <w:left w:val="none" w:sz="0" w:space="0" w:color="auto"/>
        <w:bottom w:val="none" w:sz="0" w:space="0" w:color="auto"/>
        <w:right w:val="none" w:sz="0" w:space="0" w:color="auto"/>
      </w:divBdr>
    </w:div>
    <w:div w:id="1169640205">
      <w:bodyDiv w:val="1"/>
      <w:marLeft w:val="0"/>
      <w:marRight w:val="0"/>
      <w:marTop w:val="0"/>
      <w:marBottom w:val="0"/>
      <w:divBdr>
        <w:top w:val="none" w:sz="0" w:space="0" w:color="auto"/>
        <w:left w:val="none" w:sz="0" w:space="0" w:color="auto"/>
        <w:bottom w:val="none" w:sz="0" w:space="0" w:color="auto"/>
        <w:right w:val="none" w:sz="0" w:space="0" w:color="auto"/>
      </w:divBdr>
    </w:div>
    <w:div w:id="1183711578">
      <w:bodyDiv w:val="1"/>
      <w:marLeft w:val="0"/>
      <w:marRight w:val="0"/>
      <w:marTop w:val="0"/>
      <w:marBottom w:val="0"/>
      <w:divBdr>
        <w:top w:val="none" w:sz="0" w:space="0" w:color="auto"/>
        <w:left w:val="none" w:sz="0" w:space="0" w:color="auto"/>
        <w:bottom w:val="none" w:sz="0" w:space="0" w:color="auto"/>
        <w:right w:val="none" w:sz="0" w:space="0" w:color="auto"/>
      </w:divBdr>
    </w:div>
    <w:div w:id="1185750227">
      <w:bodyDiv w:val="1"/>
      <w:marLeft w:val="0"/>
      <w:marRight w:val="0"/>
      <w:marTop w:val="0"/>
      <w:marBottom w:val="0"/>
      <w:divBdr>
        <w:top w:val="none" w:sz="0" w:space="0" w:color="auto"/>
        <w:left w:val="none" w:sz="0" w:space="0" w:color="auto"/>
        <w:bottom w:val="none" w:sz="0" w:space="0" w:color="auto"/>
        <w:right w:val="none" w:sz="0" w:space="0" w:color="auto"/>
      </w:divBdr>
      <w:divsChild>
        <w:div w:id="1690138277">
          <w:marLeft w:val="1166"/>
          <w:marRight w:val="0"/>
          <w:marTop w:val="106"/>
          <w:marBottom w:val="0"/>
          <w:divBdr>
            <w:top w:val="none" w:sz="0" w:space="0" w:color="auto"/>
            <w:left w:val="none" w:sz="0" w:space="0" w:color="auto"/>
            <w:bottom w:val="none" w:sz="0" w:space="0" w:color="auto"/>
            <w:right w:val="none" w:sz="0" w:space="0" w:color="auto"/>
          </w:divBdr>
        </w:div>
      </w:divsChild>
    </w:div>
    <w:div w:id="1194029633">
      <w:bodyDiv w:val="1"/>
      <w:marLeft w:val="0"/>
      <w:marRight w:val="0"/>
      <w:marTop w:val="0"/>
      <w:marBottom w:val="0"/>
      <w:divBdr>
        <w:top w:val="none" w:sz="0" w:space="0" w:color="auto"/>
        <w:left w:val="none" w:sz="0" w:space="0" w:color="auto"/>
        <w:bottom w:val="none" w:sz="0" w:space="0" w:color="auto"/>
        <w:right w:val="none" w:sz="0" w:space="0" w:color="auto"/>
      </w:divBdr>
    </w:div>
    <w:div w:id="1196696227">
      <w:bodyDiv w:val="1"/>
      <w:marLeft w:val="0"/>
      <w:marRight w:val="0"/>
      <w:marTop w:val="0"/>
      <w:marBottom w:val="0"/>
      <w:divBdr>
        <w:top w:val="none" w:sz="0" w:space="0" w:color="auto"/>
        <w:left w:val="none" w:sz="0" w:space="0" w:color="auto"/>
        <w:bottom w:val="none" w:sz="0" w:space="0" w:color="auto"/>
        <w:right w:val="none" w:sz="0" w:space="0" w:color="auto"/>
      </w:divBdr>
    </w:div>
    <w:div w:id="1200583515">
      <w:bodyDiv w:val="1"/>
      <w:marLeft w:val="0"/>
      <w:marRight w:val="0"/>
      <w:marTop w:val="0"/>
      <w:marBottom w:val="0"/>
      <w:divBdr>
        <w:top w:val="none" w:sz="0" w:space="0" w:color="auto"/>
        <w:left w:val="none" w:sz="0" w:space="0" w:color="auto"/>
        <w:bottom w:val="none" w:sz="0" w:space="0" w:color="auto"/>
        <w:right w:val="none" w:sz="0" w:space="0" w:color="auto"/>
      </w:divBdr>
      <w:divsChild>
        <w:div w:id="701250399">
          <w:marLeft w:val="1166"/>
          <w:marRight w:val="0"/>
          <w:marTop w:val="106"/>
          <w:marBottom w:val="0"/>
          <w:divBdr>
            <w:top w:val="none" w:sz="0" w:space="0" w:color="auto"/>
            <w:left w:val="none" w:sz="0" w:space="0" w:color="auto"/>
            <w:bottom w:val="none" w:sz="0" w:space="0" w:color="auto"/>
            <w:right w:val="none" w:sz="0" w:space="0" w:color="auto"/>
          </w:divBdr>
        </w:div>
      </w:divsChild>
    </w:div>
    <w:div w:id="1202790389">
      <w:bodyDiv w:val="1"/>
      <w:marLeft w:val="0"/>
      <w:marRight w:val="0"/>
      <w:marTop w:val="0"/>
      <w:marBottom w:val="0"/>
      <w:divBdr>
        <w:top w:val="none" w:sz="0" w:space="0" w:color="auto"/>
        <w:left w:val="none" w:sz="0" w:space="0" w:color="auto"/>
        <w:bottom w:val="none" w:sz="0" w:space="0" w:color="auto"/>
        <w:right w:val="none" w:sz="0" w:space="0" w:color="auto"/>
      </w:divBdr>
    </w:div>
    <w:div w:id="1215921905">
      <w:bodyDiv w:val="1"/>
      <w:marLeft w:val="0"/>
      <w:marRight w:val="0"/>
      <w:marTop w:val="0"/>
      <w:marBottom w:val="0"/>
      <w:divBdr>
        <w:top w:val="none" w:sz="0" w:space="0" w:color="auto"/>
        <w:left w:val="none" w:sz="0" w:space="0" w:color="auto"/>
        <w:bottom w:val="none" w:sz="0" w:space="0" w:color="auto"/>
        <w:right w:val="none" w:sz="0" w:space="0" w:color="auto"/>
      </w:divBdr>
      <w:divsChild>
        <w:div w:id="1848210257">
          <w:marLeft w:val="1382"/>
          <w:marRight w:val="0"/>
          <w:marTop w:val="106"/>
          <w:marBottom w:val="0"/>
          <w:divBdr>
            <w:top w:val="none" w:sz="0" w:space="0" w:color="auto"/>
            <w:left w:val="none" w:sz="0" w:space="0" w:color="auto"/>
            <w:bottom w:val="none" w:sz="0" w:space="0" w:color="auto"/>
            <w:right w:val="none" w:sz="0" w:space="0" w:color="auto"/>
          </w:divBdr>
        </w:div>
        <w:div w:id="369426527">
          <w:marLeft w:val="1382"/>
          <w:marRight w:val="0"/>
          <w:marTop w:val="106"/>
          <w:marBottom w:val="0"/>
          <w:divBdr>
            <w:top w:val="none" w:sz="0" w:space="0" w:color="auto"/>
            <w:left w:val="none" w:sz="0" w:space="0" w:color="auto"/>
            <w:bottom w:val="none" w:sz="0" w:space="0" w:color="auto"/>
            <w:right w:val="none" w:sz="0" w:space="0" w:color="auto"/>
          </w:divBdr>
        </w:div>
      </w:divsChild>
    </w:div>
    <w:div w:id="1216314069">
      <w:bodyDiv w:val="1"/>
      <w:marLeft w:val="0"/>
      <w:marRight w:val="0"/>
      <w:marTop w:val="0"/>
      <w:marBottom w:val="0"/>
      <w:divBdr>
        <w:top w:val="none" w:sz="0" w:space="0" w:color="auto"/>
        <w:left w:val="none" w:sz="0" w:space="0" w:color="auto"/>
        <w:bottom w:val="none" w:sz="0" w:space="0" w:color="auto"/>
        <w:right w:val="none" w:sz="0" w:space="0" w:color="auto"/>
      </w:divBdr>
      <w:divsChild>
        <w:div w:id="1864971907">
          <w:marLeft w:val="1166"/>
          <w:marRight w:val="0"/>
          <w:marTop w:val="106"/>
          <w:marBottom w:val="0"/>
          <w:divBdr>
            <w:top w:val="none" w:sz="0" w:space="0" w:color="auto"/>
            <w:left w:val="none" w:sz="0" w:space="0" w:color="auto"/>
            <w:bottom w:val="none" w:sz="0" w:space="0" w:color="auto"/>
            <w:right w:val="none" w:sz="0" w:space="0" w:color="auto"/>
          </w:divBdr>
        </w:div>
      </w:divsChild>
    </w:div>
    <w:div w:id="1227254821">
      <w:bodyDiv w:val="1"/>
      <w:marLeft w:val="0"/>
      <w:marRight w:val="0"/>
      <w:marTop w:val="0"/>
      <w:marBottom w:val="0"/>
      <w:divBdr>
        <w:top w:val="none" w:sz="0" w:space="0" w:color="auto"/>
        <w:left w:val="none" w:sz="0" w:space="0" w:color="auto"/>
        <w:bottom w:val="none" w:sz="0" w:space="0" w:color="auto"/>
        <w:right w:val="none" w:sz="0" w:space="0" w:color="auto"/>
      </w:divBdr>
    </w:div>
    <w:div w:id="1245071596">
      <w:bodyDiv w:val="1"/>
      <w:marLeft w:val="0"/>
      <w:marRight w:val="0"/>
      <w:marTop w:val="0"/>
      <w:marBottom w:val="0"/>
      <w:divBdr>
        <w:top w:val="none" w:sz="0" w:space="0" w:color="auto"/>
        <w:left w:val="none" w:sz="0" w:space="0" w:color="auto"/>
        <w:bottom w:val="none" w:sz="0" w:space="0" w:color="auto"/>
        <w:right w:val="none" w:sz="0" w:space="0" w:color="auto"/>
      </w:divBdr>
    </w:div>
    <w:div w:id="1266383449">
      <w:bodyDiv w:val="1"/>
      <w:marLeft w:val="0"/>
      <w:marRight w:val="0"/>
      <w:marTop w:val="0"/>
      <w:marBottom w:val="0"/>
      <w:divBdr>
        <w:top w:val="none" w:sz="0" w:space="0" w:color="auto"/>
        <w:left w:val="none" w:sz="0" w:space="0" w:color="auto"/>
        <w:bottom w:val="none" w:sz="0" w:space="0" w:color="auto"/>
        <w:right w:val="none" w:sz="0" w:space="0" w:color="auto"/>
      </w:divBdr>
      <w:divsChild>
        <w:div w:id="1530679667">
          <w:marLeft w:val="0"/>
          <w:marRight w:val="0"/>
          <w:marTop w:val="0"/>
          <w:marBottom w:val="0"/>
          <w:divBdr>
            <w:top w:val="none" w:sz="0" w:space="0" w:color="auto"/>
            <w:left w:val="none" w:sz="0" w:space="0" w:color="auto"/>
            <w:bottom w:val="none" w:sz="0" w:space="0" w:color="auto"/>
            <w:right w:val="none" w:sz="0" w:space="0" w:color="auto"/>
          </w:divBdr>
        </w:div>
      </w:divsChild>
    </w:div>
    <w:div w:id="1272930882">
      <w:bodyDiv w:val="1"/>
      <w:marLeft w:val="0"/>
      <w:marRight w:val="0"/>
      <w:marTop w:val="0"/>
      <w:marBottom w:val="0"/>
      <w:divBdr>
        <w:top w:val="none" w:sz="0" w:space="0" w:color="auto"/>
        <w:left w:val="none" w:sz="0" w:space="0" w:color="auto"/>
        <w:bottom w:val="none" w:sz="0" w:space="0" w:color="auto"/>
        <w:right w:val="none" w:sz="0" w:space="0" w:color="auto"/>
      </w:divBdr>
      <w:divsChild>
        <w:div w:id="1108819330">
          <w:marLeft w:val="1166"/>
          <w:marRight w:val="0"/>
          <w:marTop w:val="106"/>
          <w:marBottom w:val="0"/>
          <w:divBdr>
            <w:top w:val="none" w:sz="0" w:space="0" w:color="auto"/>
            <w:left w:val="none" w:sz="0" w:space="0" w:color="auto"/>
            <w:bottom w:val="none" w:sz="0" w:space="0" w:color="auto"/>
            <w:right w:val="none" w:sz="0" w:space="0" w:color="auto"/>
          </w:divBdr>
        </w:div>
      </w:divsChild>
    </w:div>
    <w:div w:id="1281372592">
      <w:bodyDiv w:val="1"/>
      <w:marLeft w:val="0"/>
      <w:marRight w:val="0"/>
      <w:marTop w:val="0"/>
      <w:marBottom w:val="0"/>
      <w:divBdr>
        <w:top w:val="none" w:sz="0" w:space="0" w:color="auto"/>
        <w:left w:val="none" w:sz="0" w:space="0" w:color="auto"/>
        <w:bottom w:val="none" w:sz="0" w:space="0" w:color="auto"/>
        <w:right w:val="none" w:sz="0" w:space="0" w:color="auto"/>
      </w:divBdr>
    </w:div>
    <w:div w:id="1298956028">
      <w:bodyDiv w:val="1"/>
      <w:marLeft w:val="0"/>
      <w:marRight w:val="0"/>
      <w:marTop w:val="0"/>
      <w:marBottom w:val="0"/>
      <w:divBdr>
        <w:top w:val="none" w:sz="0" w:space="0" w:color="auto"/>
        <w:left w:val="none" w:sz="0" w:space="0" w:color="auto"/>
        <w:bottom w:val="none" w:sz="0" w:space="0" w:color="auto"/>
        <w:right w:val="none" w:sz="0" w:space="0" w:color="auto"/>
      </w:divBdr>
    </w:div>
    <w:div w:id="1344894054">
      <w:bodyDiv w:val="1"/>
      <w:marLeft w:val="0"/>
      <w:marRight w:val="0"/>
      <w:marTop w:val="0"/>
      <w:marBottom w:val="0"/>
      <w:divBdr>
        <w:top w:val="none" w:sz="0" w:space="0" w:color="auto"/>
        <w:left w:val="none" w:sz="0" w:space="0" w:color="auto"/>
        <w:bottom w:val="none" w:sz="0" w:space="0" w:color="auto"/>
        <w:right w:val="none" w:sz="0" w:space="0" w:color="auto"/>
      </w:divBdr>
      <w:divsChild>
        <w:div w:id="257108240">
          <w:marLeft w:val="0"/>
          <w:marRight w:val="0"/>
          <w:marTop w:val="0"/>
          <w:marBottom w:val="0"/>
          <w:divBdr>
            <w:top w:val="none" w:sz="0" w:space="0" w:color="auto"/>
            <w:left w:val="none" w:sz="0" w:space="0" w:color="auto"/>
            <w:bottom w:val="none" w:sz="0" w:space="0" w:color="auto"/>
            <w:right w:val="none" w:sz="0" w:space="0" w:color="auto"/>
          </w:divBdr>
        </w:div>
        <w:div w:id="1742369373">
          <w:marLeft w:val="0"/>
          <w:marRight w:val="0"/>
          <w:marTop w:val="0"/>
          <w:marBottom w:val="0"/>
          <w:divBdr>
            <w:top w:val="none" w:sz="0" w:space="0" w:color="auto"/>
            <w:left w:val="none" w:sz="0" w:space="0" w:color="auto"/>
            <w:bottom w:val="none" w:sz="0" w:space="0" w:color="auto"/>
            <w:right w:val="none" w:sz="0" w:space="0" w:color="auto"/>
          </w:divBdr>
        </w:div>
        <w:div w:id="352651945">
          <w:marLeft w:val="0"/>
          <w:marRight w:val="0"/>
          <w:marTop w:val="0"/>
          <w:marBottom w:val="0"/>
          <w:divBdr>
            <w:top w:val="none" w:sz="0" w:space="0" w:color="auto"/>
            <w:left w:val="none" w:sz="0" w:space="0" w:color="auto"/>
            <w:bottom w:val="none" w:sz="0" w:space="0" w:color="auto"/>
            <w:right w:val="none" w:sz="0" w:space="0" w:color="auto"/>
          </w:divBdr>
        </w:div>
        <w:div w:id="177358262">
          <w:marLeft w:val="0"/>
          <w:marRight w:val="0"/>
          <w:marTop w:val="0"/>
          <w:marBottom w:val="0"/>
          <w:divBdr>
            <w:top w:val="none" w:sz="0" w:space="0" w:color="auto"/>
            <w:left w:val="none" w:sz="0" w:space="0" w:color="auto"/>
            <w:bottom w:val="none" w:sz="0" w:space="0" w:color="auto"/>
            <w:right w:val="none" w:sz="0" w:space="0" w:color="auto"/>
          </w:divBdr>
        </w:div>
        <w:div w:id="1820267233">
          <w:marLeft w:val="0"/>
          <w:marRight w:val="0"/>
          <w:marTop w:val="0"/>
          <w:marBottom w:val="0"/>
          <w:divBdr>
            <w:top w:val="none" w:sz="0" w:space="0" w:color="auto"/>
            <w:left w:val="none" w:sz="0" w:space="0" w:color="auto"/>
            <w:bottom w:val="none" w:sz="0" w:space="0" w:color="auto"/>
            <w:right w:val="none" w:sz="0" w:space="0" w:color="auto"/>
          </w:divBdr>
        </w:div>
        <w:div w:id="1111046933">
          <w:marLeft w:val="0"/>
          <w:marRight w:val="0"/>
          <w:marTop w:val="0"/>
          <w:marBottom w:val="0"/>
          <w:divBdr>
            <w:top w:val="none" w:sz="0" w:space="0" w:color="auto"/>
            <w:left w:val="none" w:sz="0" w:space="0" w:color="auto"/>
            <w:bottom w:val="none" w:sz="0" w:space="0" w:color="auto"/>
            <w:right w:val="none" w:sz="0" w:space="0" w:color="auto"/>
          </w:divBdr>
        </w:div>
        <w:div w:id="1042942218">
          <w:marLeft w:val="0"/>
          <w:marRight w:val="0"/>
          <w:marTop w:val="0"/>
          <w:marBottom w:val="0"/>
          <w:divBdr>
            <w:top w:val="none" w:sz="0" w:space="0" w:color="auto"/>
            <w:left w:val="none" w:sz="0" w:space="0" w:color="auto"/>
            <w:bottom w:val="none" w:sz="0" w:space="0" w:color="auto"/>
            <w:right w:val="none" w:sz="0" w:space="0" w:color="auto"/>
          </w:divBdr>
        </w:div>
        <w:div w:id="1334726621">
          <w:marLeft w:val="0"/>
          <w:marRight w:val="0"/>
          <w:marTop w:val="0"/>
          <w:marBottom w:val="0"/>
          <w:divBdr>
            <w:top w:val="none" w:sz="0" w:space="0" w:color="auto"/>
            <w:left w:val="none" w:sz="0" w:space="0" w:color="auto"/>
            <w:bottom w:val="none" w:sz="0" w:space="0" w:color="auto"/>
            <w:right w:val="none" w:sz="0" w:space="0" w:color="auto"/>
          </w:divBdr>
        </w:div>
        <w:div w:id="1578053197">
          <w:marLeft w:val="0"/>
          <w:marRight w:val="0"/>
          <w:marTop w:val="0"/>
          <w:marBottom w:val="0"/>
          <w:divBdr>
            <w:top w:val="none" w:sz="0" w:space="0" w:color="auto"/>
            <w:left w:val="none" w:sz="0" w:space="0" w:color="auto"/>
            <w:bottom w:val="none" w:sz="0" w:space="0" w:color="auto"/>
            <w:right w:val="none" w:sz="0" w:space="0" w:color="auto"/>
          </w:divBdr>
        </w:div>
        <w:div w:id="1408111444">
          <w:marLeft w:val="0"/>
          <w:marRight w:val="0"/>
          <w:marTop w:val="0"/>
          <w:marBottom w:val="0"/>
          <w:divBdr>
            <w:top w:val="none" w:sz="0" w:space="0" w:color="auto"/>
            <w:left w:val="none" w:sz="0" w:space="0" w:color="auto"/>
            <w:bottom w:val="none" w:sz="0" w:space="0" w:color="auto"/>
            <w:right w:val="none" w:sz="0" w:space="0" w:color="auto"/>
          </w:divBdr>
        </w:div>
        <w:div w:id="266666559">
          <w:marLeft w:val="0"/>
          <w:marRight w:val="0"/>
          <w:marTop w:val="0"/>
          <w:marBottom w:val="0"/>
          <w:divBdr>
            <w:top w:val="none" w:sz="0" w:space="0" w:color="auto"/>
            <w:left w:val="none" w:sz="0" w:space="0" w:color="auto"/>
            <w:bottom w:val="none" w:sz="0" w:space="0" w:color="auto"/>
            <w:right w:val="none" w:sz="0" w:space="0" w:color="auto"/>
          </w:divBdr>
        </w:div>
        <w:div w:id="1171794701">
          <w:marLeft w:val="0"/>
          <w:marRight w:val="0"/>
          <w:marTop w:val="0"/>
          <w:marBottom w:val="0"/>
          <w:divBdr>
            <w:top w:val="none" w:sz="0" w:space="0" w:color="auto"/>
            <w:left w:val="none" w:sz="0" w:space="0" w:color="auto"/>
            <w:bottom w:val="none" w:sz="0" w:space="0" w:color="auto"/>
            <w:right w:val="none" w:sz="0" w:space="0" w:color="auto"/>
          </w:divBdr>
        </w:div>
        <w:div w:id="476460422">
          <w:marLeft w:val="0"/>
          <w:marRight w:val="0"/>
          <w:marTop w:val="0"/>
          <w:marBottom w:val="0"/>
          <w:divBdr>
            <w:top w:val="none" w:sz="0" w:space="0" w:color="auto"/>
            <w:left w:val="none" w:sz="0" w:space="0" w:color="auto"/>
            <w:bottom w:val="none" w:sz="0" w:space="0" w:color="auto"/>
            <w:right w:val="none" w:sz="0" w:space="0" w:color="auto"/>
          </w:divBdr>
        </w:div>
        <w:div w:id="1683241420">
          <w:marLeft w:val="0"/>
          <w:marRight w:val="0"/>
          <w:marTop w:val="0"/>
          <w:marBottom w:val="0"/>
          <w:divBdr>
            <w:top w:val="none" w:sz="0" w:space="0" w:color="auto"/>
            <w:left w:val="none" w:sz="0" w:space="0" w:color="auto"/>
            <w:bottom w:val="none" w:sz="0" w:space="0" w:color="auto"/>
            <w:right w:val="none" w:sz="0" w:space="0" w:color="auto"/>
          </w:divBdr>
        </w:div>
        <w:div w:id="1919056793">
          <w:marLeft w:val="0"/>
          <w:marRight w:val="0"/>
          <w:marTop w:val="0"/>
          <w:marBottom w:val="0"/>
          <w:divBdr>
            <w:top w:val="none" w:sz="0" w:space="0" w:color="auto"/>
            <w:left w:val="none" w:sz="0" w:space="0" w:color="auto"/>
            <w:bottom w:val="none" w:sz="0" w:space="0" w:color="auto"/>
            <w:right w:val="none" w:sz="0" w:space="0" w:color="auto"/>
          </w:divBdr>
        </w:div>
        <w:div w:id="1086146474">
          <w:marLeft w:val="0"/>
          <w:marRight w:val="0"/>
          <w:marTop w:val="0"/>
          <w:marBottom w:val="0"/>
          <w:divBdr>
            <w:top w:val="none" w:sz="0" w:space="0" w:color="auto"/>
            <w:left w:val="none" w:sz="0" w:space="0" w:color="auto"/>
            <w:bottom w:val="none" w:sz="0" w:space="0" w:color="auto"/>
            <w:right w:val="none" w:sz="0" w:space="0" w:color="auto"/>
          </w:divBdr>
        </w:div>
        <w:div w:id="1382435093">
          <w:marLeft w:val="0"/>
          <w:marRight w:val="0"/>
          <w:marTop w:val="0"/>
          <w:marBottom w:val="0"/>
          <w:divBdr>
            <w:top w:val="none" w:sz="0" w:space="0" w:color="auto"/>
            <w:left w:val="none" w:sz="0" w:space="0" w:color="auto"/>
            <w:bottom w:val="none" w:sz="0" w:space="0" w:color="auto"/>
            <w:right w:val="none" w:sz="0" w:space="0" w:color="auto"/>
          </w:divBdr>
        </w:div>
        <w:div w:id="1404599179">
          <w:marLeft w:val="0"/>
          <w:marRight w:val="0"/>
          <w:marTop w:val="0"/>
          <w:marBottom w:val="0"/>
          <w:divBdr>
            <w:top w:val="none" w:sz="0" w:space="0" w:color="auto"/>
            <w:left w:val="none" w:sz="0" w:space="0" w:color="auto"/>
            <w:bottom w:val="none" w:sz="0" w:space="0" w:color="auto"/>
            <w:right w:val="none" w:sz="0" w:space="0" w:color="auto"/>
          </w:divBdr>
        </w:div>
        <w:div w:id="526530301">
          <w:marLeft w:val="0"/>
          <w:marRight w:val="0"/>
          <w:marTop w:val="0"/>
          <w:marBottom w:val="0"/>
          <w:divBdr>
            <w:top w:val="none" w:sz="0" w:space="0" w:color="auto"/>
            <w:left w:val="none" w:sz="0" w:space="0" w:color="auto"/>
            <w:bottom w:val="none" w:sz="0" w:space="0" w:color="auto"/>
            <w:right w:val="none" w:sz="0" w:space="0" w:color="auto"/>
          </w:divBdr>
        </w:div>
        <w:div w:id="1663660911">
          <w:marLeft w:val="0"/>
          <w:marRight w:val="0"/>
          <w:marTop w:val="0"/>
          <w:marBottom w:val="0"/>
          <w:divBdr>
            <w:top w:val="none" w:sz="0" w:space="0" w:color="auto"/>
            <w:left w:val="none" w:sz="0" w:space="0" w:color="auto"/>
            <w:bottom w:val="none" w:sz="0" w:space="0" w:color="auto"/>
            <w:right w:val="none" w:sz="0" w:space="0" w:color="auto"/>
          </w:divBdr>
        </w:div>
        <w:div w:id="585265896">
          <w:marLeft w:val="0"/>
          <w:marRight w:val="0"/>
          <w:marTop w:val="0"/>
          <w:marBottom w:val="0"/>
          <w:divBdr>
            <w:top w:val="none" w:sz="0" w:space="0" w:color="auto"/>
            <w:left w:val="none" w:sz="0" w:space="0" w:color="auto"/>
            <w:bottom w:val="none" w:sz="0" w:space="0" w:color="auto"/>
            <w:right w:val="none" w:sz="0" w:space="0" w:color="auto"/>
          </w:divBdr>
        </w:div>
        <w:div w:id="1173035301">
          <w:marLeft w:val="0"/>
          <w:marRight w:val="0"/>
          <w:marTop w:val="0"/>
          <w:marBottom w:val="0"/>
          <w:divBdr>
            <w:top w:val="none" w:sz="0" w:space="0" w:color="auto"/>
            <w:left w:val="none" w:sz="0" w:space="0" w:color="auto"/>
            <w:bottom w:val="none" w:sz="0" w:space="0" w:color="auto"/>
            <w:right w:val="none" w:sz="0" w:space="0" w:color="auto"/>
          </w:divBdr>
        </w:div>
        <w:div w:id="734740701">
          <w:marLeft w:val="0"/>
          <w:marRight w:val="0"/>
          <w:marTop w:val="0"/>
          <w:marBottom w:val="0"/>
          <w:divBdr>
            <w:top w:val="none" w:sz="0" w:space="0" w:color="auto"/>
            <w:left w:val="none" w:sz="0" w:space="0" w:color="auto"/>
            <w:bottom w:val="none" w:sz="0" w:space="0" w:color="auto"/>
            <w:right w:val="none" w:sz="0" w:space="0" w:color="auto"/>
          </w:divBdr>
        </w:div>
        <w:div w:id="1903904870">
          <w:marLeft w:val="0"/>
          <w:marRight w:val="0"/>
          <w:marTop w:val="0"/>
          <w:marBottom w:val="0"/>
          <w:divBdr>
            <w:top w:val="none" w:sz="0" w:space="0" w:color="auto"/>
            <w:left w:val="none" w:sz="0" w:space="0" w:color="auto"/>
            <w:bottom w:val="none" w:sz="0" w:space="0" w:color="auto"/>
            <w:right w:val="none" w:sz="0" w:space="0" w:color="auto"/>
          </w:divBdr>
        </w:div>
        <w:div w:id="29378646">
          <w:marLeft w:val="0"/>
          <w:marRight w:val="0"/>
          <w:marTop w:val="0"/>
          <w:marBottom w:val="0"/>
          <w:divBdr>
            <w:top w:val="none" w:sz="0" w:space="0" w:color="auto"/>
            <w:left w:val="none" w:sz="0" w:space="0" w:color="auto"/>
            <w:bottom w:val="none" w:sz="0" w:space="0" w:color="auto"/>
            <w:right w:val="none" w:sz="0" w:space="0" w:color="auto"/>
          </w:divBdr>
        </w:div>
        <w:div w:id="483160656">
          <w:marLeft w:val="0"/>
          <w:marRight w:val="0"/>
          <w:marTop w:val="0"/>
          <w:marBottom w:val="0"/>
          <w:divBdr>
            <w:top w:val="none" w:sz="0" w:space="0" w:color="auto"/>
            <w:left w:val="none" w:sz="0" w:space="0" w:color="auto"/>
            <w:bottom w:val="none" w:sz="0" w:space="0" w:color="auto"/>
            <w:right w:val="none" w:sz="0" w:space="0" w:color="auto"/>
          </w:divBdr>
        </w:div>
        <w:div w:id="174270560">
          <w:marLeft w:val="0"/>
          <w:marRight w:val="0"/>
          <w:marTop w:val="0"/>
          <w:marBottom w:val="0"/>
          <w:divBdr>
            <w:top w:val="none" w:sz="0" w:space="0" w:color="auto"/>
            <w:left w:val="none" w:sz="0" w:space="0" w:color="auto"/>
            <w:bottom w:val="none" w:sz="0" w:space="0" w:color="auto"/>
            <w:right w:val="none" w:sz="0" w:space="0" w:color="auto"/>
          </w:divBdr>
        </w:div>
        <w:div w:id="2001539344">
          <w:marLeft w:val="0"/>
          <w:marRight w:val="0"/>
          <w:marTop w:val="0"/>
          <w:marBottom w:val="0"/>
          <w:divBdr>
            <w:top w:val="none" w:sz="0" w:space="0" w:color="auto"/>
            <w:left w:val="none" w:sz="0" w:space="0" w:color="auto"/>
            <w:bottom w:val="none" w:sz="0" w:space="0" w:color="auto"/>
            <w:right w:val="none" w:sz="0" w:space="0" w:color="auto"/>
          </w:divBdr>
        </w:div>
        <w:div w:id="710231335">
          <w:marLeft w:val="0"/>
          <w:marRight w:val="0"/>
          <w:marTop w:val="0"/>
          <w:marBottom w:val="0"/>
          <w:divBdr>
            <w:top w:val="none" w:sz="0" w:space="0" w:color="auto"/>
            <w:left w:val="none" w:sz="0" w:space="0" w:color="auto"/>
            <w:bottom w:val="none" w:sz="0" w:space="0" w:color="auto"/>
            <w:right w:val="none" w:sz="0" w:space="0" w:color="auto"/>
          </w:divBdr>
        </w:div>
        <w:div w:id="50228036">
          <w:marLeft w:val="0"/>
          <w:marRight w:val="0"/>
          <w:marTop w:val="0"/>
          <w:marBottom w:val="0"/>
          <w:divBdr>
            <w:top w:val="none" w:sz="0" w:space="0" w:color="auto"/>
            <w:left w:val="none" w:sz="0" w:space="0" w:color="auto"/>
            <w:bottom w:val="none" w:sz="0" w:space="0" w:color="auto"/>
            <w:right w:val="none" w:sz="0" w:space="0" w:color="auto"/>
          </w:divBdr>
        </w:div>
        <w:div w:id="754666783">
          <w:marLeft w:val="0"/>
          <w:marRight w:val="0"/>
          <w:marTop w:val="0"/>
          <w:marBottom w:val="0"/>
          <w:divBdr>
            <w:top w:val="none" w:sz="0" w:space="0" w:color="auto"/>
            <w:left w:val="none" w:sz="0" w:space="0" w:color="auto"/>
            <w:bottom w:val="none" w:sz="0" w:space="0" w:color="auto"/>
            <w:right w:val="none" w:sz="0" w:space="0" w:color="auto"/>
          </w:divBdr>
        </w:div>
        <w:div w:id="1132551546">
          <w:marLeft w:val="0"/>
          <w:marRight w:val="0"/>
          <w:marTop w:val="0"/>
          <w:marBottom w:val="0"/>
          <w:divBdr>
            <w:top w:val="none" w:sz="0" w:space="0" w:color="auto"/>
            <w:left w:val="none" w:sz="0" w:space="0" w:color="auto"/>
            <w:bottom w:val="none" w:sz="0" w:space="0" w:color="auto"/>
            <w:right w:val="none" w:sz="0" w:space="0" w:color="auto"/>
          </w:divBdr>
        </w:div>
        <w:div w:id="648484580">
          <w:marLeft w:val="0"/>
          <w:marRight w:val="0"/>
          <w:marTop w:val="0"/>
          <w:marBottom w:val="0"/>
          <w:divBdr>
            <w:top w:val="none" w:sz="0" w:space="0" w:color="auto"/>
            <w:left w:val="none" w:sz="0" w:space="0" w:color="auto"/>
            <w:bottom w:val="none" w:sz="0" w:space="0" w:color="auto"/>
            <w:right w:val="none" w:sz="0" w:space="0" w:color="auto"/>
          </w:divBdr>
        </w:div>
        <w:div w:id="1031106036">
          <w:marLeft w:val="0"/>
          <w:marRight w:val="0"/>
          <w:marTop w:val="0"/>
          <w:marBottom w:val="0"/>
          <w:divBdr>
            <w:top w:val="none" w:sz="0" w:space="0" w:color="auto"/>
            <w:left w:val="none" w:sz="0" w:space="0" w:color="auto"/>
            <w:bottom w:val="none" w:sz="0" w:space="0" w:color="auto"/>
            <w:right w:val="none" w:sz="0" w:space="0" w:color="auto"/>
          </w:divBdr>
        </w:div>
        <w:div w:id="1488015639">
          <w:marLeft w:val="0"/>
          <w:marRight w:val="0"/>
          <w:marTop w:val="0"/>
          <w:marBottom w:val="0"/>
          <w:divBdr>
            <w:top w:val="none" w:sz="0" w:space="0" w:color="auto"/>
            <w:left w:val="none" w:sz="0" w:space="0" w:color="auto"/>
            <w:bottom w:val="none" w:sz="0" w:space="0" w:color="auto"/>
            <w:right w:val="none" w:sz="0" w:space="0" w:color="auto"/>
          </w:divBdr>
        </w:div>
        <w:div w:id="1818112253">
          <w:marLeft w:val="0"/>
          <w:marRight w:val="0"/>
          <w:marTop w:val="0"/>
          <w:marBottom w:val="0"/>
          <w:divBdr>
            <w:top w:val="none" w:sz="0" w:space="0" w:color="auto"/>
            <w:left w:val="none" w:sz="0" w:space="0" w:color="auto"/>
            <w:bottom w:val="none" w:sz="0" w:space="0" w:color="auto"/>
            <w:right w:val="none" w:sz="0" w:space="0" w:color="auto"/>
          </w:divBdr>
        </w:div>
        <w:div w:id="2068457992">
          <w:marLeft w:val="0"/>
          <w:marRight w:val="0"/>
          <w:marTop w:val="0"/>
          <w:marBottom w:val="0"/>
          <w:divBdr>
            <w:top w:val="none" w:sz="0" w:space="0" w:color="auto"/>
            <w:left w:val="none" w:sz="0" w:space="0" w:color="auto"/>
            <w:bottom w:val="none" w:sz="0" w:space="0" w:color="auto"/>
            <w:right w:val="none" w:sz="0" w:space="0" w:color="auto"/>
          </w:divBdr>
        </w:div>
        <w:div w:id="403988140">
          <w:marLeft w:val="0"/>
          <w:marRight w:val="0"/>
          <w:marTop w:val="0"/>
          <w:marBottom w:val="0"/>
          <w:divBdr>
            <w:top w:val="none" w:sz="0" w:space="0" w:color="auto"/>
            <w:left w:val="none" w:sz="0" w:space="0" w:color="auto"/>
            <w:bottom w:val="none" w:sz="0" w:space="0" w:color="auto"/>
            <w:right w:val="none" w:sz="0" w:space="0" w:color="auto"/>
          </w:divBdr>
        </w:div>
        <w:div w:id="424156016">
          <w:marLeft w:val="0"/>
          <w:marRight w:val="0"/>
          <w:marTop w:val="0"/>
          <w:marBottom w:val="0"/>
          <w:divBdr>
            <w:top w:val="none" w:sz="0" w:space="0" w:color="auto"/>
            <w:left w:val="none" w:sz="0" w:space="0" w:color="auto"/>
            <w:bottom w:val="none" w:sz="0" w:space="0" w:color="auto"/>
            <w:right w:val="none" w:sz="0" w:space="0" w:color="auto"/>
          </w:divBdr>
        </w:div>
        <w:div w:id="478692124">
          <w:marLeft w:val="0"/>
          <w:marRight w:val="0"/>
          <w:marTop w:val="0"/>
          <w:marBottom w:val="0"/>
          <w:divBdr>
            <w:top w:val="none" w:sz="0" w:space="0" w:color="auto"/>
            <w:left w:val="none" w:sz="0" w:space="0" w:color="auto"/>
            <w:bottom w:val="none" w:sz="0" w:space="0" w:color="auto"/>
            <w:right w:val="none" w:sz="0" w:space="0" w:color="auto"/>
          </w:divBdr>
        </w:div>
        <w:div w:id="573667213">
          <w:marLeft w:val="0"/>
          <w:marRight w:val="0"/>
          <w:marTop w:val="0"/>
          <w:marBottom w:val="0"/>
          <w:divBdr>
            <w:top w:val="none" w:sz="0" w:space="0" w:color="auto"/>
            <w:left w:val="none" w:sz="0" w:space="0" w:color="auto"/>
            <w:bottom w:val="none" w:sz="0" w:space="0" w:color="auto"/>
            <w:right w:val="none" w:sz="0" w:space="0" w:color="auto"/>
          </w:divBdr>
        </w:div>
        <w:div w:id="2135781176">
          <w:marLeft w:val="0"/>
          <w:marRight w:val="0"/>
          <w:marTop w:val="0"/>
          <w:marBottom w:val="0"/>
          <w:divBdr>
            <w:top w:val="none" w:sz="0" w:space="0" w:color="auto"/>
            <w:left w:val="none" w:sz="0" w:space="0" w:color="auto"/>
            <w:bottom w:val="none" w:sz="0" w:space="0" w:color="auto"/>
            <w:right w:val="none" w:sz="0" w:space="0" w:color="auto"/>
          </w:divBdr>
        </w:div>
        <w:div w:id="1819491137">
          <w:marLeft w:val="0"/>
          <w:marRight w:val="0"/>
          <w:marTop w:val="0"/>
          <w:marBottom w:val="0"/>
          <w:divBdr>
            <w:top w:val="none" w:sz="0" w:space="0" w:color="auto"/>
            <w:left w:val="none" w:sz="0" w:space="0" w:color="auto"/>
            <w:bottom w:val="none" w:sz="0" w:space="0" w:color="auto"/>
            <w:right w:val="none" w:sz="0" w:space="0" w:color="auto"/>
          </w:divBdr>
        </w:div>
        <w:div w:id="1302422841">
          <w:marLeft w:val="0"/>
          <w:marRight w:val="0"/>
          <w:marTop w:val="0"/>
          <w:marBottom w:val="0"/>
          <w:divBdr>
            <w:top w:val="none" w:sz="0" w:space="0" w:color="auto"/>
            <w:left w:val="none" w:sz="0" w:space="0" w:color="auto"/>
            <w:bottom w:val="none" w:sz="0" w:space="0" w:color="auto"/>
            <w:right w:val="none" w:sz="0" w:space="0" w:color="auto"/>
          </w:divBdr>
        </w:div>
        <w:div w:id="1827277573">
          <w:marLeft w:val="0"/>
          <w:marRight w:val="0"/>
          <w:marTop w:val="0"/>
          <w:marBottom w:val="0"/>
          <w:divBdr>
            <w:top w:val="none" w:sz="0" w:space="0" w:color="auto"/>
            <w:left w:val="none" w:sz="0" w:space="0" w:color="auto"/>
            <w:bottom w:val="none" w:sz="0" w:space="0" w:color="auto"/>
            <w:right w:val="none" w:sz="0" w:space="0" w:color="auto"/>
          </w:divBdr>
        </w:div>
        <w:div w:id="1311062564">
          <w:marLeft w:val="0"/>
          <w:marRight w:val="0"/>
          <w:marTop w:val="0"/>
          <w:marBottom w:val="0"/>
          <w:divBdr>
            <w:top w:val="none" w:sz="0" w:space="0" w:color="auto"/>
            <w:left w:val="none" w:sz="0" w:space="0" w:color="auto"/>
            <w:bottom w:val="none" w:sz="0" w:space="0" w:color="auto"/>
            <w:right w:val="none" w:sz="0" w:space="0" w:color="auto"/>
          </w:divBdr>
        </w:div>
        <w:div w:id="176232588">
          <w:marLeft w:val="0"/>
          <w:marRight w:val="0"/>
          <w:marTop w:val="0"/>
          <w:marBottom w:val="0"/>
          <w:divBdr>
            <w:top w:val="none" w:sz="0" w:space="0" w:color="auto"/>
            <w:left w:val="none" w:sz="0" w:space="0" w:color="auto"/>
            <w:bottom w:val="none" w:sz="0" w:space="0" w:color="auto"/>
            <w:right w:val="none" w:sz="0" w:space="0" w:color="auto"/>
          </w:divBdr>
        </w:div>
        <w:div w:id="957839726">
          <w:marLeft w:val="0"/>
          <w:marRight w:val="0"/>
          <w:marTop w:val="0"/>
          <w:marBottom w:val="0"/>
          <w:divBdr>
            <w:top w:val="none" w:sz="0" w:space="0" w:color="auto"/>
            <w:left w:val="none" w:sz="0" w:space="0" w:color="auto"/>
            <w:bottom w:val="none" w:sz="0" w:space="0" w:color="auto"/>
            <w:right w:val="none" w:sz="0" w:space="0" w:color="auto"/>
          </w:divBdr>
        </w:div>
        <w:div w:id="486170278">
          <w:marLeft w:val="0"/>
          <w:marRight w:val="0"/>
          <w:marTop w:val="0"/>
          <w:marBottom w:val="0"/>
          <w:divBdr>
            <w:top w:val="none" w:sz="0" w:space="0" w:color="auto"/>
            <w:left w:val="none" w:sz="0" w:space="0" w:color="auto"/>
            <w:bottom w:val="none" w:sz="0" w:space="0" w:color="auto"/>
            <w:right w:val="none" w:sz="0" w:space="0" w:color="auto"/>
          </w:divBdr>
        </w:div>
        <w:div w:id="971979513">
          <w:marLeft w:val="0"/>
          <w:marRight w:val="0"/>
          <w:marTop w:val="0"/>
          <w:marBottom w:val="0"/>
          <w:divBdr>
            <w:top w:val="none" w:sz="0" w:space="0" w:color="auto"/>
            <w:left w:val="none" w:sz="0" w:space="0" w:color="auto"/>
            <w:bottom w:val="none" w:sz="0" w:space="0" w:color="auto"/>
            <w:right w:val="none" w:sz="0" w:space="0" w:color="auto"/>
          </w:divBdr>
        </w:div>
        <w:div w:id="23293241">
          <w:marLeft w:val="0"/>
          <w:marRight w:val="0"/>
          <w:marTop w:val="0"/>
          <w:marBottom w:val="0"/>
          <w:divBdr>
            <w:top w:val="none" w:sz="0" w:space="0" w:color="auto"/>
            <w:left w:val="none" w:sz="0" w:space="0" w:color="auto"/>
            <w:bottom w:val="none" w:sz="0" w:space="0" w:color="auto"/>
            <w:right w:val="none" w:sz="0" w:space="0" w:color="auto"/>
          </w:divBdr>
        </w:div>
        <w:div w:id="1484348051">
          <w:marLeft w:val="0"/>
          <w:marRight w:val="0"/>
          <w:marTop w:val="0"/>
          <w:marBottom w:val="0"/>
          <w:divBdr>
            <w:top w:val="none" w:sz="0" w:space="0" w:color="auto"/>
            <w:left w:val="none" w:sz="0" w:space="0" w:color="auto"/>
            <w:bottom w:val="none" w:sz="0" w:space="0" w:color="auto"/>
            <w:right w:val="none" w:sz="0" w:space="0" w:color="auto"/>
          </w:divBdr>
        </w:div>
        <w:div w:id="1330402821">
          <w:marLeft w:val="0"/>
          <w:marRight w:val="0"/>
          <w:marTop w:val="0"/>
          <w:marBottom w:val="0"/>
          <w:divBdr>
            <w:top w:val="none" w:sz="0" w:space="0" w:color="auto"/>
            <w:left w:val="none" w:sz="0" w:space="0" w:color="auto"/>
            <w:bottom w:val="none" w:sz="0" w:space="0" w:color="auto"/>
            <w:right w:val="none" w:sz="0" w:space="0" w:color="auto"/>
          </w:divBdr>
        </w:div>
        <w:div w:id="363023736">
          <w:marLeft w:val="0"/>
          <w:marRight w:val="0"/>
          <w:marTop w:val="0"/>
          <w:marBottom w:val="0"/>
          <w:divBdr>
            <w:top w:val="none" w:sz="0" w:space="0" w:color="auto"/>
            <w:left w:val="none" w:sz="0" w:space="0" w:color="auto"/>
            <w:bottom w:val="none" w:sz="0" w:space="0" w:color="auto"/>
            <w:right w:val="none" w:sz="0" w:space="0" w:color="auto"/>
          </w:divBdr>
        </w:div>
        <w:div w:id="106169910">
          <w:marLeft w:val="0"/>
          <w:marRight w:val="0"/>
          <w:marTop w:val="0"/>
          <w:marBottom w:val="0"/>
          <w:divBdr>
            <w:top w:val="none" w:sz="0" w:space="0" w:color="auto"/>
            <w:left w:val="none" w:sz="0" w:space="0" w:color="auto"/>
            <w:bottom w:val="none" w:sz="0" w:space="0" w:color="auto"/>
            <w:right w:val="none" w:sz="0" w:space="0" w:color="auto"/>
          </w:divBdr>
        </w:div>
        <w:div w:id="1298728988">
          <w:marLeft w:val="0"/>
          <w:marRight w:val="0"/>
          <w:marTop w:val="0"/>
          <w:marBottom w:val="0"/>
          <w:divBdr>
            <w:top w:val="none" w:sz="0" w:space="0" w:color="auto"/>
            <w:left w:val="none" w:sz="0" w:space="0" w:color="auto"/>
            <w:bottom w:val="none" w:sz="0" w:space="0" w:color="auto"/>
            <w:right w:val="none" w:sz="0" w:space="0" w:color="auto"/>
          </w:divBdr>
        </w:div>
        <w:div w:id="332530363">
          <w:marLeft w:val="0"/>
          <w:marRight w:val="0"/>
          <w:marTop w:val="0"/>
          <w:marBottom w:val="0"/>
          <w:divBdr>
            <w:top w:val="none" w:sz="0" w:space="0" w:color="auto"/>
            <w:left w:val="none" w:sz="0" w:space="0" w:color="auto"/>
            <w:bottom w:val="none" w:sz="0" w:space="0" w:color="auto"/>
            <w:right w:val="none" w:sz="0" w:space="0" w:color="auto"/>
          </w:divBdr>
        </w:div>
        <w:div w:id="1427535283">
          <w:marLeft w:val="0"/>
          <w:marRight w:val="0"/>
          <w:marTop w:val="0"/>
          <w:marBottom w:val="0"/>
          <w:divBdr>
            <w:top w:val="none" w:sz="0" w:space="0" w:color="auto"/>
            <w:left w:val="none" w:sz="0" w:space="0" w:color="auto"/>
            <w:bottom w:val="none" w:sz="0" w:space="0" w:color="auto"/>
            <w:right w:val="none" w:sz="0" w:space="0" w:color="auto"/>
          </w:divBdr>
        </w:div>
        <w:div w:id="1983655519">
          <w:marLeft w:val="0"/>
          <w:marRight w:val="0"/>
          <w:marTop w:val="0"/>
          <w:marBottom w:val="0"/>
          <w:divBdr>
            <w:top w:val="none" w:sz="0" w:space="0" w:color="auto"/>
            <w:left w:val="none" w:sz="0" w:space="0" w:color="auto"/>
            <w:bottom w:val="none" w:sz="0" w:space="0" w:color="auto"/>
            <w:right w:val="none" w:sz="0" w:space="0" w:color="auto"/>
          </w:divBdr>
        </w:div>
        <w:div w:id="125632933">
          <w:marLeft w:val="0"/>
          <w:marRight w:val="0"/>
          <w:marTop w:val="0"/>
          <w:marBottom w:val="0"/>
          <w:divBdr>
            <w:top w:val="none" w:sz="0" w:space="0" w:color="auto"/>
            <w:left w:val="none" w:sz="0" w:space="0" w:color="auto"/>
            <w:bottom w:val="none" w:sz="0" w:space="0" w:color="auto"/>
            <w:right w:val="none" w:sz="0" w:space="0" w:color="auto"/>
          </w:divBdr>
        </w:div>
        <w:div w:id="734204237">
          <w:marLeft w:val="0"/>
          <w:marRight w:val="0"/>
          <w:marTop w:val="0"/>
          <w:marBottom w:val="0"/>
          <w:divBdr>
            <w:top w:val="none" w:sz="0" w:space="0" w:color="auto"/>
            <w:left w:val="none" w:sz="0" w:space="0" w:color="auto"/>
            <w:bottom w:val="none" w:sz="0" w:space="0" w:color="auto"/>
            <w:right w:val="none" w:sz="0" w:space="0" w:color="auto"/>
          </w:divBdr>
        </w:div>
        <w:div w:id="1187644595">
          <w:marLeft w:val="0"/>
          <w:marRight w:val="0"/>
          <w:marTop w:val="0"/>
          <w:marBottom w:val="0"/>
          <w:divBdr>
            <w:top w:val="none" w:sz="0" w:space="0" w:color="auto"/>
            <w:left w:val="none" w:sz="0" w:space="0" w:color="auto"/>
            <w:bottom w:val="none" w:sz="0" w:space="0" w:color="auto"/>
            <w:right w:val="none" w:sz="0" w:space="0" w:color="auto"/>
          </w:divBdr>
        </w:div>
        <w:div w:id="1450053728">
          <w:marLeft w:val="0"/>
          <w:marRight w:val="0"/>
          <w:marTop w:val="0"/>
          <w:marBottom w:val="0"/>
          <w:divBdr>
            <w:top w:val="none" w:sz="0" w:space="0" w:color="auto"/>
            <w:left w:val="none" w:sz="0" w:space="0" w:color="auto"/>
            <w:bottom w:val="none" w:sz="0" w:space="0" w:color="auto"/>
            <w:right w:val="none" w:sz="0" w:space="0" w:color="auto"/>
          </w:divBdr>
        </w:div>
        <w:div w:id="1378165803">
          <w:marLeft w:val="0"/>
          <w:marRight w:val="0"/>
          <w:marTop w:val="0"/>
          <w:marBottom w:val="0"/>
          <w:divBdr>
            <w:top w:val="none" w:sz="0" w:space="0" w:color="auto"/>
            <w:left w:val="none" w:sz="0" w:space="0" w:color="auto"/>
            <w:bottom w:val="none" w:sz="0" w:space="0" w:color="auto"/>
            <w:right w:val="none" w:sz="0" w:space="0" w:color="auto"/>
          </w:divBdr>
        </w:div>
        <w:div w:id="685208877">
          <w:marLeft w:val="0"/>
          <w:marRight w:val="0"/>
          <w:marTop w:val="0"/>
          <w:marBottom w:val="0"/>
          <w:divBdr>
            <w:top w:val="none" w:sz="0" w:space="0" w:color="auto"/>
            <w:left w:val="none" w:sz="0" w:space="0" w:color="auto"/>
            <w:bottom w:val="none" w:sz="0" w:space="0" w:color="auto"/>
            <w:right w:val="none" w:sz="0" w:space="0" w:color="auto"/>
          </w:divBdr>
        </w:div>
        <w:div w:id="1604142988">
          <w:marLeft w:val="0"/>
          <w:marRight w:val="0"/>
          <w:marTop w:val="0"/>
          <w:marBottom w:val="0"/>
          <w:divBdr>
            <w:top w:val="none" w:sz="0" w:space="0" w:color="auto"/>
            <w:left w:val="none" w:sz="0" w:space="0" w:color="auto"/>
            <w:bottom w:val="none" w:sz="0" w:space="0" w:color="auto"/>
            <w:right w:val="none" w:sz="0" w:space="0" w:color="auto"/>
          </w:divBdr>
        </w:div>
        <w:div w:id="1856843351">
          <w:marLeft w:val="0"/>
          <w:marRight w:val="0"/>
          <w:marTop w:val="0"/>
          <w:marBottom w:val="0"/>
          <w:divBdr>
            <w:top w:val="none" w:sz="0" w:space="0" w:color="auto"/>
            <w:left w:val="none" w:sz="0" w:space="0" w:color="auto"/>
            <w:bottom w:val="none" w:sz="0" w:space="0" w:color="auto"/>
            <w:right w:val="none" w:sz="0" w:space="0" w:color="auto"/>
          </w:divBdr>
        </w:div>
        <w:div w:id="1296328496">
          <w:marLeft w:val="0"/>
          <w:marRight w:val="0"/>
          <w:marTop w:val="0"/>
          <w:marBottom w:val="0"/>
          <w:divBdr>
            <w:top w:val="none" w:sz="0" w:space="0" w:color="auto"/>
            <w:left w:val="none" w:sz="0" w:space="0" w:color="auto"/>
            <w:bottom w:val="none" w:sz="0" w:space="0" w:color="auto"/>
            <w:right w:val="none" w:sz="0" w:space="0" w:color="auto"/>
          </w:divBdr>
        </w:div>
        <w:div w:id="220412350">
          <w:marLeft w:val="0"/>
          <w:marRight w:val="0"/>
          <w:marTop w:val="0"/>
          <w:marBottom w:val="0"/>
          <w:divBdr>
            <w:top w:val="none" w:sz="0" w:space="0" w:color="auto"/>
            <w:left w:val="none" w:sz="0" w:space="0" w:color="auto"/>
            <w:bottom w:val="none" w:sz="0" w:space="0" w:color="auto"/>
            <w:right w:val="none" w:sz="0" w:space="0" w:color="auto"/>
          </w:divBdr>
        </w:div>
        <w:div w:id="1460756243">
          <w:marLeft w:val="0"/>
          <w:marRight w:val="0"/>
          <w:marTop w:val="0"/>
          <w:marBottom w:val="0"/>
          <w:divBdr>
            <w:top w:val="none" w:sz="0" w:space="0" w:color="auto"/>
            <w:left w:val="none" w:sz="0" w:space="0" w:color="auto"/>
            <w:bottom w:val="none" w:sz="0" w:space="0" w:color="auto"/>
            <w:right w:val="none" w:sz="0" w:space="0" w:color="auto"/>
          </w:divBdr>
        </w:div>
        <w:div w:id="2108112375">
          <w:marLeft w:val="0"/>
          <w:marRight w:val="0"/>
          <w:marTop w:val="0"/>
          <w:marBottom w:val="0"/>
          <w:divBdr>
            <w:top w:val="none" w:sz="0" w:space="0" w:color="auto"/>
            <w:left w:val="none" w:sz="0" w:space="0" w:color="auto"/>
            <w:bottom w:val="none" w:sz="0" w:space="0" w:color="auto"/>
            <w:right w:val="none" w:sz="0" w:space="0" w:color="auto"/>
          </w:divBdr>
        </w:div>
        <w:div w:id="1429691791">
          <w:marLeft w:val="0"/>
          <w:marRight w:val="0"/>
          <w:marTop w:val="0"/>
          <w:marBottom w:val="0"/>
          <w:divBdr>
            <w:top w:val="none" w:sz="0" w:space="0" w:color="auto"/>
            <w:left w:val="none" w:sz="0" w:space="0" w:color="auto"/>
            <w:bottom w:val="none" w:sz="0" w:space="0" w:color="auto"/>
            <w:right w:val="none" w:sz="0" w:space="0" w:color="auto"/>
          </w:divBdr>
        </w:div>
        <w:div w:id="1418552460">
          <w:marLeft w:val="0"/>
          <w:marRight w:val="0"/>
          <w:marTop w:val="0"/>
          <w:marBottom w:val="0"/>
          <w:divBdr>
            <w:top w:val="none" w:sz="0" w:space="0" w:color="auto"/>
            <w:left w:val="none" w:sz="0" w:space="0" w:color="auto"/>
            <w:bottom w:val="none" w:sz="0" w:space="0" w:color="auto"/>
            <w:right w:val="none" w:sz="0" w:space="0" w:color="auto"/>
          </w:divBdr>
        </w:div>
        <w:div w:id="2038042573">
          <w:marLeft w:val="0"/>
          <w:marRight w:val="0"/>
          <w:marTop w:val="0"/>
          <w:marBottom w:val="0"/>
          <w:divBdr>
            <w:top w:val="none" w:sz="0" w:space="0" w:color="auto"/>
            <w:left w:val="none" w:sz="0" w:space="0" w:color="auto"/>
            <w:bottom w:val="none" w:sz="0" w:space="0" w:color="auto"/>
            <w:right w:val="none" w:sz="0" w:space="0" w:color="auto"/>
          </w:divBdr>
        </w:div>
        <w:div w:id="718360575">
          <w:marLeft w:val="0"/>
          <w:marRight w:val="0"/>
          <w:marTop w:val="0"/>
          <w:marBottom w:val="0"/>
          <w:divBdr>
            <w:top w:val="none" w:sz="0" w:space="0" w:color="auto"/>
            <w:left w:val="none" w:sz="0" w:space="0" w:color="auto"/>
            <w:bottom w:val="none" w:sz="0" w:space="0" w:color="auto"/>
            <w:right w:val="none" w:sz="0" w:space="0" w:color="auto"/>
          </w:divBdr>
        </w:div>
        <w:div w:id="472522618">
          <w:marLeft w:val="0"/>
          <w:marRight w:val="0"/>
          <w:marTop w:val="0"/>
          <w:marBottom w:val="0"/>
          <w:divBdr>
            <w:top w:val="none" w:sz="0" w:space="0" w:color="auto"/>
            <w:left w:val="none" w:sz="0" w:space="0" w:color="auto"/>
            <w:bottom w:val="none" w:sz="0" w:space="0" w:color="auto"/>
            <w:right w:val="none" w:sz="0" w:space="0" w:color="auto"/>
          </w:divBdr>
        </w:div>
        <w:div w:id="346830579">
          <w:marLeft w:val="0"/>
          <w:marRight w:val="0"/>
          <w:marTop w:val="0"/>
          <w:marBottom w:val="0"/>
          <w:divBdr>
            <w:top w:val="none" w:sz="0" w:space="0" w:color="auto"/>
            <w:left w:val="none" w:sz="0" w:space="0" w:color="auto"/>
            <w:bottom w:val="none" w:sz="0" w:space="0" w:color="auto"/>
            <w:right w:val="none" w:sz="0" w:space="0" w:color="auto"/>
          </w:divBdr>
        </w:div>
        <w:div w:id="473104768">
          <w:marLeft w:val="0"/>
          <w:marRight w:val="0"/>
          <w:marTop w:val="0"/>
          <w:marBottom w:val="0"/>
          <w:divBdr>
            <w:top w:val="none" w:sz="0" w:space="0" w:color="auto"/>
            <w:left w:val="none" w:sz="0" w:space="0" w:color="auto"/>
            <w:bottom w:val="none" w:sz="0" w:space="0" w:color="auto"/>
            <w:right w:val="none" w:sz="0" w:space="0" w:color="auto"/>
          </w:divBdr>
        </w:div>
        <w:div w:id="529683172">
          <w:marLeft w:val="0"/>
          <w:marRight w:val="0"/>
          <w:marTop w:val="0"/>
          <w:marBottom w:val="0"/>
          <w:divBdr>
            <w:top w:val="none" w:sz="0" w:space="0" w:color="auto"/>
            <w:left w:val="none" w:sz="0" w:space="0" w:color="auto"/>
            <w:bottom w:val="none" w:sz="0" w:space="0" w:color="auto"/>
            <w:right w:val="none" w:sz="0" w:space="0" w:color="auto"/>
          </w:divBdr>
        </w:div>
        <w:div w:id="315039962">
          <w:marLeft w:val="0"/>
          <w:marRight w:val="0"/>
          <w:marTop w:val="0"/>
          <w:marBottom w:val="0"/>
          <w:divBdr>
            <w:top w:val="none" w:sz="0" w:space="0" w:color="auto"/>
            <w:left w:val="none" w:sz="0" w:space="0" w:color="auto"/>
            <w:bottom w:val="none" w:sz="0" w:space="0" w:color="auto"/>
            <w:right w:val="none" w:sz="0" w:space="0" w:color="auto"/>
          </w:divBdr>
        </w:div>
        <w:div w:id="1792279266">
          <w:marLeft w:val="0"/>
          <w:marRight w:val="0"/>
          <w:marTop w:val="0"/>
          <w:marBottom w:val="0"/>
          <w:divBdr>
            <w:top w:val="none" w:sz="0" w:space="0" w:color="auto"/>
            <w:left w:val="none" w:sz="0" w:space="0" w:color="auto"/>
            <w:bottom w:val="none" w:sz="0" w:space="0" w:color="auto"/>
            <w:right w:val="none" w:sz="0" w:space="0" w:color="auto"/>
          </w:divBdr>
        </w:div>
        <w:div w:id="564685075">
          <w:marLeft w:val="0"/>
          <w:marRight w:val="0"/>
          <w:marTop w:val="0"/>
          <w:marBottom w:val="0"/>
          <w:divBdr>
            <w:top w:val="none" w:sz="0" w:space="0" w:color="auto"/>
            <w:left w:val="none" w:sz="0" w:space="0" w:color="auto"/>
            <w:bottom w:val="none" w:sz="0" w:space="0" w:color="auto"/>
            <w:right w:val="none" w:sz="0" w:space="0" w:color="auto"/>
          </w:divBdr>
        </w:div>
        <w:div w:id="725300565">
          <w:marLeft w:val="0"/>
          <w:marRight w:val="0"/>
          <w:marTop w:val="0"/>
          <w:marBottom w:val="0"/>
          <w:divBdr>
            <w:top w:val="none" w:sz="0" w:space="0" w:color="auto"/>
            <w:left w:val="none" w:sz="0" w:space="0" w:color="auto"/>
            <w:bottom w:val="none" w:sz="0" w:space="0" w:color="auto"/>
            <w:right w:val="none" w:sz="0" w:space="0" w:color="auto"/>
          </w:divBdr>
        </w:div>
        <w:div w:id="542407333">
          <w:marLeft w:val="0"/>
          <w:marRight w:val="0"/>
          <w:marTop w:val="0"/>
          <w:marBottom w:val="0"/>
          <w:divBdr>
            <w:top w:val="none" w:sz="0" w:space="0" w:color="auto"/>
            <w:left w:val="none" w:sz="0" w:space="0" w:color="auto"/>
            <w:bottom w:val="none" w:sz="0" w:space="0" w:color="auto"/>
            <w:right w:val="none" w:sz="0" w:space="0" w:color="auto"/>
          </w:divBdr>
        </w:div>
        <w:div w:id="1043213371">
          <w:marLeft w:val="0"/>
          <w:marRight w:val="0"/>
          <w:marTop w:val="0"/>
          <w:marBottom w:val="0"/>
          <w:divBdr>
            <w:top w:val="none" w:sz="0" w:space="0" w:color="auto"/>
            <w:left w:val="none" w:sz="0" w:space="0" w:color="auto"/>
            <w:bottom w:val="none" w:sz="0" w:space="0" w:color="auto"/>
            <w:right w:val="none" w:sz="0" w:space="0" w:color="auto"/>
          </w:divBdr>
        </w:div>
        <w:div w:id="1852841310">
          <w:marLeft w:val="0"/>
          <w:marRight w:val="0"/>
          <w:marTop w:val="0"/>
          <w:marBottom w:val="0"/>
          <w:divBdr>
            <w:top w:val="none" w:sz="0" w:space="0" w:color="auto"/>
            <w:left w:val="none" w:sz="0" w:space="0" w:color="auto"/>
            <w:bottom w:val="none" w:sz="0" w:space="0" w:color="auto"/>
            <w:right w:val="none" w:sz="0" w:space="0" w:color="auto"/>
          </w:divBdr>
        </w:div>
        <w:div w:id="755783022">
          <w:marLeft w:val="0"/>
          <w:marRight w:val="0"/>
          <w:marTop w:val="0"/>
          <w:marBottom w:val="0"/>
          <w:divBdr>
            <w:top w:val="none" w:sz="0" w:space="0" w:color="auto"/>
            <w:left w:val="none" w:sz="0" w:space="0" w:color="auto"/>
            <w:bottom w:val="none" w:sz="0" w:space="0" w:color="auto"/>
            <w:right w:val="none" w:sz="0" w:space="0" w:color="auto"/>
          </w:divBdr>
        </w:div>
        <w:div w:id="2073502795">
          <w:marLeft w:val="0"/>
          <w:marRight w:val="0"/>
          <w:marTop w:val="0"/>
          <w:marBottom w:val="0"/>
          <w:divBdr>
            <w:top w:val="none" w:sz="0" w:space="0" w:color="auto"/>
            <w:left w:val="none" w:sz="0" w:space="0" w:color="auto"/>
            <w:bottom w:val="none" w:sz="0" w:space="0" w:color="auto"/>
            <w:right w:val="none" w:sz="0" w:space="0" w:color="auto"/>
          </w:divBdr>
        </w:div>
        <w:div w:id="1668433338">
          <w:marLeft w:val="0"/>
          <w:marRight w:val="0"/>
          <w:marTop w:val="0"/>
          <w:marBottom w:val="0"/>
          <w:divBdr>
            <w:top w:val="none" w:sz="0" w:space="0" w:color="auto"/>
            <w:left w:val="none" w:sz="0" w:space="0" w:color="auto"/>
            <w:bottom w:val="none" w:sz="0" w:space="0" w:color="auto"/>
            <w:right w:val="none" w:sz="0" w:space="0" w:color="auto"/>
          </w:divBdr>
        </w:div>
        <w:div w:id="102772609">
          <w:marLeft w:val="0"/>
          <w:marRight w:val="0"/>
          <w:marTop w:val="0"/>
          <w:marBottom w:val="0"/>
          <w:divBdr>
            <w:top w:val="none" w:sz="0" w:space="0" w:color="auto"/>
            <w:left w:val="none" w:sz="0" w:space="0" w:color="auto"/>
            <w:bottom w:val="none" w:sz="0" w:space="0" w:color="auto"/>
            <w:right w:val="none" w:sz="0" w:space="0" w:color="auto"/>
          </w:divBdr>
        </w:div>
        <w:div w:id="133371173">
          <w:marLeft w:val="0"/>
          <w:marRight w:val="0"/>
          <w:marTop w:val="0"/>
          <w:marBottom w:val="0"/>
          <w:divBdr>
            <w:top w:val="none" w:sz="0" w:space="0" w:color="auto"/>
            <w:left w:val="none" w:sz="0" w:space="0" w:color="auto"/>
            <w:bottom w:val="none" w:sz="0" w:space="0" w:color="auto"/>
            <w:right w:val="none" w:sz="0" w:space="0" w:color="auto"/>
          </w:divBdr>
        </w:div>
        <w:div w:id="934437187">
          <w:marLeft w:val="0"/>
          <w:marRight w:val="0"/>
          <w:marTop w:val="0"/>
          <w:marBottom w:val="0"/>
          <w:divBdr>
            <w:top w:val="none" w:sz="0" w:space="0" w:color="auto"/>
            <w:left w:val="none" w:sz="0" w:space="0" w:color="auto"/>
            <w:bottom w:val="none" w:sz="0" w:space="0" w:color="auto"/>
            <w:right w:val="none" w:sz="0" w:space="0" w:color="auto"/>
          </w:divBdr>
        </w:div>
        <w:div w:id="1595086771">
          <w:marLeft w:val="0"/>
          <w:marRight w:val="0"/>
          <w:marTop w:val="0"/>
          <w:marBottom w:val="0"/>
          <w:divBdr>
            <w:top w:val="none" w:sz="0" w:space="0" w:color="auto"/>
            <w:left w:val="none" w:sz="0" w:space="0" w:color="auto"/>
            <w:bottom w:val="none" w:sz="0" w:space="0" w:color="auto"/>
            <w:right w:val="none" w:sz="0" w:space="0" w:color="auto"/>
          </w:divBdr>
        </w:div>
        <w:div w:id="1232228458">
          <w:marLeft w:val="0"/>
          <w:marRight w:val="0"/>
          <w:marTop w:val="0"/>
          <w:marBottom w:val="0"/>
          <w:divBdr>
            <w:top w:val="none" w:sz="0" w:space="0" w:color="auto"/>
            <w:left w:val="none" w:sz="0" w:space="0" w:color="auto"/>
            <w:bottom w:val="none" w:sz="0" w:space="0" w:color="auto"/>
            <w:right w:val="none" w:sz="0" w:space="0" w:color="auto"/>
          </w:divBdr>
        </w:div>
        <w:div w:id="489256150">
          <w:marLeft w:val="0"/>
          <w:marRight w:val="0"/>
          <w:marTop w:val="0"/>
          <w:marBottom w:val="0"/>
          <w:divBdr>
            <w:top w:val="none" w:sz="0" w:space="0" w:color="auto"/>
            <w:left w:val="none" w:sz="0" w:space="0" w:color="auto"/>
            <w:bottom w:val="none" w:sz="0" w:space="0" w:color="auto"/>
            <w:right w:val="none" w:sz="0" w:space="0" w:color="auto"/>
          </w:divBdr>
        </w:div>
        <w:div w:id="1363745878">
          <w:marLeft w:val="0"/>
          <w:marRight w:val="0"/>
          <w:marTop w:val="0"/>
          <w:marBottom w:val="0"/>
          <w:divBdr>
            <w:top w:val="none" w:sz="0" w:space="0" w:color="auto"/>
            <w:left w:val="none" w:sz="0" w:space="0" w:color="auto"/>
            <w:bottom w:val="none" w:sz="0" w:space="0" w:color="auto"/>
            <w:right w:val="none" w:sz="0" w:space="0" w:color="auto"/>
          </w:divBdr>
        </w:div>
        <w:div w:id="245311266">
          <w:marLeft w:val="0"/>
          <w:marRight w:val="0"/>
          <w:marTop w:val="0"/>
          <w:marBottom w:val="0"/>
          <w:divBdr>
            <w:top w:val="none" w:sz="0" w:space="0" w:color="auto"/>
            <w:left w:val="none" w:sz="0" w:space="0" w:color="auto"/>
            <w:bottom w:val="none" w:sz="0" w:space="0" w:color="auto"/>
            <w:right w:val="none" w:sz="0" w:space="0" w:color="auto"/>
          </w:divBdr>
        </w:div>
        <w:div w:id="1515920933">
          <w:marLeft w:val="0"/>
          <w:marRight w:val="0"/>
          <w:marTop w:val="0"/>
          <w:marBottom w:val="0"/>
          <w:divBdr>
            <w:top w:val="none" w:sz="0" w:space="0" w:color="auto"/>
            <w:left w:val="none" w:sz="0" w:space="0" w:color="auto"/>
            <w:bottom w:val="none" w:sz="0" w:space="0" w:color="auto"/>
            <w:right w:val="none" w:sz="0" w:space="0" w:color="auto"/>
          </w:divBdr>
        </w:div>
        <w:div w:id="1905144221">
          <w:marLeft w:val="0"/>
          <w:marRight w:val="0"/>
          <w:marTop w:val="0"/>
          <w:marBottom w:val="0"/>
          <w:divBdr>
            <w:top w:val="none" w:sz="0" w:space="0" w:color="auto"/>
            <w:left w:val="none" w:sz="0" w:space="0" w:color="auto"/>
            <w:bottom w:val="none" w:sz="0" w:space="0" w:color="auto"/>
            <w:right w:val="none" w:sz="0" w:space="0" w:color="auto"/>
          </w:divBdr>
        </w:div>
        <w:div w:id="1531140251">
          <w:marLeft w:val="0"/>
          <w:marRight w:val="0"/>
          <w:marTop w:val="0"/>
          <w:marBottom w:val="0"/>
          <w:divBdr>
            <w:top w:val="none" w:sz="0" w:space="0" w:color="auto"/>
            <w:left w:val="none" w:sz="0" w:space="0" w:color="auto"/>
            <w:bottom w:val="none" w:sz="0" w:space="0" w:color="auto"/>
            <w:right w:val="none" w:sz="0" w:space="0" w:color="auto"/>
          </w:divBdr>
        </w:div>
        <w:div w:id="1561550009">
          <w:marLeft w:val="0"/>
          <w:marRight w:val="0"/>
          <w:marTop w:val="0"/>
          <w:marBottom w:val="0"/>
          <w:divBdr>
            <w:top w:val="none" w:sz="0" w:space="0" w:color="auto"/>
            <w:left w:val="none" w:sz="0" w:space="0" w:color="auto"/>
            <w:bottom w:val="none" w:sz="0" w:space="0" w:color="auto"/>
            <w:right w:val="none" w:sz="0" w:space="0" w:color="auto"/>
          </w:divBdr>
        </w:div>
        <w:div w:id="1241716638">
          <w:marLeft w:val="0"/>
          <w:marRight w:val="0"/>
          <w:marTop w:val="0"/>
          <w:marBottom w:val="0"/>
          <w:divBdr>
            <w:top w:val="none" w:sz="0" w:space="0" w:color="auto"/>
            <w:left w:val="none" w:sz="0" w:space="0" w:color="auto"/>
            <w:bottom w:val="none" w:sz="0" w:space="0" w:color="auto"/>
            <w:right w:val="none" w:sz="0" w:space="0" w:color="auto"/>
          </w:divBdr>
        </w:div>
        <w:div w:id="290017629">
          <w:marLeft w:val="0"/>
          <w:marRight w:val="0"/>
          <w:marTop w:val="0"/>
          <w:marBottom w:val="0"/>
          <w:divBdr>
            <w:top w:val="none" w:sz="0" w:space="0" w:color="auto"/>
            <w:left w:val="none" w:sz="0" w:space="0" w:color="auto"/>
            <w:bottom w:val="none" w:sz="0" w:space="0" w:color="auto"/>
            <w:right w:val="none" w:sz="0" w:space="0" w:color="auto"/>
          </w:divBdr>
        </w:div>
        <w:div w:id="265620793">
          <w:marLeft w:val="0"/>
          <w:marRight w:val="0"/>
          <w:marTop w:val="0"/>
          <w:marBottom w:val="0"/>
          <w:divBdr>
            <w:top w:val="none" w:sz="0" w:space="0" w:color="auto"/>
            <w:left w:val="none" w:sz="0" w:space="0" w:color="auto"/>
            <w:bottom w:val="none" w:sz="0" w:space="0" w:color="auto"/>
            <w:right w:val="none" w:sz="0" w:space="0" w:color="auto"/>
          </w:divBdr>
        </w:div>
        <w:div w:id="1546746636">
          <w:marLeft w:val="0"/>
          <w:marRight w:val="0"/>
          <w:marTop w:val="0"/>
          <w:marBottom w:val="0"/>
          <w:divBdr>
            <w:top w:val="none" w:sz="0" w:space="0" w:color="auto"/>
            <w:left w:val="none" w:sz="0" w:space="0" w:color="auto"/>
            <w:bottom w:val="none" w:sz="0" w:space="0" w:color="auto"/>
            <w:right w:val="none" w:sz="0" w:space="0" w:color="auto"/>
          </w:divBdr>
        </w:div>
        <w:div w:id="423111797">
          <w:marLeft w:val="0"/>
          <w:marRight w:val="0"/>
          <w:marTop w:val="0"/>
          <w:marBottom w:val="0"/>
          <w:divBdr>
            <w:top w:val="none" w:sz="0" w:space="0" w:color="auto"/>
            <w:left w:val="none" w:sz="0" w:space="0" w:color="auto"/>
            <w:bottom w:val="none" w:sz="0" w:space="0" w:color="auto"/>
            <w:right w:val="none" w:sz="0" w:space="0" w:color="auto"/>
          </w:divBdr>
        </w:div>
        <w:div w:id="555119585">
          <w:marLeft w:val="0"/>
          <w:marRight w:val="0"/>
          <w:marTop w:val="0"/>
          <w:marBottom w:val="0"/>
          <w:divBdr>
            <w:top w:val="none" w:sz="0" w:space="0" w:color="auto"/>
            <w:left w:val="none" w:sz="0" w:space="0" w:color="auto"/>
            <w:bottom w:val="none" w:sz="0" w:space="0" w:color="auto"/>
            <w:right w:val="none" w:sz="0" w:space="0" w:color="auto"/>
          </w:divBdr>
        </w:div>
        <w:div w:id="391000447">
          <w:marLeft w:val="0"/>
          <w:marRight w:val="0"/>
          <w:marTop w:val="0"/>
          <w:marBottom w:val="0"/>
          <w:divBdr>
            <w:top w:val="none" w:sz="0" w:space="0" w:color="auto"/>
            <w:left w:val="none" w:sz="0" w:space="0" w:color="auto"/>
            <w:bottom w:val="none" w:sz="0" w:space="0" w:color="auto"/>
            <w:right w:val="none" w:sz="0" w:space="0" w:color="auto"/>
          </w:divBdr>
        </w:div>
        <w:div w:id="2024428338">
          <w:marLeft w:val="0"/>
          <w:marRight w:val="0"/>
          <w:marTop w:val="0"/>
          <w:marBottom w:val="0"/>
          <w:divBdr>
            <w:top w:val="none" w:sz="0" w:space="0" w:color="auto"/>
            <w:left w:val="none" w:sz="0" w:space="0" w:color="auto"/>
            <w:bottom w:val="none" w:sz="0" w:space="0" w:color="auto"/>
            <w:right w:val="none" w:sz="0" w:space="0" w:color="auto"/>
          </w:divBdr>
        </w:div>
        <w:div w:id="1464039625">
          <w:marLeft w:val="0"/>
          <w:marRight w:val="0"/>
          <w:marTop w:val="0"/>
          <w:marBottom w:val="0"/>
          <w:divBdr>
            <w:top w:val="none" w:sz="0" w:space="0" w:color="auto"/>
            <w:left w:val="none" w:sz="0" w:space="0" w:color="auto"/>
            <w:bottom w:val="none" w:sz="0" w:space="0" w:color="auto"/>
            <w:right w:val="none" w:sz="0" w:space="0" w:color="auto"/>
          </w:divBdr>
        </w:div>
        <w:div w:id="1668553469">
          <w:marLeft w:val="0"/>
          <w:marRight w:val="0"/>
          <w:marTop w:val="0"/>
          <w:marBottom w:val="0"/>
          <w:divBdr>
            <w:top w:val="none" w:sz="0" w:space="0" w:color="auto"/>
            <w:left w:val="none" w:sz="0" w:space="0" w:color="auto"/>
            <w:bottom w:val="none" w:sz="0" w:space="0" w:color="auto"/>
            <w:right w:val="none" w:sz="0" w:space="0" w:color="auto"/>
          </w:divBdr>
        </w:div>
        <w:div w:id="1795293905">
          <w:marLeft w:val="0"/>
          <w:marRight w:val="0"/>
          <w:marTop w:val="0"/>
          <w:marBottom w:val="0"/>
          <w:divBdr>
            <w:top w:val="none" w:sz="0" w:space="0" w:color="auto"/>
            <w:left w:val="none" w:sz="0" w:space="0" w:color="auto"/>
            <w:bottom w:val="none" w:sz="0" w:space="0" w:color="auto"/>
            <w:right w:val="none" w:sz="0" w:space="0" w:color="auto"/>
          </w:divBdr>
        </w:div>
        <w:div w:id="63378340">
          <w:marLeft w:val="0"/>
          <w:marRight w:val="0"/>
          <w:marTop w:val="0"/>
          <w:marBottom w:val="0"/>
          <w:divBdr>
            <w:top w:val="none" w:sz="0" w:space="0" w:color="auto"/>
            <w:left w:val="none" w:sz="0" w:space="0" w:color="auto"/>
            <w:bottom w:val="none" w:sz="0" w:space="0" w:color="auto"/>
            <w:right w:val="none" w:sz="0" w:space="0" w:color="auto"/>
          </w:divBdr>
        </w:div>
        <w:div w:id="439104370">
          <w:marLeft w:val="0"/>
          <w:marRight w:val="0"/>
          <w:marTop w:val="0"/>
          <w:marBottom w:val="0"/>
          <w:divBdr>
            <w:top w:val="none" w:sz="0" w:space="0" w:color="auto"/>
            <w:left w:val="none" w:sz="0" w:space="0" w:color="auto"/>
            <w:bottom w:val="none" w:sz="0" w:space="0" w:color="auto"/>
            <w:right w:val="none" w:sz="0" w:space="0" w:color="auto"/>
          </w:divBdr>
        </w:div>
        <w:div w:id="980302912">
          <w:marLeft w:val="0"/>
          <w:marRight w:val="0"/>
          <w:marTop w:val="0"/>
          <w:marBottom w:val="0"/>
          <w:divBdr>
            <w:top w:val="none" w:sz="0" w:space="0" w:color="auto"/>
            <w:left w:val="none" w:sz="0" w:space="0" w:color="auto"/>
            <w:bottom w:val="none" w:sz="0" w:space="0" w:color="auto"/>
            <w:right w:val="none" w:sz="0" w:space="0" w:color="auto"/>
          </w:divBdr>
        </w:div>
        <w:div w:id="1916696695">
          <w:marLeft w:val="0"/>
          <w:marRight w:val="0"/>
          <w:marTop w:val="0"/>
          <w:marBottom w:val="0"/>
          <w:divBdr>
            <w:top w:val="none" w:sz="0" w:space="0" w:color="auto"/>
            <w:left w:val="none" w:sz="0" w:space="0" w:color="auto"/>
            <w:bottom w:val="none" w:sz="0" w:space="0" w:color="auto"/>
            <w:right w:val="none" w:sz="0" w:space="0" w:color="auto"/>
          </w:divBdr>
        </w:div>
        <w:div w:id="570508813">
          <w:marLeft w:val="0"/>
          <w:marRight w:val="0"/>
          <w:marTop w:val="0"/>
          <w:marBottom w:val="0"/>
          <w:divBdr>
            <w:top w:val="none" w:sz="0" w:space="0" w:color="auto"/>
            <w:left w:val="none" w:sz="0" w:space="0" w:color="auto"/>
            <w:bottom w:val="none" w:sz="0" w:space="0" w:color="auto"/>
            <w:right w:val="none" w:sz="0" w:space="0" w:color="auto"/>
          </w:divBdr>
        </w:div>
        <w:div w:id="260991028">
          <w:marLeft w:val="0"/>
          <w:marRight w:val="0"/>
          <w:marTop w:val="0"/>
          <w:marBottom w:val="0"/>
          <w:divBdr>
            <w:top w:val="none" w:sz="0" w:space="0" w:color="auto"/>
            <w:left w:val="none" w:sz="0" w:space="0" w:color="auto"/>
            <w:bottom w:val="none" w:sz="0" w:space="0" w:color="auto"/>
            <w:right w:val="none" w:sz="0" w:space="0" w:color="auto"/>
          </w:divBdr>
        </w:div>
        <w:div w:id="746460787">
          <w:marLeft w:val="0"/>
          <w:marRight w:val="0"/>
          <w:marTop w:val="0"/>
          <w:marBottom w:val="0"/>
          <w:divBdr>
            <w:top w:val="none" w:sz="0" w:space="0" w:color="auto"/>
            <w:left w:val="none" w:sz="0" w:space="0" w:color="auto"/>
            <w:bottom w:val="none" w:sz="0" w:space="0" w:color="auto"/>
            <w:right w:val="none" w:sz="0" w:space="0" w:color="auto"/>
          </w:divBdr>
        </w:div>
        <w:div w:id="1422679520">
          <w:marLeft w:val="0"/>
          <w:marRight w:val="0"/>
          <w:marTop w:val="0"/>
          <w:marBottom w:val="0"/>
          <w:divBdr>
            <w:top w:val="none" w:sz="0" w:space="0" w:color="auto"/>
            <w:left w:val="none" w:sz="0" w:space="0" w:color="auto"/>
            <w:bottom w:val="none" w:sz="0" w:space="0" w:color="auto"/>
            <w:right w:val="none" w:sz="0" w:space="0" w:color="auto"/>
          </w:divBdr>
        </w:div>
        <w:div w:id="1557399455">
          <w:marLeft w:val="0"/>
          <w:marRight w:val="0"/>
          <w:marTop w:val="0"/>
          <w:marBottom w:val="0"/>
          <w:divBdr>
            <w:top w:val="none" w:sz="0" w:space="0" w:color="auto"/>
            <w:left w:val="none" w:sz="0" w:space="0" w:color="auto"/>
            <w:bottom w:val="none" w:sz="0" w:space="0" w:color="auto"/>
            <w:right w:val="none" w:sz="0" w:space="0" w:color="auto"/>
          </w:divBdr>
        </w:div>
        <w:div w:id="1955624904">
          <w:marLeft w:val="0"/>
          <w:marRight w:val="0"/>
          <w:marTop w:val="0"/>
          <w:marBottom w:val="0"/>
          <w:divBdr>
            <w:top w:val="none" w:sz="0" w:space="0" w:color="auto"/>
            <w:left w:val="none" w:sz="0" w:space="0" w:color="auto"/>
            <w:bottom w:val="none" w:sz="0" w:space="0" w:color="auto"/>
            <w:right w:val="none" w:sz="0" w:space="0" w:color="auto"/>
          </w:divBdr>
        </w:div>
        <w:div w:id="1617761088">
          <w:marLeft w:val="0"/>
          <w:marRight w:val="0"/>
          <w:marTop w:val="0"/>
          <w:marBottom w:val="0"/>
          <w:divBdr>
            <w:top w:val="none" w:sz="0" w:space="0" w:color="auto"/>
            <w:left w:val="none" w:sz="0" w:space="0" w:color="auto"/>
            <w:bottom w:val="none" w:sz="0" w:space="0" w:color="auto"/>
            <w:right w:val="none" w:sz="0" w:space="0" w:color="auto"/>
          </w:divBdr>
        </w:div>
        <w:div w:id="425730525">
          <w:marLeft w:val="0"/>
          <w:marRight w:val="0"/>
          <w:marTop w:val="0"/>
          <w:marBottom w:val="0"/>
          <w:divBdr>
            <w:top w:val="none" w:sz="0" w:space="0" w:color="auto"/>
            <w:left w:val="none" w:sz="0" w:space="0" w:color="auto"/>
            <w:bottom w:val="none" w:sz="0" w:space="0" w:color="auto"/>
            <w:right w:val="none" w:sz="0" w:space="0" w:color="auto"/>
          </w:divBdr>
        </w:div>
        <w:div w:id="764806057">
          <w:marLeft w:val="0"/>
          <w:marRight w:val="0"/>
          <w:marTop w:val="0"/>
          <w:marBottom w:val="0"/>
          <w:divBdr>
            <w:top w:val="none" w:sz="0" w:space="0" w:color="auto"/>
            <w:left w:val="none" w:sz="0" w:space="0" w:color="auto"/>
            <w:bottom w:val="none" w:sz="0" w:space="0" w:color="auto"/>
            <w:right w:val="none" w:sz="0" w:space="0" w:color="auto"/>
          </w:divBdr>
        </w:div>
        <w:div w:id="1767268982">
          <w:marLeft w:val="0"/>
          <w:marRight w:val="0"/>
          <w:marTop w:val="0"/>
          <w:marBottom w:val="0"/>
          <w:divBdr>
            <w:top w:val="none" w:sz="0" w:space="0" w:color="auto"/>
            <w:left w:val="none" w:sz="0" w:space="0" w:color="auto"/>
            <w:bottom w:val="none" w:sz="0" w:space="0" w:color="auto"/>
            <w:right w:val="none" w:sz="0" w:space="0" w:color="auto"/>
          </w:divBdr>
        </w:div>
        <w:div w:id="1778063240">
          <w:marLeft w:val="0"/>
          <w:marRight w:val="0"/>
          <w:marTop w:val="0"/>
          <w:marBottom w:val="0"/>
          <w:divBdr>
            <w:top w:val="none" w:sz="0" w:space="0" w:color="auto"/>
            <w:left w:val="none" w:sz="0" w:space="0" w:color="auto"/>
            <w:bottom w:val="none" w:sz="0" w:space="0" w:color="auto"/>
            <w:right w:val="none" w:sz="0" w:space="0" w:color="auto"/>
          </w:divBdr>
        </w:div>
        <w:div w:id="1544639122">
          <w:marLeft w:val="0"/>
          <w:marRight w:val="0"/>
          <w:marTop w:val="0"/>
          <w:marBottom w:val="0"/>
          <w:divBdr>
            <w:top w:val="none" w:sz="0" w:space="0" w:color="auto"/>
            <w:left w:val="none" w:sz="0" w:space="0" w:color="auto"/>
            <w:bottom w:val="none" w:sz="0" w:space="0" w:color="auto"/>
            <w:right w:val="none" w:sz="0" w:space="0" w:color="auto"/>
          </w:divBdr>
        </w:div>
        <w:div w:id="991523838">
          <w:marLeft w:val="0"/>
          <w:marRight w:val="0"/>
          <w:marTop w:val="0"/>
          <w:marBottom w:val="0"/>
          <w:divBdr>
            <w:top w:val="none" w:sz="0" w:space="0" w:color="auto"/>
            <w:left w:val="none" w:sz="0" w:space="0" w:color="auto"/>
            <w:bottom w:val="none" w:sz="0" w:space="0" w:color="auto"/>
            <w:right w:val="none" w:sz="0" w:space="0" w:color="auto"/>
          </w:divBdr>
        </w:div>
        <w:div w:id="1924681844">
          <w:marLeft w:val="0"/>
          <w:marRight w:val="0"/>
          <w:marTop w:val="0"/>
          <w:marBottom w:val="0"/>
          <w:divBdr>
            <w:top w:val="none" w:sz="0" w:space="0" w:color="auto"/>
            <w:left w:val="none" w:sz="0" w:space="0" w:color="auto"/>
            <w:bottom w:val="none" w:sz="0" w:space="0" w:color="auto"/>
            <w:right w:val="none" w:sz="0" w:space="0" w:color="auto"/>
          </w:divBdr>
        </w:div>
        <w:div w:id="136188287">
          <w:marLeft w:val="0"/>
          <w:marRight w:val="0"/>
          <w:marTop w:val="0"/>
          <w:marBottom w:val="0"/>
          <w:divBdr>
            <w:top w:val="none" w:sz="0" w:space="0" w:color="auto"/>
            <w:left w:val="none" w:sz="0" w:space="0" w:color="auto"/>
            <w:bottom w:val="none" w:sz="0" w:space="0" w:color="auto"/>
            <w:right w:val="none" w:sz="0" w:space="0" w:color="auto"/>
          </w:divBdr>
        </w:div>
        <w:div w:id="1172376007">
          <w:marLeft w:val="0"/>
          <w:marRight w:val="0"/>
          <w:marTop w:val="0"/>
          <w:marBottom w:val="0"/>
          <w:divBdr>
            <w:top w:val="none" w:sz="0" w:space="0" w:color="auto"/>
            <w:left w:val="none" w:sz="0" w:space="0" w:color="auto"/>
            <w:bottom w:val="none" w:sz="0" w:space="0" w:color="auto"/>
            <w:right w:val="none" w:sz="0" w:space="0" w:color="auto"/>
          </w:divBdr>
        </w:div>
        <w:div w:id="397631828">
          <w:marLeft w:val="0"/>
          <w:marRight w:val="0"/>
          <w:marTop w:val="0"/>
          <w:marBottom w:val="0"/>
          <w:divBdr>
            <w:top w:val="none" w:sz="0" w:space="0" w:color="auto"/>
            <w:left w:val="none" w:sz="0" w:space="0" w:color="auto"/>
            <w:bottom w:val="none" w:sz="0" w:space="0" w:color="auto"/>
            <w:right w:val="none" w:sz="0" w:space="0" w:color="auto"/>
          </w:divBdr>
        </w:div>
        <w:div w:id="1717192562">
          <w:marLeft w:val="0"/>
          <w:marRight w:val="0"/>
          <w:marTop w:val="0"/>
          <w:marBottom w:val="0"/>
          <w:divBdr>
            <w:top w:val="none" w:sz="0" w:space="0" w:color="auto"/>
            <w:left w:val="none" w:sz="0" w:space="0" w:color="auto"/>
            <w:bottom w:val="none" w:sz="0" w:space="0" w:color="auto"/>
            <w:right w:val="none" w:sz="0" w:space="0" w:color="auto"/>
          </w:divBdr>
        </w:div>
        <w:div w:id="1984384788">
          <w:marLeft w:val="0"/>
          <w:marRight w:val="0"/>
          <w:marTop w:val="0"/>
          <w:marBottom w:val="0"/>
          <w:divBdr>
            <w:top w:val="none" w:sz="0" w:space="0" w:color="auto"/>
            <w:left w:val="none" w:sz="0" w:space="0" w:color="auto"/>
            <w:bottom w:val="none" w:sz="0" w:space="0" w:color="auto"/>
            <w:right w:val="none" w:sz="0" w:space="0" w:color="auto"/>
          </w:divBdr>
        </w:div>
        <w:div w:id="1441608203">
          <w:marLeft w:val="0"/>
          <w:marRight w:val="0"/>
          <w:marTop w:val="0"/>
          <w:marBottom w:val="0"/>
          <w:divBdr>
            <w:top w:val="none" w:sz="0" w:space="0" w:color="auto"/>
            <w:left w:val="none" w:sz="0" w:space="0" w:color="auto"/>
            <w:bottom w:val="none" w:sz="0" w:space="0" w:color="auto"/>
            <w:right w:val="none" w:sz="0" w:space="0" w:color="auto"/>
          </w:divBdr>
        </w:div>
        <w:div w:id="1650743122">
          <w:marLeft w:val="0"/>
          <w:marRight w:val="0"/>
          <w:marTop w:val="0"/>
          <w:marBottom w:val="0"/>
          <w:divBdr>
            <w:top w:val="none" w:sz="0" w:space="0" w:color="auto"/>
            <w:left w:val="none" w:sz="0" w:space="0" w:color="auto"/>
            <w:bottom w:val="none" w:sz="0" w:space="0" w:color="auto"/>
            <w:right w:val="none" w:sz="0" w:space="0" w:color="auto"/>
          </w:divBdr>
        </w:div>
        <w:div w:id="2119913311">
          <w:marLeft w:val="0"/>
          <w:marRight w:val="0"/>
          <w:marTop w:val="0"/>
          <w:marBottom w:val="0"/>
          <w:divBdr>
            <w:top w:val="none" w:sz="0" w:space="0" w:color="auto"/>
            <w:left w:val="none" w:sz="0" w:space="0" w:color="auto"/>
            <w:bottom w:val="none" w:sz="0" w:space="0" w:color="auto"/>
            <w:right w:val="none" w:sz="0" w:space="0" w:color="auto"/>
          </w:divBdr>
        </w:div>
        <w:div w:id="244800922">
          <w:marLeft w:val="0"/>
          <w:marRight w:val="0"/>
          <w:marTop w:val="0"/>
          <w:marBottom w:val="0"/>
          <w:divBdr>
            <w:top w:val="none" w:sz="0" w:space="0" w:color="auto"/>
            <w:left w:val="none" w:sz="0" w:space="0" w:color="auto"/>
            <w:bottom w:val="none" w:sz="0" w:space="0" w:color="auto"/>
            <w:right w:val="none" w:sz="0" w:space="0" w:color="auto"/>
          </w:divBdr>
        </w:div>
        <w:div w:id="81611575">
          <w:marLeft w:val="0"/>
          <w:marRight w:val="0"/>
          <w:marTop w:val="0"/>
          <w:marBottom w:val="0"/>
          <w:divBdr>
            <w:top w:val="none" w:sz="0" w:space="0" w:color="auto"/>
            <w:left w:val="none" w:sz="0" w:space="0" w:color="auto"/>
            <w:bottom w:val="none" w:sz="0" w:space="0" w:color="auto"/>
            <w:right w:val="none" w:sz="0" w:space="0" w:color="auto"/>
          </w:divBdr>
        </w:div>
        <w:div w:id="621962610">
          <w:marLeft w:val="0"/>
          <w:marRight w:val="0"/>
          <w:marTop w:val="0"/>
          <w:marBottom w:val="0"/>
          <w:divBdr>
            <w:top w:val="none" w:sz="0" w:space="0" w:color="auto"/>
            <w:left w:val="none" w:sz="0" w:space="0" w:color="auto"/>
            <w:bottom w:val="none" w:sz="0" w:space="0" w:color="auto"/>
            <w:right w:val="none" w:sz="0" w:space="0" w:color="auto"/>
          </w:divBdr>
        </w:div>
        <w:div w:id="2112821068">
          <w:marLeft w:val="0"/>
          <w:marRight w:val="0"/>
          <w:marTop w:val="0"/>
          <w:marBottom w:val="0"/>
          <w:divBdr>
            <w:top w:val="none" w:sz="0" w:space="0" w:color="auto"/>
            <w:left w:val="none" w:sz="0" w:space="0" w:color="auto"/>
            <w:bottom w:val="none" w:sz="0" w:space="0" w:color="auto"/>
            <w:right w:val="none" w:sz="0" w:space="0" w:color="auto"/>
          </w:divBdr>
        </w:div>
        <w:div w:id="1227914694">
          <w:marLeft w:val="0"/>
          <w:marRight w:val="0"/>
          <w:marTop w:val="0"/>
          <w:marBottom w:val="0"/>
          <w:divBdr>
            <w:top w:val="none" w:sz="0" w:space="0" w:color="auto"/>
            <w:left w:val="none" w:sz="0" w:space="0" w:color="auto"/>
            <w:bottom w:val="none" w:sz="0" w:space="0" w:color="auto"/>
            <w:right w:val="none" w:sz="0" w:space="0" w:color="auto"/>
          </w:divBdr>
        </w:div>
        <w:div w:id="1379428751">
          <w:marLeft w:val="0"/>
          <w:marRight w:val="0"/>
          <w:marTop w:val="0"/>
          <w:marBottom w:val="0"/>
          <w:divBdr>
            <w:top w:val="none" w:sz="0" w:space="0" w:color="auto"/>
            <w:left w:val="none" w:sz="0" w:space="0" w:color="auto"/>
            <w:bottom w:val="none" w:sz="0" w:space="0" w:color="auto"/>
            <w:right w:val="none" w:sz="0" w:space="0" w:color="auto"/>
          </w:divBdr>
        </w:div>
        <w:div w:id="975765698">
          <w:marLeft w:val="0"/>
          <w:marRight w:val="0"/>
          <w:marTop w:val="0"/>
          <w:marBottom w:val="0"/>
          <w:divBdr>
            <w:top w:val="none" w:sz="0" w:space="0" w:color="auto"/>
            <w:left w:val="none" w:sz="0" w:space="0" w:color="auto"/>
            <w:bottom w:val="none" w:sz="0" w:space="0" w:color="auto"/>
            <w:right w:val="none" w:sz="0" w:space="0" w:color="auto"/>
          </w:divBdr>
        </w:div>
        <w:div w:id="189997111">
          <w:marLeft w:val="0"/>
          <w:marRight w:val="0"/>
          <w:marTop w:val="0"/>
          <w:marBottom w:val="0"/>
          <w:divBdr>
            <w:top w:val="none" w:sz="0" w:space="0" w:color="auto"/>
            <w:left w:val="none" w:sz="0" w:space="0" w:color="auto"/>
            <w:bottom w:val="none" w:sz="0" w:space="0" w:color="auto"/>
            <w:right w:val="none" w:sz="0" w:space="0" w:color="auto"/>
          </w:divBdr>
        </w:div>
        <w:div w:id="1909879615">
          <w:marLeft w:val="0"/>
          <w:marRight w:val="0"/>
          <w:marTop w:val="0"/>
          <w:marBottom w:val="0"/>
          <w:divBdr>
            <w:top w:val="none" w:sz="0" w:space="0" w:color="auto"/>
            <w:left w:val="none" w:sz="0" w:space="0" w:color="auto"/>
            <w:bottom w:val="none" w:sz="0" w:space="0" w:color="auto"/>
            <w:right w:val="none" w:sz="0" w:space="0" w:color="auto"/>
          </w:divBdr>
        </w:div>
        <w:div w:id="1873304591">
          <w:marLeft w:val="0"/>
          <w:marRight w:val="0"/>
          <w:marTop w:val="0"/>
          <w:marBottom w:val="0"/>
          <w:divBdr>
            <w:top w:val="none" w:sz="0" w:space="0" w:color="auto"/>
            <w:left w:val="none" w:sz="0" w:space="0" w:color="auto"/>
            <w:bottom w:val="none" w:sz="0" w:space="0" w:color="auto"/>
            <w:right w:val="none" w:sz="0" w:space="0" w:color="auto"/>
          </w:divBdr>
        </w:div>
        <w:div w:id="1454446118">
          <w:marLeft w:val="0"/>
          <w:marRight w:val="0"/>
          <w:marTop w:val="0"/>
          <w:marBottom w:val="0"/>
          <w:divBdr>
            <w:top w:val="none" w:sz="0" w:space="0" w:color="auto"/>
            <w:left w:val="none" w:sz="0" w:space="0" w:color="auto"/>
            <w:bottom w:val="none" w:sz="0" w:space="0" w:color="auto"/>
            <w:right w:val="none" w:sz="0" w:space="0" w:color="auto"/>
          </w:divBdr>
        </w:div>
        <w:div w:id="1350372288">
          <w:marLeft w:val="0"/>
          <w:marRight w:val="0"/>
          <w:marTop w:val="0"/>
          <w:marBottom w:val="0"/>
          <w:divBdr>
            <w:top w:val="none" w:sz="0" w:space="0" w:color="auto"/>
            <w:left w:val="none" w:sz="0" w:space="0" w:color="auto"/>
            <w:bottom w:val="none" w:sz="0" w:space="0" w:color="auto"/>
            <w:right w:val="none" w:sz="0" w:space="0" w:color="auto"/>
          </w:divBdr>
        </w:div>
        <w:div w:id="1639408444">
          <w:marLeft w:val="0"/>
          <w:marRight w:val="0"/>
          <w:marTop w:val="0"/>
          <w:marBottom w:val="0"/>
          <w:divBdr>
            <w:top w:val="none" w:sz="0" w:space="0" w:color="auto"/>
            <w:left w:val="none" w:sz="0" w:space="0" w:color="auto"/>
            <w:bottom w:val="none" w:sz="0" w:space="0" w:color="auto"/>
            <w:right w:val="none" w:sz="0" w:space="0" w:color="auto"/>
          </w:divBdr>
        </w:div>
        <w:div w:id="422796783">
          <w:marLeft w:val="0"/>
          <w:marRight w:val="0"/>
          <w:marTop w:val="0"/>
          <w:marBottom w:val="0"/>
          <w:divBdr>
            <w:top w:val="none" w:sz="0" w:space="0" w:color="auto"/>
            <w:left w:val="none" w:sz="0" w:space="0" w:color="auto"/>
            <w:bottom w:val="none" w:sz="0" w:space="0" w:color="auto"/>
            <w:right w:val="none" w:sz="0" w:space="0" w:color="auto"/>
          </w:divBdr>
        </w:div>
        <w:div w:id="1311248350">
          <w:marLeft w:val="0"/>
          <w:marRight w:val="0"/>
          <w:marTop w:val="0"/>
          <w:marBottom w:val="0"/>
          <w:divBdr>
            <w:top w:val="none" w:sz="0" w:space="0" w:color="auto"/>
            <w:left w:val="none" w:sz="0" w:space="0" w:color="auto"/>
            <w:bottom w:val="none" w:sz="0" w:space="0" w:color="auto"/>
            <w:right w:val="none" w:sz="0" w:space="0" w:color="auto"/>
          </w:divBdr>
        </w:div>
        <w:div w:id="1238520642">
          <w:marLeft w:val="0"/>
          <w:marRight w:val="0"/>
          <w:marTop w:val="0"/>
          <w:marBottom w:val="0"/>
          <w:divBdr>
            <w:top w:val="none" w:sz="0" w:space="0" w:color="auto"/>
            <w:left w:val="none" w:sz="0" w:space="0" w:color="auto"/>
            <w:bottom w:val="none" w:sz="0" w:space="0" w:color="auto"/>
            <w:right w:val="none" w:sz="0" w:space="0" w:color="auto"/>
          </w:divBdr>
        </w:div>
        <w:div w:id="734161647">
          <w:marLeft w:val="0"/>
          <w:marRight w:val="0"/>
          <w:marTop w:val="0"/>
          <w:marBottom w:val="0"/>
          <w:divBdr>
            <w:top w:val="none" w:sz="0" w:space="0" w:color="auto"/>
            <w:left w:val="none" w:sz="0" w:space="0" w:color="auto"/>
            <w:bottom w:val="none" w:sz="0" w:space="0" w:color="auto"/>
            <w:right w:val="none" w:sz="0" w:space="0" w:color="auto"/>
          </w:divBdr>
        </w:div>
        <w:div w:id="1817448568">
          <w:marLeft w:val="0"/>
          <w:marRight w:val="0"/>
          <w:marTop w:val="0"/>
          <w:marBottom w:val="0"/>
          <w:divBdr>
            <w:top w:val="none" w:sz="0" w:space="0" w:color="auto"/>
            <w:left w:val="none" w:sz="0" w:space="0" w:color="auto"/>
            <w:bottom w:val="none" w:sz="0" w:space="0" w:color="auto"/>
            <w:right w:val="none" w:sz="0" w:space="0" w:color="auto"/>
          </w:divBdr>
        </w:div>
        <w:div w:id="1745839828">
          <w:marLeft w:val="0"/>
          <w:marRight w:val="0"/>
          <w:marTop w:val="0"/>
          <w:marBottom w:val="0"/>
          <w:divBdr>
            <w:top w:val="none" w:sz="0" w:space="0" w:color="auto"/>
            <w:left w:val="none" w:sz="0" w:space="0" w:color="auto"/>
            <w:bottom w:val="none" w:sz="0" w:space="0" w:color="auto"/>
            <w:right w:val="none" w:sz="0" w:space="0" w:color="auto"/>
          </w:divBdr>
        </w:div>
        <w:div w:id="1993557767">
          <w:marLeft w:val="0"/>
          <w:marRight w:val="0"/>
          <w:marTop w:val="0"/>
          <w:marBottom w:val="0"/>
          <w:divBdr>
            <w:top w:val="none" w:sz="0" w:space="0" w:color="auto"/>
            <w:left w:val="none" w:sz="0" w:space="0" w:color="auto"/>
            <w:bottom w:val="none" w:sz="0" w:space="0" w:color="auto"/>
            <w:right w:val="none" w:sz="0" w:space="0" w:color="auto"/>
          </w:divBdr>
        </w:div>
        <w:div w:id="1956129605">
          <w:marLeft w:val="0"/>
          <w:marRight w:val="0"/>
          <w:marTop w:val="0"/>
          <w:marBottom w:val="0"/>
          <w:divBdr>
            <w:top w:val="none" w:sz="0" w:space="0" w:color="auto"/>
            <w:left w:val="none" w:sz="0" w:space="0" w:color="auto"/>
            <w:bottom w:val="none" w:sz="0" w:space="0" w:color="auto"/>
            <w:right w:val="none" w:sz="0" w:space="0" w:color="auto"/>
          </w:divBdr>
        </w:div>
        <w:div w:id="440691643">
          <w:marLeft w:val="0"/>
          <w:marRight w:val="0"/>
          <w:marTop w:val="0"/>
          <w:marBottom w:val="0"/>
          <w:divBdr>
            <w:top w:val="none" w:sz="0" w:space="0" w:color="auto"/>
            <w:left w:val="none" w:sz="0" w:space="0" w:color="auto"/>
            <w:bottom w:val="none" w:sz="0" w:space="0" w:color="auto"/>
            <w:right w:val="none" w:sz="0" w:space="0" w:color="auto"/>
          </w:divBdr>
        </w:div>
        <w:div w:id="8266544">
          <w:marLeft w:val="0"/>
          <w:marRight w:val="0"/>
          <w:marTop w:val="0"/>
          <w:marBottom w:val="0"/>
          <w:divBdr>
            <w:top w:val="none" w:sz="0" w:space="0" w:color="auto"/>
            <w:left w:val="none" w:sz="0" w:space="0" w:color="auto"/>
            <w:bottom w:val="none" w:sz="0" w:space="0" w:color="auto"/>
            <w:right w:val="none" w:sz="0" w:space="0" w:color="auto"/>
          </w:divBdr>
        </w:div>
        <w:div w:id="63531025">
          <w:marLeft w:val="0"/>
          <w:marRight w:val="0"/>
          <w:marTop w:val="0"/>
          <w:marBottom w:val="0"/>
          <w:divBdr>
            <w:top w:val="none" w:sz="0" w:space="0" w:color="auto"/>
            <w:left w:val="none" w:sz="0" w:space="0" w:color="auto"/>
            <w:bottom w:val="none" w:sz="0" w:space="0" w:color="auto"/>
            <w:right w:val="none" w:sz="0" w:space="0" w:color="auto"/>
          </w:divBdr>
        </w:div>
        <w:div w:id="1912695142">
          <w:marLeft w:val="0"/>
          <w:marRight w:val="0"/>
          <w:marTop w:val="0"/>
          <w:marBottom w:val="0"/>
          <w:divBdr>
            <w:top w:val="none" w:sz="0" w:space="0" w:color="auto"/>
            <w:left w:val="none" w:sz="0" w:space="0" w:color="auto"/>
            <w:bottom w:val="none" w:sz="0" w:space="0" w:color="auto"/>
            <w:right w:val="none" w:sz="0" w:space="0" w:color="auto"/>
          </w:divBdr>
        </w:div>
        <w:div w:id="203710778">
          <w:marLeft w:val="0"/>
          <w:marRight w:val="0"/>
          <w:marTop w:val="0"/>
          <w:marBottom w:val="0"/>
          <w:divBdr>
            <w:top w:val="none" w:sz="0" w:space="0" w:color="auto"/>
            <w:left w:val="none" w:sz="0" w:space="0" w:color="auto"/>
            <w:bottom w:val="none" w:sz="0" w:space="0" w:color="auto"/>
            <w:right w:val="none" w:sz="0" w:space="0" w:color="auto"/>
          </w:divBdr>
        </w:div>
        <w:div w:id="497355199">
          <w:marLeft w:val="0"/>
          <w:marRight w:val="0"/>
          <w:marTop w:val="0"/>
          <w:marBottom w:val="0"/>
          <w:divBdr>
            <w:top w:val="none" w:sz="0" w:space="0" w:color="auto"/>
            <w:left w:val="none" w:sz="0" w:space="0" w:color="auto"/>
            <w:bottom w:val="none" w:sz="0" w:space="0" w:color="auto"/>
            <w:right w:val="none" w:sz="0" w:space="0" w:color="auto"/>
          </w:divBdr>
        </w:div>
        <w:div w:id="1664971993">
          <w:marLeft w:val="0"/>
          <w:marRight w:val="0"/>
          <w:marTop w:val="0"/>
          <w:marBottom w:val="0"/>
          <w:divBdr>
            <w:top w:val="none" w:sz="0" w:space="0" w:color="auto"/>
            <w:left w:val="none" w:sz="0" w:space="0" w:color="auto"/>
            <w:bottom w:val="none" w:sz="0" w:space="0" w:color="auto"/>
            <w:right w:val="none" w:sz="0" w:space="0" w:color="auto"/>
          </w:divBdr>
        </w:div>
        <w:div w:id="1463839560">
          <w:marLeft w:val="0"/>
          <w:marRight w:val="0"/>
          <w:marTop w:val="0"/>
          <w:marBottom w:val="0"/>
          <w:divBdr>
            <w:top w:val="none" w:sz="0" w:space="0" w:color="auto"/>
            <w:left w:val="none" w:sz="0" w:space="0" w:color="auto"/>
            <w:bottom w:val="none" w:sz="0" w:space="0" w:color="auto"/>
            <w:right w:val="none" w:sz="0" w:space="0" w:color="auto"/>
          </w:divBdr>
        </w:div>
        <w:div w:id="1324163066">
          <w:marLeft w:val="0"/>
          <w:marRight w:val="0"/>
          <w:marTop w:val="0"/>
          <w:marBottom w:val="0"/>
          <w:divBdr>
            <w:top w:val="none" w:sz="0" w:space="0" w:color="auto"/>
            <w:left w:val="none" w:sz="0" w:space="0" w:color="auto"/>
            <w:bottom w:val="none" w:sz="0" w:space="0" w:color="auto"/>
            <w:right w:val="none" w:sz="0" w:space="0" w:color="auto"/>
          </w:divBdr>
        </w:div>
        <w:div w:id="1539586258">
          <w:marLeft w:val="0"/>
          <w:marRight w:val="0"/>
          <w:marTop w:val="0"/>
          <w:marBottom w:val="0"/>
          <w:divBdr>
            <w:top w:val="none" w:sz="0" w:space="0" w:color="auto"/>
            <w:left w:val="none" w:sz="0" w:space="0" w:color="auto"/>
            <w:bottom w:val="none" w:sz="0" w:space="0" w:color="auto"/>
            <w:right w:val="none" w:sz="0" w:space="0" w:color="auto"/>
          </w:divBdr>
        </w:div>
        <w:div w:id="1457219476">
          <w:marLeft w:val="0"/>
          <w:marRight w:val="0"/>
          <w:marTop w:val="0"/>
          <w:marBottom w:val="0"/>
          <w:divBdr>
            <w:top w:val="none" w:sz="0" w:space="0" w:color="auto"/>
            <w:left w:val="none" w:sz="0" w:space="0" w:color="auto"/>
            <w:bottom w:val="none" w:sz="0" w:space="0" w:color="auto"/>
            <w:right w:val="none" w:sz="0" w:space="0" w:color="auto"/>
          </w:divBdr>
        </w:div>
        <w:div w:id="608464177">
          <w:marLeft w:val="0"/>
          <w:marRight w:val="0"/>
          <w:marTop w:val="0"/>
          <w:marBottom w:val="0"/>
          <w:divBdr>
            <w:top w:val="none" w:sz="0" w:space="0" w:color="auto"/>
            <w:left w:val="none" w:sz="0" w:space="0" w:color="auto"/>
            <w:bottom w:val="none" w:sz="0" w:space="0" w:color="auto"/>
            <w:right w:val="none" w:sz="0" w:space="0" w:color="auto"/>
          </w:divBdr>
        </w:div>
        <w:div w:id="183060619">
          <w:marLeft w:val="0"/>
          <w:marRight w:val="0"/>
          <w:marTop w:val="0"/>
          <w:marBottom w:val="0"/>
          <w:divBdr>
            <w:top w:val="none" w:sz="0" w:space="0" w:color="auto"/>
            <w:left w:val="none" w:sz="0" w:space="0" w:color="auto"/>
            <w:bottom w:val="none" w:sz="0" w:space="0" w:color="auto"/>
            <w:right w:val="none" w:sz="0" w:space="0" w:color="auto"/>
          </w:divBdr>
        </w:div>
        <w:div w:id="298649913">
          <w:marLeft w:val="0"/>
          <w:marRight w:val="0"/>
          <w:marTop w:val="0"/>
          <w:marBottom w:val="0"/>
          <w:divBdr>
            <w:top w:val="none" w:sz="0" w:space="0" w:color="auto"/>
            <w:left w:val="none" w:sz="0" w:space="0" w:color="auto"/>
            <w:bottom w:val="none" w:sz="0" w:space="0" w:color="auto"/>
            <w:right w:val="none" w:sz="0" w:space="0" w:color="auto"/>
          </w:divBdr>
        </w:div>
        <w:div w:id="1813911927">
          <w:marLeft w:val="0"/>
          <w:marRight w:val="0"/>
          <w:marTop w:val="0"/>
          <w:marBottom w:val="0"/>
          <w:divBdr>
            <w:top w:val="none" w:sz="0" w:space="0" w:color="auto"/>
            <w:left w:val="none" w:sz="0" w:space="0" w:color="auto"/>
            <w:bottom w:val="none" w:sz="0" w:space="0" w:color="auto"/>
            <w:right w:val="none" w:sz="0" w:space="0" w:color="auto"/>
          </w:divBdr>
        </w:div>
        <w:div w:id="1948997678">
          <w:marLeft w:val="0"/>
          <w:marRight w:val="0"/>
          <w:marTop w:val="0"/>
          <w:marBottom w:val="0"/>
          <w:divBdr>
            <w:top w:val="none" w:sz="0" w:space="0" w:color="auto"/>
            <w:left w:val="none" w:sz="0" w:space="0" w:color="auto"/>
            <w:bottom w:val="none" w:sz="0" w:space="0" w:color="auto"/>
            <w:right w:val="none" w:sz="0" w:space="0" w:color="auto"/>
          </w:divBdr>
        </w:div>
        <w:div w:id="293486940">
          <w:marLeft w:val="0"/>
          <w:marRight w:val="0"/>
          <w:marTop w:val="0"/>
          <w:marBottom w:val="0"/>
          <w:divBdr>
            <w:top w:val="none" w:sz="0" w:space="0" w:color="auto"/>
            <w:left w:val="none" w:sz="0" w:space="0" w:color="auto"/>
            <w:bottom w:val="none" w:sz="0" w:space="0" w:color="auto"/>
            <w:right w:val="none" w:sz="0" w:space="0" w:color="auto"/>
          </w:divBdr>
        </w:div>
        <w:div w:id="296836396">
          <w:marLeft w:val="0"/>
          <w:marRight w:val="0"/>
          <w:marTop w:val="0"/>
          <w:marBottom w:val="0"/>
          <w:divBdr>
            <w:top w:val="none" w:sz="0" w:space="0" w:color="auto"/>
            <w:left w:val="none" w:sz="0" w:space="0" w:color="auto"/>
            <w:bottom w:val="none" w:sz="0" w:space="0" w:color="auto"/>
            <w:right w:val="none" w:sz="0" w:space="0" w:color="auto"/>
          </w:divBdr>
        </w:div>
        <w:div w:id="167410358">
          <w:marLeft w:val="0"/>
          <w:marRight w:val="0"/>
          <w:marTop w:val="0"/>
          <w:marBottom w:val="0"/>
          <w:divBdr>
            <w:top w:val="none" w:sz="0" w:space="0" w:color="auto"/>
            <w:left w:val="none" w:sz="0" w:space="0" w:color="auto"/>
            <w:bottom w:val="none" w:sz="0" w:space="0" w:color="auto"/>
            <w:right w:val="none" w:sz="0" w:space="0" w:color="auto"/>
          </w:divBdr>
        </w:div>
        <w:div w:id="1130707745">
          <w:marLeft w:val="0"/>
          <w:marRight w:val="0"/>
          <w:marTop w:val="0"/>
          <w:marBottom w:val="0"/>
          <w:divBdr>
            <w:top w:val="none" w:sz="0" w:space="0" w:color="auto"/>
            <w:left w:val="none" w:sz="0" w:space="0" w:color="auto"/>
            <w:bottom w:val="none" w:sz="0" w:space="0" w:color="auto"/>
            <w:right w:val="none" w:sz="0" w:space="0" w:color="auto"/>
          </w:divBdr>
        </w:div>
        <w:div w:id="159777814">
          <w:marLeft w:val="0"/>
          <w:marRight w:val="0"/>
          <w:marTop w:val="0"/>
          <w:marBottom w:val="0"/>
          <w:divBdr>
            <w:top w:val="none" w:sz="0" w:space="0" w:color="auto"/>
            <w:left w:val="none" w:sz="0" w:space="0" w:color="auto"/>
            <w:bottom w:val="none" w:sz="0" w:space="0" w:color="auto"/>
            <w:right w:val="none" w:sz="0" w:space="0" w:color="auto"/>
          </w:divBdr>
        </w:div>
        <w:div w:id="987630467">
          <w:marLeft w:val="0"/>
          <w:marRight w:val="0"/>
          <w:marTop w:val="0"/>
          <w:marBottom w:val="0"/>
          <w:divBdr>
            <w:top w:val="none" w:sz="0" w:space="0" w:color="auto"/>
            <w:left w:val="none" w:sz="0" w:space="0" w:color="auto"/>
            <w:bottom w:val="none" w:sz="0" w:space="0" w:color="auto"/>
            <w:right w:val="none" w:sz="0" w:space="0" w:color="auto"/>
          </w:divBdr>
        </w:div>
        <w:div w:id="743113067">
          <w:marLeft w:val="0"/>
          <w:marRight w:val="0"/>
          <w:marTop w:val="0"/>
          <w:marBottom w:val="0"/>
          <w:divBdr>
            <w:top w:val="none" w:sz="0" w:space="0" w:color="auto"/>
            <w:left w:val="none" w:sz="0" w:space="0" w:color="auto"/>
            <w:bottom w:val="none" w:sz="0" w:space="0" w:color="auto"/>
            <w:right w:val="none" w:sz="0" w:space="0" w:color="auto"/>
          </w:divBdr>
        </w:div>
        <w:div w:id="2094281235">
          <w:marLeft w:val="0"/>
          <w:marRight w:val="0"/>
          <w:marTop w:val="0"/>
          <w:marBottom w:val="0"/>
          <w:divBdr>
            <w:top w:val="none" w:sz="0" w:space="0" w:color="auto"/>
            <w:left w:val="none" w:sz="0" w:space="0" w:color="auto"/>
            <w:bottom w:val="none" w:sz="0" w:space="0" w:color="auto"/>
            <w:right w:val="none" w:sz="0" w:space="0" w:color="auto"/>
          </w:divBdr>
        </w:div>
        <w:div w:id="458299038">
          <w:marLeft w:val="0"/>
          <w:marRight w:val="0"/>
          <w:marTop w:val="0"/>
          <w:marBottom w:val="0"/>
          <w:divBdr>
            <w:top w:val="none" w:sz="0" w:space="0" w:color="auto"/>
            <w:left w:val="none" w:sz="0" w:space="0" w:color="auto"/>
            <w:bottom w:val="none" w:sz="0" w:space="0" w:color="auto"/>
            <w:right w:val="none" w:sz="0" w:space="0" w:color="auto"/>
          </w:divBdr>
        </w:div>
        <w:div w:id="859196872">
          <w:marLeft w:val="0"/>
          <w:marRight w:val="0"/>
          <w:marTop w:val="0"/>
          <w:marBottom w:val="0"/>
          <w:divBdr>
            <w:top w:val="none" w:sz="0" w:space="0" w:color="auto"/>
            <w:left w:val="none" w:sz="0" w:space="0" w:color="auto"/>
            <w:bottom w:val="none" w:sz="0" w:space="0" w:color="auto"/>
            <w:right w:val="none" w:sz="0" w:space="0" w:color="auto"/>
          </w:divBdr>
        </w:div>
        <w:div w:id="364331704">
          <w:marLeft w:val="0"/>
          <w:marRight w:val="0"/>
          <w:marTop w:val="0"/>
          <w:marBottom w:val="0"/>
          <w:divBdr>
            <w:top w:val="none" w:sz="0" w:space="0" w:color="auto"/>
            <w:left w:val="none" w:sz="0" w:space="0" w:color="auto"/>
            <w:bottom w:val="none" w:sz="0" w:space="0" w:color="auto"/>
            <w:right w:val="none" w:sz="0" w:space="0" w:color="auto"/>
          </w:divBdr>
        </w:div>
        <w:div w:id="694695509">
          <w:marLeft w:val="0"/>
          <w:marRight w:val="0"/>
          <w:marTop w:val="0"/>
          <w:marBottom w:val="0"/>
          <w:divBdr>
            <w:top w:val="none" w:sz="0" w:space="0" w:color="auto"/>
            <w:left w:val="none" w:sz="0" w:space="0" w:color="auto"/>
            <w:bottom w:val="none" w:sz="0" w:space="0" w:color="auto"/>
            <w:right w:val="none" w:sz="0" w:space="0" w:color="auto"/>
          </w:divBdr>
        </w:div>
        <w:div w:id="1779325991">
          <w:marLeft w:val="0"/>
          <w:marRight w:val="0"/>
          <w:marTop w:val="0"/>
          <w:marBottom w:val="0"/>
          <w:divBdr>
            <w:top w:val="none" w:sz="0" w:space="0" w:color="auto"/>
            <w:left w:val="none" w:sz="0" w:space="0" w:color="auto"/>
            <w:bottom w:val="none" w:sz="0" w:space="0" w:color="auto"/>
            <w:right w:val="none" w:sz="0" w:space="0" w:color="auto"/>
          </w:divBdr>
        </w:div>
        <w:div w:id="1712152726">
          <w:marLeft w:val="0"/>
          <w:marRight w:val="0"/>
          <w:marTop w:val="0"/>
          <w:marBottom w:val="0"/>
          <w:divBdr>
            <w:top w:val="none" w:sz="0" w:space="0" w:color="auto"/>
            <w:left w:val="none" w:sz="0" w:space="0" w:color="auto"/>
            <w:bottom w:val="none" w:sz="0" w:space="0" w:color="auto"/>
            <w:right w:val="none" w:sz="0" w:space="0" w:color="auto"/>
          </w:divBdr>
        </w:div>
        <w:div w:id="307904704">
          <w:marLeft w:val="0"/>
          <w:marRight w:val="0"/>
          <w:marTop w:val="0"/>
          <w:marBottom w:val="0"/>
          <w:divBdr>
            <w:top w:val="none" w:sz="0" w:space="0" w:color="auto"/>
            <w:left w:val="none" w:sz="0" w:space="0" w:color="auto"/>
            <w:bottom w:val="none" w:sz="0" w:space="0" w:color="auto"/>
            <w:right w:val="none" w:sz="0" w:space="0" w:color="auto"/>
          </w:divBdr>
        </w:div>
        <w:div w:id="391074827">
          <w:marLeft w:val="0"/>
          <w:marRight w:val="0"/>
          <w:marTop w:val="0"/>
          <w:marBottom w:val="0"/>
          <w:divBdr>
            <w:top w:val="none" w:sz="0" w:space="0" w:color="auto"/>
            <w:left w:val="none" w:sz="0" w:space="0" w:color="auto"/>
            <w:bottom w:val="none" w:sz="0" w:space="0" w:color="auto"/>
            <w:right w:val="none" w:sz="0" w:space="0" w:color="auto"/>
          </w:divBdr>
        </w:div>
        <w:div w:id="1128359116">
          <w:marLeft w:val="0"/>
          <w:marRight w:val="0"/>
          <w:marTop w:val="0"/>
          <w:marBottom w:val="0"/>
          <w:divBdr>
            <w:top w:val="none" w:sz="0" w:space="0" w:color="auto"/>
            <w:left w:val="none" w:sz="0" w:space="0" w:color="auto"/>
            <w:bottom w:val="none" w:sz="0" w:space="0" w:color="auto"/>
            <w:right w:val="none" w:sz="0" w:space="0" w:color="auto"/>
          </w:divBdr>
        </w:div>
        <w:div w:id="472672753">
          <w:marLeft w:val="0"/>
          <w:marRight w:val="0"/>
          <w:marTop w:val="0"/>
          <w:marBottom w:val="0"/>
          <w:divBdr>
            <w:top w:val="none" w:sz="0" w:space="0" w:color="auto"/>
            <w:left w:val="none" w:sz="0" w:space="0" w:color="auto"/>
            <w:bottom w:val="none" w:sz="0" w:space="0" w:color="auto"/>
            <w:right w:val="none" w:sz="0" w:space="0" w:color="auto"/>
          </w:divBdr>
        </w:div>
        <w:div w:id="1483160507">
          <w:marLeft w:val="0"/>
          <w:marRight w:val="0"/>
          <w:marTop w:val="0"/>
          <w:marBottom w:val="0"/>
          <w:divBdr>
            <w:top w:val="none" w:sz="0" w:space="0" w:color="auto"/>
            <w:left w:val="none" w:sz="0" w:space="0" w:color="auto"/>
            <w:bottom w:val="none" w:sz="0" w:space="0" w:color="auto"/>
            <w:right w:val="none" w:sz="0" w:space="0" w:color="auto"/>
          </w:divBdr>
        </w:div>
        <w:div w:id="323778514">
          <w:marLeft w:val="0"/>
          <w:marRight w:val="0"/>
          <w:marTop w:val="0"/>
          <w:marBottom w:val="0"/>
          <w:divBdr>
            <w:top w:val="none" w:sz="0" w:space="0" w:color="auto"/>
            <w:left w:val="none" w:sz="0" w:space="0" w:color="auto"/>
            <w:bottom w:val="none" w:sz="0" w:space="0" w:color="auto"/>
            <w:right w:val="none" w:sz="0" w:space="0" w:color="auto"/>
          </w:divBdr>
        </w:div>
        <w:div w:id="1733697878">
          <w:marLeft w:val="0"/>
          <w:marRight w:val="0"/>
          <w:marTop w:val="0"/>
          <w:marBottom w:val="0"/>
          <w:divBdr>
            <w:top w:val="none" w:sz="0" w:space="0" w:color="auto"/>
            <w:left w:val="none" w:sz="0" w:space="0" w:color="auto"/>
            <w:bottom w:val="none" w:sz="0" w:space="0" w:color="auto"/>
            <w:right w:val="none" w:sz="0" w:space="0" w:color="auto"/>
          </w:divBdr>
        </w:div>
        <w:div w:id="1873953336">
          <w:marLeft w:val="0"/>
          <w:marRight w:val="0"/>
          <w:marTop w:val="0"/>
          <w:marBottom w:val="0"/>
          <w:divBdr>
            <w:top w:val="none" w:sz="0" w:space="0" w:color="auto"/>
            <w:left w:val="none" w:sz="0" w:space="0" w:color="auto"/>
            <w:bottom w:val="none" w:sz="0" w:space="0" w:color="auto"/>
            <w:right w:val="none" w:sz="0" w:space="0" w:color="auto"/>
          </w:divBdr>
        </w:div>
        <w:div w:id="1837500486">
          <w:marLeft w:val="0"/>
          <w:marRight w:val="0"/>
          <w:marTop w:val="0"/>
          <w:marBottom w:val="0"/>
          <w:divBdr>
            <w:top w:val="none" w:sz="0" w:space="0" w:color="auto"/>
            <w:left w:val="none" w:sz="0" w:space="0" w:color="auto"/>
            <w:bottom w:val="none" w:sz="0" w:space="0" w:color="auto"/>
            <w:right w:val="none" w:sz="0" w:space="0" w:color="auto"/>
          </w:divBdr>
        </w:div>
        <w:div w:id="42678296">
          <w:marLeft w:val="0"/>
          <w:marRight w:val="0"/>
          <w:marTop w:val="0"/>
          <w:marBottom w:val="0"/>
          <w:divBdr>
            <w:top w:val="none" w:sz="0" w:space="0" w:color="auto"/>
            <w:left w:val="none" w:sz="0" w:space="0" w:color="auto"/>
            <w:bottom w:val="none" w:sz="0" w:space="0" w:color="auto"/>
            <w:right w:val="none" w:sz="0" w:space="0" w:color="auto"/>
          </w:divBdr>
        </w:div>
        <w:div w:id="443812566">
          <w:marLeft w:val="0"/>
          <w:marRight w:val="0"/>
          <w:marTop w:val="0"/>
          <w:marBottom w:val="0"/>
          <w:divBdr>
            <w:top w:val="none" w:sz="0" w:space="0" w:color="auto"/>
            <w:left w:val="none" w:sz="0" w:space="0" w:color="auto"/>
            <w:bottom w:val="none" w:sz="0" w:space="0" w:color="auto"/>
            <w:right w:val="none" w:sz="0" w:space="0" w:color="auto"/>
          </w:divBdr>
        </w:div>
        <w:div w:id="1284927144">
          <w:marLeft w:val="0"/>
          <w:marRight w:val="0"/>
          <w:marTop w:val="0"/>
          <w:marBottom w:val="0"/>
          <w:divBdr>
            <w:top w:val="none" w:sz="0" w:space="0" w:color="auto"/>
            <w:left w:val="none" w:sz="0" w:space="0" w:color="auto"/>
            <w:bottom w:val="none" w:sz="0" w:space="0" w:color="auto"/>
            <w:right w:val="none" w:sz="0" w:space="0" w:color="auto"/>
          </w:divBdr>
        </w:div>
        <w:div w:id="1315451945">
          <w:marLeft w:val="0"/>
          <w:marRight w:val="0"/>
          <w:marTop w:val="0"/>
          <w:marBottom w:val="0"/>
          <w:divBdr>
            <w:top w:val="none" w:sz="0" w:space="0" w:color="auto"/>
            <w:left w:val="none" w:sz="0" w:space="0" w:color="auto"/>
            <w:bottom w:val="none" w:sz="0" w:space="0" w:color="auto"/>
            <w:right w:val="none" w:sz="0" w:space="0" w:color="auto"/>
          </w:divBdr>
        </w:div>
        <w:div w:id="451247542">
          <w:marLeft w:val="0"/>
          <w:marRight w:val="0"/>
          <w:marTop w:val="0"/>
          <w:marBottom w:val="0"/>
          <w:divBdr>
            <w:top w:val="none" w:sz="0" w:space="0" w:color="auto"/>
            <w:left w:val="none" w:sz="0" w:space="0" w:color="auto"/>
            <w:bottom w:val="none" w:sz="0" w:space="0" w:color="auto"/>
            <w:right w:val="none" w:sz="0" w:space="0" w:color="auto"/>
          </w:divBdr>
        </w:div>
        <w:div w:id="1375108638">
          <w:marLeft w:val="0"/>
          <w:marRight w:val="0"/>
          <w:marTop w:val="0"/>
          <w:marBottom w:val="0"/>
          <w:divBdr>
            <w:top w:val="none" w:sz="0" w:space="0" w:color="auto"/>
            <w:left w:val="none" w:sz="0" w:space="0" w:color="auto"/>
            <w:bottom w:val="none" w:sz="0" w:space="0" w:color="auto"/>
            <w:right w:val="none" w:sz="0" w:space="0" w:color="auto"/>
          </w:divBdr>
        </w:div>
        <w:div w:id="2102603913">
          <w:marLeft w:val="0"/>
          <w:marRight w:val="0"/>
          <w:marTop w:val="0"/>
          <w:marBottom w:val="0"/>
          <w:divBdr>
            <w:top w:val="none" w:sz="0" w:space="0" w:color="auto"/>
            <w:left w:val="none" w:sz="0" w:space="0" w:color="auto"/>
            <w:bottom w:val="none" w:sz="0" w:space="0" w:color="auto"/>
            <w:right w:val="none" w:sz="0" w:space="0" w:color="auto"/>
          </w:divBdr>
        </w:div>
        <w:div w:id="179780595">
          <w:marLeft w:val="0"/>
          <w:marRight w:val="0"/>
          <w:marTop w:val="0"/>
          <w:marBottom w:val="0"/>
          <w:divBdr>
            <w:top w:val="none" w:sz="0" w:space="0" w:color="auto"/>
            <w:left w:val="none" w:sz="0" w:space="0" w:color="auto"/>
            <w:bottom w:val="none" w:sz="0" w:space="0" w:color="auto"/>
            <w:right w:val="none" w:sz="0" w:space="0" w:color="auto"/>
          </w:divBdr>
        </w:div>
        <w:div w:id="2096053314">
          <w:marLeft w:val="0"/>
          <w:marRight w:val="0"/>
          <w:marTop w:val="0"/>
          <w:marBottom w:val="0"/>
          <w:divBdr>
            <w:top w:val="none" w:sz="0" w:space="0" w:color="auto"/>
            <w:left w:val="none" w:sz="0" w:space="0" w:color="auto"/>
            <w:bottom w:val="none" w:sz="0" w:space="0" w:color="auto"/>
            <w:right w:val="none" w:sz="0" w:space="0" w:color="auto"/>
          </w:divBdr>
        </w:div>
        <w:div w:id="1206330559">
          <w:marLeft w:val="0"/>
          <w:marRight w:val="0"/>
          <w:marTop w:val="0"/>
          <w:marBottom w:val="0"/>
          <w:divBdr>
            <w:top w:val="none" w:sz="0" w:space="0" w:color="auto"/>
            <w:left w:val="none" w:sz="0" w:space="0" w:color="auto"/>
            <w:bottom w:val="none" w:sz="0" w:space="0" w:color="auto"/>
            <w:right w:val="none" w:sz="0" w:space="0" w:color="auto"/>
          </w:divBdr>
        </w:div>
        <w:div w:id="951979548">
          <w:marLeft w:val="0"/>
          <w:marRight w:val="0"/>
          <w:marTop w:val="0"/>
          <w:marBottom w:val="0"/>
          <w:divBdr>
            <w:top w:val="none" w:sz="0" w:space="0" w:color="auto"/>
            <w:left w:val="none" w:sz="0" w:space="0" w:color="auto"/>
            <w:bottom w:val="none" w:sz="0" w:space="0" w:color="auto"/>
            <w:right w:val="none" w:sz="0" w:space="0" w:color="auto"/>
          </w:divBdr>
        </w:div>
        <w:div w:id="1349059448">
          <w:marLeft w:val="0"/>
          <w:marRight w:val="0"/>
          <w:marTop w:val="0"/>
          <w:marBottom w:val="0"/>
          <w:divBdr>
            <w:top w:val="none" w:sz="0" w:space="0" w:color="auto"/>
            <w:left w:val="none" w:sz="0" w:space="0" w:color="auto"/>
            <w:bottom w:val="none" w:sz="0" w:space="0" w:color="auto"/>
            <w:right w:val="none" w:sz="0" w:space="0" w:color="auto"/>
          </w:divBdr>
        </w:div>
        <w:div w:id="594751995">
          <w:marLeft w:val="0"/>
          <w:marRight w:val="0"/>
          <w:marTop w:val="0"/>
          <w:marBottom w:val="0"/>
          <w:divBdr>
            <w:top w:val="none" w:sz="0" w:space="0" w:color="auto"/>
            <w:left w:val="none" w:sz="0" w:space="0" w:color="auto"/>
            <w:bottom w:val="none" w:sz="0" w:space="0" w:color="auto"/>
            <w:right w:val="none" w:sz="0" w:space="0" w:color="auto"/>
          </w:divBdr>
        </w:div>
        <w:div w:id="1967619571">
          <w:marLeft w:val="0"/>
          <w:marRight w:val="0"/>
          <w:marTop w:val="0"/>
          <w:marBottom w:val="0"/>
          <w:divBdr>
            <w:top w:val="none" w:sz="0" w:space="0" w:color="auto"/>
            <w:left w:val="none" w:sz="0" w:space="0" w:color="auto"/>
            <w:bottom w:val="none" w:sz="0" w:space="0" w:color="auto"/>
            <w:right w:val="none" w:sz="0" w:space="0" w:color="auto"/>
          </w:divBdr>
        </w:div>
        <w:div w:id="1857110627">
          <w:marLeft w:val="0"/>
          <w:marRight w:val="0"/>
          <w:marTop w:val="0"/>
          <w:marBottom w:val="0"/>
          <w:divBdr>
            <w:top w:val="none" w:sz="0" w:space="0" w:color="auto"/>
            <w:left w:val="none" w:sz="0" w:space="0" w:color="auto"/>
            <w:bottom w:val="none" w:sz="0" w:space="0" w:color="auto"/>
            <w:right w:val="none" w:sz="0" w:space="0" w:color="auto"/>
          </w:divBdr>
        </w:div>
        <w:div w:id="2058817010">
          <w:marLeft w:val="0"/>
          <w:marRight w:val="0"/>
          <w:marTop w:val="0"/>
          <w:marBottom w:val="0"/>
          <w:divBdr>
            <w:top w:val="none" w:sz="0" w:space="0" w:color="auto"/>
            <w:left w:val="none" w:sz="0" w:space="0" w:color="auto"/>
            <w:bottom w:val="none" w:sz="0" w:space="0" w:color="auto"/>
            <w:right w:val="none" w:sz="0" w:space="0" w:color="auto"/>
          </w:divBdr>
        </w:div>
        <w:div w:id="228002300">
          <w:marLeft w:val="0"/>
          <w:marRight w:val="0"/>
          <w:marTop w:val="0"/>
          <w:marBottom w:val="0"/>
          <w:divBdr>
            <w:top w:val="none" w:sz="0" w:space="0" w:color="auto"/>
            <w:left w:val="none" w:sz="0" w:space="0" w:color="auto"/>
            <w:bottom w:val="none" w:sz="0" w:space="0" w:color="auto"/>
            <w:right w:val="none" w:sz="0" w:space="0" w:color="auto"/>
          </w:divBdr>
        </w:div>
        <w:div w:id="538054939">
          <w:marLeft w:val="0"/>
          <w:marRight w:val="0"/>
          <w:marTop w:val="0"/>
          <w:marBottom w:val="0"/>
          <w:divBdr>
            <w:top w:val="none" w:sz="0" w:space="0" w:color="auto"/>
            <w:left w:val="none" w:sz="0" w:space="0" w:color="auto"/>
            <w:bottom w:val="none" w:sz="0" w:space="0" w:color="auto"/>
            <w:right w:val="none" w:sz="0" w:space="0" w:color="auto"/>
          </w:divBdr>
        </w:div>
        <w:div w:id="981353407">
          <w:marLeft w:val="0"/>
          <w:marRight w:val="0"/>
          <w:marTop w:val="0"/>
          <w:marBottom w:val="0"/>
          <w:divBdr>
            <w:top w:val="none" w:sz="0" w:space="0" w:color="auto"/>
            <w:left w:val="none" w:sz="0" w:space="0" w:color="auto"/>
            <w:bottom w:val="none" w:sz="0" w:space="0" w:color="auto"/>
            <w:right w:val="none" w:sz="0" w:space="0" w:color="auto"/>
          </w:divBdr>
        </w:div>
        <w:div w:id="514879152">
          <w:marLeft w:val="0"/>
          <w:marRight w:val="0"/>
          <w:marTop w:val="0"/>
          <w:marBottom w:val="0"/>
          <w:divBdr>
            <w:top w:val="none" w:sz="0" w:space="0" w:color="auto"/>
            <w:left w:val="none" w:sz="0" w:space="0" w:color="auto"/>
            <w:bottom w:val="none" w:sz="0" w:space="0" w:color="auto"/>
            <w:right w:val="none" w:sz="0" w:space="0" w:color="auto"/>
          </w:divBdr>
        </w:div>
        <w:div w:id="179585183">
          <w:marLeft w:val="0"/>
          <w:marRight w:val="0"/>
          <w:marTop w:val="0"/>
          <w:marBottom w:val="0"/>
          <w:divBdr>
            <w:top w:val="none" w:sz="0" w:space="0" w:color="auto"/>
            <w:left w:val="none" w:sz="0" w:space="0" w:color="auto"/>
            <w:bottom w:val="none" w:sz="0" w:space="0" w:color="auto"/>
            <w:right w:val="none" w:sz="0" w:space="0" w:color="auto"/>
          </w:divBdr>
        </w:div>
        <w:div w:id="352728527">
          <w:marLeft w:val="0"/>
          <w:marRight w:val="0"/>
          <w:marTop w:val="0"/>
          <w:marBottom w:val="0"/>
          <w:divBdr>
            <w:top w:val="none" w:sz="0" w:space="0" w:color="auto"/>
            <w:left w:val="none" w:sz="0" w:space="0" w:color="auto"/>
            <w:bottom w:val="none" w:sz="0" w:space="0" w:color="auto"/>
            <w:right w:val="none" w:sz="0" w:space="0" w:color="auto"/>
          </w:divBdr>
        </w:div>
        <w:div w:id="1705866823">
          <w:marLeft w:val="0"/>
          <w:marRight w:val="0"/>
          <w:marTop w:val="0"/>
          <w:marBottom w:val="0"/>
          <w:divBdr>
            <w:top w:val="none" w:sz="0" w:space="0" w:color="auto"/>
            <w:left w:val="none" w:sz="0" w:space="0" w:color="auto"/>
            <w:bottom w:val="none" w:sz="0" w:space="0" w:color="auto"/>
            <w:right w:val="none" w:sz="0" w:space="0" w:color="auto"/>
          </w:divBdr>
        </w:div>
        <w:div w:id="676082454">
          <w:marLeft w:val="0"/>
          <w:marRight w:val="0"/>
          <w:marTop w:val="0"/>
          <w:marBottom w:val="0"/>
          <w:divBdr>
            <w:top w:val="none" w:sz="0" w:space="0" w:color="auto"/>
            <w:left w:val="none" w:sz="0" w:space="0" w:color="auto"/>
            <w:bottom w:val="none" w:sz="0" w:space="0" w:color="auto"/>
            <w:right w:val="none" w:sz="0" w:space="0" w:color="auto"/>
          </w:divBdr>
        </w:div>
        <w:div w:id="1682781370">
          <w:marLeft w:val="0"/>
          <w:marRight w:val="0"/>
          <w:marTop w:val="0"/>
          <w:marBottom w:val="0"/>
          <w:divBdr>
            <w:top w:val="none" w:sz="0" w:space="0" w:color="auto"/>
            <w:left w:val="none" w:sz="0" w:space="0" w:color="auto"/>
            <w:bottom w:val="none" w:sz="0" w:space="0" w:color="auto"/>
            <w:right w:val="none" w:sz="0" w:space="0" w:color="auto"/>
          </w:divBdr>
        </w:div>
        <w:div w:id="1223255643">
          <w:marLeft w:val="0"/>
          <w:marRight w:val="0"/>
          <w:marTop w:val="0"/>
          <w:marBottom w:val="0"/>
          <w:divBdr>
            <w:top w:val="none" w:sz="0" w:space="0" w:color="auto"/>
            <w:left w:val="none" w:sz="0" w:space="0" w:color="auto"/>
            <w:bottom w:val="none" w:sz="0" w:space="0" w:color="auto"/>
            <w:right w:val="none" w:sz="0" w:space="0" w:color="auto"/>
          </w:divBdr>
        </w:div>
        <w:div w:id="1772778044">
          <w:marLeft w:val="0"/>
          <w:marRight w:val="0"/>
          <w:marTop w:val="0"/>
          <w:marBottom w:val="0"/>
          <w:divBdr>
            <w:top w:val="none" w:sz="0" w:space="0" w:color="auto"/>
            <w:left w:val="none" w:sz="0" w:space="0" w:color="auto"/>
            <w:bottom w:val="none" w:sz="0" w:space="0" w:color="auto"/>
            <w:right w:val="none" w:sz="0" w:space="0" w:color="auto"/>
          </w:divBdr>
        </w:div>
        <w:div w:id="413674343">
          <w:marLeft w:val="0"/>
          <w:marRight w:val="0"/>
          <w:marTop w:val="0"/>
          <w:marBottom w:val="0"/>
          <w:divBdr>
            <w:top w:val="none" w:sz="0" w:space="0" w:color="auto"/>
            <w:left w:val="none" w:sz="0" w:space="0" w:color="auto"/>
            <w:bottom w:val="none" w:sz="0" w:space="0" w:color="auto"/>
            <w:right w:val="none" w:sz="0" w:space="0" w:color="auto"/>
          </w:divBdr>
        </w:div>
        <w:div w:id="410658915">
          <w:marLeft w:val="0"/>
          <w:marRight w:val="0"/>
          <w:marTop w:val="0"/>
          <w:marBottom w:val="0"/>
          <w:divBdr>
            <w:top w:val="none" w:sz="0" w:space="0" w:color="auto"/>
            <w:left w:val="none" w:sz="0" w:space="0" w:color="auto"/>
            <w:bottom w:val="none" w:sz="0" w:space="0" w:color="auto"/>
            <w:right w:val="none" w:sz="0" w:space="0" w:color="auto"/>
          </w:divBdr>
        </w:div>
        <w:div w:id="2018579692">
          <w:marLeft w:val="0"/>
          <w:marRight w:val="0"/>
          <w:marTop w:val="0"/>
          <w:marBottom w:val="0"/>
          <w:divBdr>
            <w:top w:val="none" w:sz="0" w:space="0" w:color="auto"/>
            <w:left w:val="none" w:sz="0" w:space="0" w:color="auto"/>
            <w:bottom w:val="none" w:sz="0" w:space="0" w:color="auto"/>
            <w:right w:val="none" w:sz="0" w:space="0" w:color="auto"/>
          </w:divBdr>
        </w:div>
        <w:div w:id="621808522">
          <w:marLeft w:val="0"/>
          <w:marRight w:val="0"/>
          <w:marTop w:val="0"/>
          <w:marBottom w:val="0"/>
          <w:divBdr>
            <w:top w:val="none" w:sz="0" w:space="0" w:color="auto"/>
            <w:left w:val="none" w:sz="0" w:space="0" w:color="auto"/>
            <w:bottom w:val="none" w:sz="0" w:space="0" w:color="auto"/>
            <w:right w:val="none" w:sz="0" w:space="0" w:color="auto"/>
          </w:divBdr>
        </w:div>
        <w:div w:id="1003318237">
          <w:marLeft w:val="0"/>
          <w:marRight w:val="0"/>
          <w:marTop w:val="0"/>
          <w:marBottom w:val="0"/>
          <w:divBdr>
            <w:top w:val="none" w:sz="0" w:space="0" w:color="auto"/>
            <w:left w:val="none" w:sz="0" w:space="0" w:color="auto"/>
            <w:bottom w:val="none" w:sz="0" w:space="0" w:color="auto"/>
            <w:right w:val="none" w:sz="0" w:space="0" w:color="auto"/>
          </w:divBdr>
        </w:div>
        <w:div w:id="510027553">
          <w:marLeft w:val="0"/>
          <w:marRight w:val="0"/>
          <w:marTop w:val="0"/>
          <w:marBottom w:val="0"/>
          <w:divBdr>
            <w:top w:val="none" w:sz="0" w:space="0" w:color="auto"/>
            <w:left w:val="none" w:sz="0" w:space="0" w:color="auto"/>
            <w:bottom w:val="none" w:sz="0" w:space="0" w:color="auto"/>
            <w:right w:val="none" w:sz="0" w:space="0" w:color="auto"/>
          </w:divBdr>
        </w:div>
        <w:div w:id="67651786">
          <w:marLeft w:val="0"/>
          <w:marRight w:val="0"/>
          <w:marTop w:val="0"/>
          <w:marBottom w:val="0"/>
          <w:divBdr>
            <w:top w:val="none" w:sz="0" w:space="0" w:color="auto"/>
            <w:left w:val="none" w:sz="0" w:space="0" w:color="auto"/>
            <w:bottom w:val="none" w:sz="0" w:space="0" w:color="auto"/>
            <w:right w:val="none" w:sz="0" w:space="0" w:color="auto"/>
          </w:divBdr>
        </w:div>
        <w:div w:id="382749770">
          <w:marLeft w:val="0"/>
          <w:marRight w:val="0"/>
          <w:marTop w:val="0"/>
          <w:marBottom w:val="0"/>
          <w:divBdr>
            <w:top w:val="none" w:sz="0" w:space="0" w:color="auto"/>
            <w:left w:val="none" w:sz="0" w:space="0" w:color="auto"/>
            <w:bottom w:val="none" w:sz="0" w:space="0" w:color="auto"/>
            <w:right w:val="none" w:sz="0" w:space="0" w:color="auto"/>
          </w:divBdr>
        </w:div>
        <w:div w:id="1631664302">
          <w:marLeft w:val="0"/>
          <w:marRight w:val="0"/>
          <w:marTop w:val="0"/>
          <w:marBottom w:val="0"/>
          <w:divBdr>
            <w:top w:val="none" w:sz="0" w:space="0" w:color="auto"/>
            <w:left w:val="none" w:sz="0" w:space="0" w:color="auto"/>
            <w:bottom w:val="none" w:sz="0" w:space="0" w:color="auto"/>
            <w:right w:val="none" w:sz="0" w:space="0" w:color="auto"/>
          </w:divBdr>
        </w:div>
        <w:div w:id="2020548289">
          <w:marLeft w:val="0"/>
          <w:marRight w:val="0"/>
          <w:marTop w:val="0"/>
          <w:marBottom w:val="0"/>
          <w:divBdr>
            <w:top w:val="none" w:sz="0" w:space="0" w:color="auto"/>
            <w:left w:val="none" w:sz="0" w:space="0" w:color="auto"/>
            <w:bottom w:val="none" w:sz="0" w:space="0" w:color="auto"/>
            <w:right w:val="none" w:sz="0" w:space="0" w:color="auto"/>
          </w:divBdr>
        </w:div>
        <w:div w:id="1483886028">
          <w:marLeft w:val="0"/>
          <w:marRight w:val="0"/>
          <w:marTop w:val="0"/>
          <w:marBottom w:val="0"/>
          <w:divBdr>
            <w:top w:val="none" w:sz="0" w:space="0" w:color="auto"/>
            <w:left w:val="none" w:sz="0" w:space="0" w:color="auto"/>
            <w:bottom w:val="none" w:sz="0" w:space="0" w:color="auto"/>
            <w:right w:val="none" w:sz="0" w:space="0" w:color="auto"/>
          </w:divBdr>
        </w:div>
        <w:div w:id="873424340">
          <w:marLeft w:val="0"/>
          <w:marRight w:val="0"/>
          <w:marTop w:val="0"/>
          <w:marBottom w:val="0"/>
          <w:divBdr>
            <w:top w:val="none" w:sz="0" w:space="0" w:color="auto"/>
            <w:left w:val="none" w:sz="0" w:space="0" w:color="auto"/>
            <w:bottom w:val="none" w:sz="0" w:space="0" w:color="auto"/>
            <w:right w:val="none" w:sz="0" w:space="0" w:color="auto"/>
          </w:divBdr>
        </w:div>
        <w:div w:id="448552708">
          <w:marLeft w:val="0"/>
          <w:marRight w:val="0"/>
          <w:marTop w:val="0"/>
          <w:marBottom w:val="0"/>
          <w:divBdr>
            <w:top w:val="none" w:sz="0" w:space="0" w:color="auto"/>
            <w:left w:val="none" w:sz="0" w:space="0" w:color="auto"/>
            <w:bottom w:val="none" w:sz="0" w:space="0" w:color="auto"/>
            <w:right w:val="none" w:sz="0" w:space="0" w:color="auto"/>
          </w:divBdr>
        </w:div>
        <w:div w:id="1143352530">
          <w:marLeft w:val="0"/>
          <w:marRight w:val="0"/>
          <w:marTop w:val="0"/>
          <w:marBottom w:val="0"/>
          <w:divBdr>
            <w:top w:val="none" w:sz="0" w:space="0" w:color="auto"/>
            <w:left w:val="none" w:sz="0" w:space="0" w:color="auto"/>
            <w:bottom w:val="none" w:sz="0" w:space="0" w:color="auto"/>
            <w:right w:val="none" w:sz="0" w:space="0" w:color="auto"/>
          </w:divBdr>
        </w:div>
        <w:div w:id="2139645761">
          <w:marLeft w:val="0"/>
          <w:marRight w:val="0"/>
          <w:marTop w:val="0"/>
          <w:marBottom w:val="0"/>
          <w:divBdr>
            <w:top w:val="none" w:sz="0" w:space="0" w:color="auto"/>
            <w:left w:val="none" w:sz="0" w:space="0" w:color="auto"/>
            <w:bottom w:val="none" w:sz="0" w:space="0" w:color="auto"/>
            <w:right w:val="none" w:sz="0" w:space="0" w:color="auto"/>
          </w:divBdr>
        </w:div>
        <w:div w:id="1286885028">
          <w:marLeft w:val="0"/>
          <w:marRight w:val="0"/>
          <w:marTop w:val="0"/>
          <w:marBottom w:val="0"/>
          <w:divBdr>
            <w:top w:val="none" w:sz="0" w:space="0" w:color="auto"/>
            <w:left w:val="none" w:sz="0" w:space="0" w:color="auto"/>
            <w:bottom w:val="none" w:sz="0" w:space="0" w:color="auto"/>
            <w:right w:val="none" w:sz="0" w:space="0" w:color="auto"/>
          </w:divBdr>
        </w:div>
        <w:div w:id="2097048952">
          <w:marLeft w:val="0"/>
          <w:marRight w:val="0"/>
          <w:marTop w:val="0"/>
          <w:marBottom w:val="0"/>
          <w:divBdr>
            <w:top w:val="none" w:sz="0" w:space="0" w:color="auto"/>
            <w:left w:val="none" w:sz="0" w:space="0" w:color="auto"/>
            <w:bottom w:val="none" w:sz="0" w:space="0" w:color="auto"/>
            <w:right w:val="none" w:sz="0" w:space="0" w:color="auto"/>
          </w:divBdr>
        </w:div>
        <w:div w:id="1280454137">
          <w:marLeft w:val="0"/>
          <w:marRight w:val="0"/>
          <w:marTop w:val="0"/>
          <w:marBottom w:val="0"/>
          <w:divBdr>
            <w:top w:val="none" w:sz="0" w:space="0" w:color="auto"/>
            <w:left w:val="none" w:sz="0" w:space="0" w:color="auto"/>
            <w:bottom w:val="none" w:sz="0" w:space="0" w:color="auto"/>
            <w:right w:val="none" w:sz="0" w:space="0" w:color="auto"/>
          </w:divBdr>
        </w:div>
        <w:div w:id="1182161276">
          <w:marLeft w:val="0"/>
          <w:marRight w:val="0"/>
          <w:marTop w:val="0"/>
          <w:marBottom w:val="0"/>
          <w:divBdr>
            <w:top w:val="none" w:sz="0" w:space="0" w:color="auto"/>
            <w:left w:val="none" w:sz="0" w:space="0" w:color="auto"/>
            <w:bottom w:val="none" w:sz="0" w:space="0" w:color="auto"/>
            <w:right w:val="none" w:sz="0" w:space="0" w:color="auto"/>
          </w:divBdr>
        </w:div>
        <w:div w:id="233517397">
          <w:marLeft w:val="0"/>
          <w:marRight w:val="0"/>
          <w:marTop w:val="0"/>
          <w:marBottom w:val="0"/>
          <w:divBdr>
            <w:top w:val="none" w:sz="0" w:space="0" w:color="auto"/>
            <w:left w:val="none" w:sz="0" w:space="0" w:color="auto"/>
            <w:bottom w:val="none" w:sz="0" w:space="0" w:color="auto"/>
            <w:right w:val="none" w:sz="0" w:space="0" w:color="auto"/>
          </w:divBdr>
        </w:div>
        <w:div w:id="288052529">
          <w:marLeft w:val="0"/>
          <w:marRight w:val="0"/>
          <w:marTop w:val="0"/>
          <w:marBottom w:val="0"/>
          <w:divBdr>
            <w:top w:val="none" w:sz="0" w:space="0" w:color="auto"/>
            <w:left w:val="none" w:sz="0" w:space="0" w:color="auto"/>
            <w:bottom w:val="none" w:sz="0" w:space="0" w:color="auto"/>
            <w:right w:val="none" w:sz="0" w:space="0" w:color="auto"/>
          </w:divBdr>
        </w:div>
        <w:div w:id="1284535240">
          <w:marLeft w:val="0"/>
          <w:marRight w:val="0"/>
          <w:marTop w:val="0"/>
          <w:marBottom w:val="0"/>
          <w:divBdr>
            <w:top w:val="none" w:sz="0" w:space="0" w:color="auto"/>
            <w:left w:val="none" w:sz="0" w:space="0" w:color="auto"/>
            <w:bottom w:val="none" w:sz="0" w:space="0" w:color="auto"/>
            <w:right w:val="none" w:sz="0" w:space="0" w:color="auto"/>
          </w:divBdr>
        </w:div>
        <w:div w:id="2085912524">
          <w:marLeft w:val="0"/>
          <w:marRight w:val="0"/>
          <w:marTop w:val="0"/>
          <w:marBottom w:val="0"/>
          <w:divBdr>
            <w:top w:val="none" w:sz="0" w:space="0" w:color="auto"/>
            <w:left w:val="none" w:sz="0" w:space="0" w:color="auto"/>
            <w:bottom w:val="none" w:sz="0" w:space="0" w:color="auto"/>
            <w:right w:val="none" w:sz="0" w:space="0" w:color="auto"/>
          </w:divBdr>
        </w:div>
        <w:div w:id="1419716856">
          <w:marLeft w:val="0"/>
          <w:marRight w:val="0"/>
          <w:marTop w:val="0"/>
          <w:marBottom w:val="0"/>
          <w:divBdr>
            <w:top w:val="none" w:sz="0" w:space="0" w:color="auto"/>
            <w:left w:val="none" w:sz="0" w:space="0" w:color="auto"/>
            <w:bottom w:val="none" w:sz="0" w:space="0" w:color="auto"/>
            <w:right w:val="none" w:sz="0" w:space="0" w:color="auto"/>
          </w:divBdr>
        </w:div>
        <w:div w:id="1191260281">
          <w:marLeft w:val="0"/>
          <w:marRight w:val="0"/>
          <w:marTop w:val="0"/>
          <w:marBottom w:val="0"/>
          <w:divBdr>
            <w:top w:val="none" w:sz="0" w:space="0" w:color="auto"/>
            <w:left w:val="none" w:sz="0" w:space="0" w:color="auto"/>
            <w:bottom w:val="none" w:sz="0" w:space="0" w:color="auto"/>
            <w:right w:val="none" w:sz="0" w:space="0" w:color="auto"/>
          </w:divBdr>
        </w:div>
        <w:div w:id="838885601">
          <w:marLeft w:val="0"/>
          <w:marRight w:val="0"/>
          <w:marTop w:val="0"/>
          <w:marBottom w:val="0"/>
          <w:divBdr>
            <w:top w:val="none" w:sz="0" w:space="0" w:color="auto"/>
            <w:left w:val="none" w:sz="0" w:space="0" w:color="auto"/>
            <w:bottom w:val="none" w:sz="0" w:space="0" w:color="auto"/>
            <w:right w:val="none" w:sz="0" w:space="0" w:color="auto"/>
          </w:divBdr>
        </w:div>
        <w:div w:id="957492323">
          <w:marLeft w:val="0"/>
          <w:marRight w:val="0"/>
          <w:marTop w:val="0"/>
          <w:marBottom w:val="0"/>
          <w:divBdr>
            <w:top w:val="none" w:sz="0" w:space="0" w:color="auto"/>
            <w:left w:val="none" w:sz="0" w:space="0" w:color="auto"/>
            <w:bottom w:val="none" w:sz="0" w:space="0" w:color="auto"/>
            <w:right w:val="none" w:sz="0" w:space="0" w:color="auto"/>
          </w:divBdr>
        </w:div>
        <w:div w:id="1640306167">
          <w:marLeft w:val="0"/>
          <w:marRight w:val="0"/>
          <w:marTop w:val="0"/>
          <w:marBottom w:val="0"/>
          <w:divBdr>
            <w:top w:val="none" w:sz="0" w:space="0" w:color="auto"/>
            <w:left w:val="none" w:sz="0" w:space="0" w:color="auto"/>
            <w:bottom w:val="none" w:sz="0" w:space="0" w:color="auto"/>
            <w:right w:val="none" w:sz="0" w:space="0" w:color="auto"/>
          </w:divBdr>
        </w:div>
        <w:div w:id="647437726">
          <w:marLeft w:val="0"/>
          <w:marRight w:val="0"/>
          <w:marTop w:val="0"/>
          <w:marBottom w:val="0"/>
          <w:divBdr>
            <w:top w:val="none" w:sz="0" w:space="0" w:color="auto"/>
            <w:left w:val="none" w:sz="0" w:space="0" w:color="auto"/>
            <w:bottom w:val="none" w:sz="0" w:space="0" w:color="auto"/>
            <w:right w:val="none" w:sz="0" w:space="0" w:color="auto"/>
          </w:divBdr>
        </w:div>
        <w:div w:id="1073549138">
          <w:marLeft w:val="0"/>
          <w:marRight w:val="0"/>
          <w:marTop w:val="0"/>
          <w:marBottom w:val="0"/>
          <w:divBdr>
            <w:top w:val="none" w:sz="0" w:space="0" w:color="auto"/>
            <w:left w:val="none" w:sz="0" w:space="0" w:color="auto"/>
            <w:bottom w:val="none" w:sz="0" w:space="0" w:color="auto"/>
            <w:right w:val="none" w:sz="0" w:space="0" w:color="auto"/>
          </w:divBdr>
        </w:div>
        <w:div w:id="1258826762">
          <w:marLeft w:val="0"/>
          <w:marRight w:val="0"/>
          <w:marTop w:val="0"/>
          <w:marBottom w:val="0"/>
          <w:divBdr>
            <w:top w:val="none" w:sz="0" w:space="0" w:color="auto"/>
            <w:left w:val="none" w:sz="0" w:space="0" w:color="auto"/>
            <w:bottom w:val="none" w:sz="0" w:space="0" w:color="auto"/>
            <w:right w:val="none" w:sz="0" w:space="0" w:color="auto"/>
          </w:divBdr>
        </w:div>
        <w:div w:id="462970182">
          <w:marLeft w:val="0"/>
          <w:marRight w:val="0"/>
          <w:marTop w:val="0"/>
          <w:marBottom w:val="0"/>
          <w:divBdr>
            <w:top w:val="none" w:sz="0" w:space="0" w:color="auto"/>
            <w:left w:val="none" w:sz="0" w:space="0" w:color="auto"/>
            <w:bottom w:val="none" w:sz="0" w:space="0" w:color="auto"/>
            <w:right w:val="none" w:sz="0" w:space="0" w:color="auto"/>
          </w:divBdr>
        </w:div>
        <w:div w:id="1752504841">
          <w:marLeft w:val="0"/>
          <w:marRight w:val="0"/>
          <w:marTop w:val="0"/>
          <w:marBottom w:val="0"/>
          <w:divBdr>
            <w:top w:val="none" w:sz="0" w:space="0" w:color="auto"/>
            <w:left w:val="none" w:sz="0" w:space="0" w:color="auto"/>
            <w:bottom w:val="none" w:sz="0" w:space="0" w:color="auto"/>
            <w:right w:val="none" w:sz="0" w:space="0" w:color="auto"/>
          </w:divBdr>
        </w:div>
        <w:div w:id="1567957504">
          <w:marLeft w:val="0"/>
          <w:marRight w:val="0"/>
          <w:marTop w:val="0"/>
          <w:marBottom w:val="0"/>
          <w:divBdr>
            <w:top w:val="none" w:sz="0" w:space="0" w:color="auto"/>
            <w:left w:val="none" w:sz="0" w:space="0" w:color="auto"/>
            <w:bottom w:val="none" w:sz="0" w:space="0" w:color="auto"/>
            <w:right w:val="none" w:sz="0" w:space="0" w:color="auto"/>
          </w:divBdr>
        </w:div>
        <w:div w:id="2038845103">
          <w:marLeft w:val="0"/>
          <w:marRight w:val="0"/>
          <w:marTop w:val="0"/>
          <w:marBottom w:val="0"/>
          <w:divBdr>
            <w:top w:val="none" w:sz="0" w:space="0" w:color="auto"/>
            <w:left w:val="none" w:sz="0" w:space="0" w:color="auto"/>
            <w:bottom w:val="none" w:sz="0" w:space="0" w:color="auto"/>
            <w:right w:val="none" w:sz="0" w:space="0" w:color="auto"/>
          </w:divBdr>
        </w:div>
        <w:div w:id="609363748">
          <w:marLeft w:val="0"/>
          <w:marRight w:val="0"/>
          <w:marTop w:val="0"/>
          <w:marBottom w:val="0"/>
          <w:divBdr>
            <w:top w:val="none" w:sz="0" w:space="0" w:color="auto"/>
            <w:left w:val="none" w:sz="0" w:space="0" w:color="auto"/>
            <w:bottom w:val="none" w:sz="0" w:space="0" w:color="auto"/>
            <w:right w:val="none" w:sz="0" w:space="0" w:color="auto"/>
          </w:divBdr>
        </w:div>
        <w:div w:id="907761885">
          <w:marLeft w:val="0"/>
          <w:marRight w:val="0"/>
          <w:marTop w:val="0"/>
          <w:marBottom w:val="0"/>
          <w:divBdr>
            <w:top w:val="none" w:sz="0" w:space="0" w:color="auto"/>
            <w:left w:val="none" w:sz="0" w:space="0" w:color="auto"/>
            <w:bottom w:val="none" w:sz="0" w:space="0" w:color="auto"/>
            <w:right w:val="none" w:sz="0" w:space="0" w:color="auto"/>
          </w:divBdr>
        </w:div>
        <w:div w:id="1095370363">
          <w:marLeft w:val="0"/>
          <w:marRight w:val="0"/>
          <w:marTop w:val="0"/>
          <w:marBottom w:val="0"/>
          <w:divBdr>
            <w:top w:val="none" w:sz="0" w:space="0" w:color="auto"/>
            <w:left w:val="none" w:sz="0" w:space="0" w:color="auto"/>
            <w:bottom w:val="none" w:sz="0" w:space="0" w:color="auto"/>
            <w:right w:val="none" w:sz="0" w:space="0" w:color="auto"/>
          </w:divBdr>
        </w:div>
        <w:div w:id="709109821">
          <w:marLeft w:val="0"/>
          <w:marRight w:val="0"/>
          <w:marTop w:val="0"/>
          <w:marBottom w:val="0"/>
          <w:divBdr>
            <w:top w:val="none" w:sz="0" w:space="0" w:color="auto"/>
            <w:left w:val="none" w:sz="0" w:space="0" w:color="auto"/>
            <w:bottom w:val="none" w:sz="0" w:space="0" w:color="auto"/>
            <w:right w:val="none" w:sz="0" w:space="0" w:color="auto"/>
          </w:divBdr>
        </w:div>
        <w:div w:id="1132333515">
          <w:marLeft w:val="0"/>
          <w:marRight w:val="0"/>
          <w:marTop w:val="0"/>
          <w:marBottom w:val="0"/>
          <w:divBdr>
            <w:top w:val="none" w:sz="0" w:space="0" w:color="auto"/>
            <w:left w:val="none" w:sz="0" w:space="0" w:color="auto"/>
            <w:bottom w:val="none" w:sz="0" w:space="0" w:color="auto"/>
            <w:right w:val="none" w:sz="0" w:space="0" w:color="auto"/>
          </w:divBdr>
        </w:div>
        <w:div w:id="841971705">
          <w:marLeft w:val="0"/>
          <w:marRight w:val="0"/>
          <w:marTop w:val="0"/>
          <w:marBottom w:val="0"/>
          <w:divBdr>
            <w:top w:val="none" w:sz="0" w:space="0" w:color="auto"/>
            <w:left w:val="none" w:sz="0" w:space="0" w:color="auto"/>
            <w:bottom w:val="none" w:sz="0" w:space="0" w:color="auto"/>
            <w:right w:val="none" w:sz="0" w:space="0" w:color="auto"/>
          </w:divBdr>
        </w:div>
        <w:div w:id="1238907089">
          <w:marLeft w:val="0"/>
          <w:marRight w:val="0"/>
          <w:marTop w:val="0"/>
          <w:marBottom w:val="0"/>
          <w:divBdr>
            <w:top w:val="none" w:sz="0" w:space="0" w:color="auto"/>
            <w:left w:val="none" w:sz="0" w:space="0" w:color="auto"/>
            <w:bottom w:val="none" w:sz="0" w:space="0" w:color="auto"/>
            <w:right w:val="none" w:sz="0" w:space="0" w:color="auto"/>
          </w:divBdr>
        </w:div>
        <w:div w:id="2034770489">
          <w:marLeft w:val="0"/>
          <w:marRight w:val="0"/>
          <w:marTop w:val="0"/>
          <w:marBottom w:val="0"/>
          <w:divBdr>
            <w:top w:val="none" w:sz="0" w:space="0" w:color="auto"/>
            <w:left w:val="none" w:sz="0" w:space="0" w:color="auto"/>
            <w:bottom w:val="none" w:sz="0" w:space="0" w:color="auto"/>
            <w:right w:val="none" w:sz="0" w:space="0" w:color="auto"/>
          </w:divBdr>
        </w:div>
        <w:div w:id="1925526957">
          <w:marLeft w:val="0"/>
          <w:marRight w:val="0"/>
          <w:marTop w:val="0"/>
          <w:marBottom w:val="0"/>
          <w:divBdr>
            <w:top w:val="none" w:sz="0" w:space="0" w:color="auto"/>
            <w:left w:val="none" w:sz="0" w:space="0" w:color="auto"/>
            <w:bottom w:val="none" w:sz="0" w:space="0" w:color="auto"/>
            <w:right w:val="none" w:sz="0" w:space="0" w:color="auto"/>
          </w:divBdr>
        </w:div>
        <w:div w:id="1293825417">
          <w:marLeft w:val="0"/>
          <w:marRight w:val="0"/>
          <w:marTop w:val="0"/>
          <w:marBottom w:val="0"/>
          <w:divBdr>
            <w:top w:val="none" w:sz="0" w:space="0" w:color="auto"/>
            <w:left w:val="none" w:sz="0" w:space="0" w:color="auto"/>
            <w:bottom w:val="none" w:sz="0" w:space="0" w:color="auto"/>
            <w:right w:val="none" w:sz="0" w:space="0" w:color="auto"/>
          </w:divBdr>
        </w:div>
        <w:div w:id="1823885397">
          <w:marLeft w:val="0"/>
          <w:marRight w:val="0"/>
          <w:marTop w:val="0"/>
          <w:marBottom w:val="0"/>
          <w:divBdr>
            <w:top w:val="none" w:sz="0" w:space="0" w:color="auto"/>
            <w:left w:val="none" w:sz="0" w:space="0" w:color="auto"/>
            <w:bottom w:val="none" w:sz="0" w:space="0" w:color="auto"/>
            <w:right w:val="none" w:sz="0" w:space="0" w:color="auto"/>
          </w:divBdr>
        </w:div>
        <w:div w:id="195431448">
          <w:marLeft w:val="0"/>
          <w:marRight w:val="0"/>
          <w:marTop w:val="0"/>
          <w:marBottom w:val="0"/>
          <w:divBdr>
            <w:top w:val="none" w:sz="0" w:space="0" w:color="auto"/>
            <w:left w:val="none" w:sz="0" w:space="0" w:color="auto"/>
            <w:bottom w:val="none" w:sz="0" w:space="0" w:color="auto"/>
            <w:right w:val="none" w:sz="0" w:space="0" w:color="auto"/>
          </w:divBdr>
        </w:div>
        <w:div w:id="2140957259">
          <w:marLeft w:val="0"/>
          <w:marRight w:val="0"/>
          <w:marTop w:val="0"/>
          <w:marBottom w:val="0"/>
          <w:divBdr>
            <w:top w:val="none" w:sz="0" w:space="0" w:color="auto"/>
            <w:left w:val="none" w:sz="0" w:space="0" w:color="auto"/>
            <w:bottom w:val="none" w:sz="0" w:space="0" w:color="auto"/>
            <w:right w:val="none" w:sz="0" w:space="0" w:color="auto"/>
          </w:divBdr>
        </w:div>
        <w:div w:id="1614943068">
          <w:marLeft w:val="0"/>
          <w:marRight w:val="0"/>
          <w:marTop w:val="0"/>
          <w:marBottom w:val="0"/>
          <w:divBdr>
            <w:top w:val="none" w:sz="0" w:space="0" w:color="auto"/>
            <w:left w:val="none" w:sz="0" w:space="0" w:color="auto"/>
            <w:bottom w:val="none" w:sz="0" w:space="0" w:color="auto"/>
            <w:right w:val="none" w:sz="0" w:space="0" w:color="auto"/>
          </w:divBdr>
        </w:div>
        <w:div w:id="1034232438">
          <w:marLeft w:val="0"/>
          <w:marRight w:val="0"/>
          <w:marTop w:val="0"/>
          <w:marBottom w:val="0"/>
          <w:divBdr>
            <w:top w:val="none" w:sz="0" w:space="0" w:color="auto"/>
            <w:left w:val="none" w:sz="0" w:space="0" w:color="auto"/>
            <w:bottom w:val="none" w:sz="0" w:space="0" w:color="auto"/>
            <w:right w:val="none" w:sz="0" w:space="0" w:color="auto"/>
          </w:divBdr>
        </w:div>
        <w:div w:id="599752445">
          <w:marLeft w:val="0"/>
          <w:marRight w:val="0"/>
          <w:marTop w:val="0"/>
          <w:marBottom w:val="0"/>
          <w:divBdr>
            <w:top w:val="none" w:sz="0" w:space="0" w:color="auto"/>
            <w:left w:val="none" w:sz="0" w:space="0" w:color="auto"/>
            <w:bottom w:val="none" w:sz="0" w:space="0" w:color="auto"/>
            <w:right w:val="none" w:sz="0" w:space="0" w:color="auto"/>
          </w:divBdr>
        </w:div>
        <w:div w:id="1706099841">
          <w:marLeft w:val="0"/>
          <w:marRight w:val="0"/>
          <w:marTop w:val="0"/>
          <w:marBottom w:val="0"/>
          <w:divBdr>
            <w:top w:val="none" w:sz="0" w:space="0" w:color="auto"/>
            <w:left w:val="none" w:sz="0" w:space="0" w:color="auto"/>
            <w:bottom w:val="none" w:sz="0" w:space="0" w:color="auto"/>
            <w:right w:val="none" w:sz="0" w:space="0" w:color="auto"/>
          </w:divBdr>
        </w:div>
        <w:div w:id="1593120270">
          <w:marLeft w:val="0"/>
          <w:marRight w:val="0"/>
          <w:marTop w:val="0"/>
          <w:marBottom w:val="0"/>
          <w:divBdr>
            <w:top w:val="none" w:sz="0" w:space="0" w:color="auto"/>
            <w:left w:val="none" w:sz="0" w:space="0" w:color="auto"/>
            <w:bottom w:val="none" w:sz="0" w:space="0" w:color="auto"/>
            <w:right w:val="none" w:sz="0" w:space="0" w:color="auto"/>
          </w:divBdr>
        </w:div>
        <w:div w:id="310990994">
          <w:marLeft w:val="0"/>
          <w:marRight w:val="0"/>
          <w:marTop w:val="0"/>
          <w:marBottom w:val="0"/>
          <w:divBdr>
            <w:top w:val="none" w:sz="0" w:space="0" w:color="auto"/>
            <w:left w:val="none" w:sz="0" w:space="0" w:color="auto"/>
            <w:bottom w:val="none" w:sz="0" w:space="0" w:color="auto"/>
            <w:right w:val="none" w:sz="0" w:space="0" w:color="auto"/>
          </w:divBdr>
        </w:div>
        <w:div w:id="7143524">
          <w:marLeft w:val="0"/>
          <w:marRight w:val="0"/>
          <w:marTop w:val="0"/>
          <w:marBottom w:val="0"/>
          <w:divBdr>
            <w:top w:val="none" w:sz="0" w:space="0" w:color="auto"/>
            <w:left w:val="none" w:sz="0" w:space="0" w:color="auto"/>
            <w:bottom w:val="none" w:sz="0" w:space="0" w:color="auto"/>
            <w:right w:val="none" w:sz="0" w:space="0" w:color="auto"/>
          </w:divBdr>
        </w:div>
        <w:div w:id="2112623007">
          <w:marLeft w:val="0"/>
          <w:marRight w:val="0"/>
          <w:marTop w:val="0"/>
          <w:marBottom w:val="0"/>
          <w:divBdr>
            <w:top w:val="none" w:sz="0" w:space="0" w:color="auto"/>
            <w:left w:val="none" w:sz="0" w:space="0" w:color="auto"/>
            <w:bottom w:val="none" w:sz="0" w:space="0" w:color="auto"/>
            <w:right w:val="none" w:sz="0" w:space="0" w:color="auto"/>
          </w:divBdr>
        </w:div>
        <w:div w:id="268438338">
          <w:marLeft w:val="0"/>
          <w:marRight w:val="0"/>
          <w:marTop w:val="0"/>
          <w:marBottom w:val="0"/>
          <w:divBdr>
            <w:top w:val="none" w:sz="0" w:space="0" w:color="auto"/>
            <w:left w:val="none" w:sz="0" w:space="0" w:color="auto"/>
            <w:bottom w:val="none" w:sz="0" w:space="0" w:color="auto"/>
            <w:right w:val="none" w:sz="0" w:space="0" w:color="auto"/>
          </w:divBdr>
        </w:div>
        <w:div w:id="1679116149">
          <w:marLeft w:val="0"/>
          <w:marRight w:val="0"/>
          <w:marTop w:val="0"/>
          <w:marBottom w:val="0"/>
          <w:divBdr>
            <w:top w:val="none" w:sz="0" w:space="0" w:color="auto"/>
            <w:left w:val="none" w:sz="0" w:space="0" w:color="auto"/>
            <w:bottom w:val="none" w:sz="0" w:space="0" w:color="auto"/>
            <w:right w:val="none" w:sz="0" w:space="0" w:color="auto"/>
          </w:divBdr>
        </w:div>
        <w:div w:id="1783458009">
          <w:marLeft w:val="0"/>
          <w:marRight w:val="0"/>
          <w:marTop w:val="0"/>
          <w:marBottom w:val="0"/>
          <w:divBdr>
            <w:top w:val="none" w:sz="0" w:space="0" w:color="auto"/>
            <w:left w:val="none" w:sz="0" w:space="0" w:color="auto"/>
            <w:bottom w:val="none" w:sz="0" w:space="0" w:color="auto"/>
            <w:right w:val="none" w:sz="0" w:space="0" w:color="auto"/>
          </w:divBdr>
        </w:div>
        <w:div w:id="2071153969">
          <w:marLeft w:val="0"/>
          <w:marRight w:val="0"/>
          <w:marTop w:val="0"/>
          <w:marBottom w:val="0"/>
          <w:divBdr>
            <w:top w:val="none" w:sz="0" w:space="0" w:color="auto"/>
            <w:left w:val="none" w:sz="0" w:space="0" w:color="auto"/>
            <w:bottom w:val="none" w:sz="0" w:space="0" w:color="auto"/>
            <w:right w:val="none" w:sz="0" w:space="0" w:color="auto"/>
          </w:divBdr>
        </w:div>
        <w:div w:id="1739668228">
          <w:marLeft w:val="0"/>
          <w:marRight w:val="0"/>
          <w:marTop w:val="0"/>
          <w:marBottom w:val="0"/>
          <w:divBdr>
            <w:top w:val="none" w:sz="0" w:space="0" w:color="auto"/>
            <w:left w:val="none" w:sz="0" w:space="0" w:color="auto"/>
            <w:bottom w:val="none" w:sz="0" w:space="0" w:color="auto"/>
            <w:right w:val="none" w:sz="0" w:space="0" w:color="auto"/>
          </w:divBdr>
        </w:div>
        <w:div w:id="884214432">
          <w:marLeft w:val="0"/>
          <w:marRight w:val="0"/>
          <w:marTop w:val="0"/>
          <w:marBottom w:val="0"/>
          <w:divBdr>
            <w:top w:val="none" w:sz="0" w:space="0" w:color="auto"/>
            <w:left w:val="none" w:sz="0" w:space="0" w:color="auto"/>
            <w:bottom w:val="none" w:sz="0" w:space="0" w:color="auto"/>
            <w:right w:val="none" w:sz="0" w:space="0" w:color="auto"/>
          </w:divBdr>
        </w:div>
        <w:div w:id="756708273">
          <w:marLeft w:val="0"/>
          <w:marRight w:val="0"/>
          <w:marTop w:val="0"/>
          <w:marBottom w:val="0"/>
          <w:divBdr>
            <w:top w:val="none" w:sz="0" w:space="0" w:color="auto"/>
            <w:left w:val="none" w:sz="0" w:space="0" w:color="auto"/>
            <w:bottom w:val="none" w:sz="0" w:space="0" w:color="auto"/>
            <w:right w:val="none" w:sz="0" w:space="0" w:color="auto"/>
          </w:divBdr>
        </w:div>
        <w:div w:id="1767573076">
          <w:marLeft w:val="0"/>
          <w:marRight w:val="0"/>
          <w:marTop w:val="0"/>
          <w:marBottom w:val="0"/>
          <w:divBdr>
            <w:top w:val="none" w:sz="0" w:space="0" w:color="auto"/>
            <w:left w:val="none" w:sz="0" w:space="0" w:color="auto"/>
            <w:bottom w:val="none" w:sz="0" w:space="0" w:color="auto"/>
            <w:right w:val="none" w:sz="0" w:space="0" w:color="auto"/>
          </w:divBdr>
        </w:div>
        <w:div w:id="1247962595">
          <w:marLeft w:val="0"/>
          <w:marRight w:val="0"/>
          <w:marTop w:val="0"/>
          <w:marBottom w:val="0"/>
          <w:divBdr>
            <w:top w:val="none" w:sz="0" w:space="0" w:color="auto"/>
            <w:left w:val="none" w:sz="0" w:space="0" w:color="auto"/>
            <w:bottom w:val="none" w:sz="0" w:space="0" w:color="auto"/>
            <w:right w:val="none" w:sz="0" w:space="0" w:color="auto"/>
          </w:divBdr>
        </w:div>
        <w:div w:id="1502310797">
          <w:marLeft w:val="0"/>
          <w:marRight w:val="0"/>
          <w:marTop w:val="0"/>
          <w:marBottom w:val="0"/>
          <w:divBdr>
            <w:top w:val="none" w:sz="0" w:space="0" w:color="auto"/>
            <w:left w:val="none" w:sz="0" w:space="0" w:color="auto"/>
            <w:bottom w:val="none" w:sz="0" w:space="0" w:color="auto"/>
            <w:right w:val="none" w:sz="0" w:space="0" w:color="auto"/>
          </w:divBdr>
        </w:div>
        <w:div w:id="1671982696">
          <w:marLeft w:val="0"/>
          <w:marRight w:val="0"/>
          <w:marTop w:val="0"/>
          <w:marBottom w:val="0"/>
          <w:divBdr>
            <w:top w:val="none" w:sz="0" w:space="0" w:color="auto"/>
            <w:left w:val="none" w:sz="0" w:space="0" w:color="auto"/>
            <w:bottom w:val="none" w:sz="0" w:space="0" w:color="auto"/>
            <w:right w:val="none" w:sz="0" w:space="0" w:color="auto"/>
          </w:divBdr>
        </w:div>
        <w:div w:id="1125344315">
          <w:marLeft w:val="0"/>
          <w:marRight w:val="0"/>
          <w:marTop w:val="0"/>
          <w:marBottom w:val="0"/>
          <w:divBdr>
            <w:top w:val="none" w:sz="0" w:space="0" w:color="auto"/>
            <w:left w:val="none" w:sz="0" w:space="0" w:color="auto"/>
            <w:bottom w:val="none" w:sz="0" w:space="0" w:color="auto"/>
            <w:right w:val="none" w:sz="0" w:space="0" w:color="auto"/>
          </w:divBdr>
        </w:div>
        <w:div w:id="1121000250">
          <w:marLeft w:val="0"/>
          <w:marRight w:val="0"/>
          <w:marTop w:val="0"/>
          <w:marBottom w:val="0"/>
          <w:divBdr>
            <w:top w:val="none" w:sz="0" w:space="0" w:color="auto"/>
            <w:left w:val="none" w:sz="0" w:space="0" w:color="auto"/>
            <w:bottom w:val="none" w:sz="0" w:space="0" w:color="auto"/>
            <w:right w:val="none" w:sz="0" w:space="0" w:color="auto"/>
          </w:divBdr>
        </w:div>
        <w:div w:id="517235735">
          <w:marLeft w:val="0"/>
          <w:marRight w:val="0"/>
          <w:marTop w:val="0"/>
          <w:marBottom w:val="0"/>
          <w:divBdr>
            <w:top w:val="none" w:sz="0" w:space="0" w:color="auto"/>
            <w:left w:val="none" w:sz="0" w:space="0" w:color="auto"/>
            <w:bottom w:val="none" w:sz="0" w:space="0" w:color="auto"/>
            <w:right w:val="none" w:sz="0" w:space="0" w:color="auto"/>
          </w:divBdr>
        </w:div>
        <w:div w:id="1741979097">
          <w:marLeft w:val="0"/>
          <w:marRight w:val="0"/>
          <w:marTop w:val="0"/>
          <w:marBottom w:val="0"/>
          <w:divBdr>
            <w:top w:val="none" w:sz="0" w:space="0" w:color="auto"/>
            <w:left w:val="none" w:sz="0" w:space="0" w:color="auto"/>
            <w:bottom w:val="none" w:sz="0" w:space="0" w:color="auto"/>
            <w:right w:val="none" w:sz="0" w:space="0" w:color="auto"/>
          </w:divBdr>
        </w:div>
        <w:div w:id="417290517">
          <w:marLeft w:val="0"/>
          <w:marRight w:val="0"/>
          <w:marTop w:val="0"/>
          <w:marBottom w:val="0"/>
          <w:divBdr>
            <w:top w:val="none" w:sz="0" w:space="0" w:color="auto"/>
            <w:left w:val="none" w:sz="0" w:space="0" w:color="auto"/>
            <w:bottom w:val="none" w:sz="0" w:space="0" w:color="auto"/>
            <w:right w:val="none" w:sz="0" w:space="0" w:color="auto"/>
          </w:divBdr>
        </w:div>
        <w:div w:id="539634187">
          <w:marLeft w:val="0"/>
          <w:marRight w:val="0"/>
          <w:marTop w:val="0"/>
          <w:marBottom w:val="0"/>
          <w:divBdr>
            <w:top w:val="none" w:sz="0" w:space="0" w:color="auto"/>
            <w:left w:val="none" w:sz="0" w:space="0" w:color="auto"/>
            <w:bottom w:val="none" w:sz="0" w:space="0" w:color="auto"/>
            <w:right w:val="none" w:sz="0" w:space="0" w:color="auto"/>
          </w:divBdr>
        </w:div>
        <w:div w:id="1914581689">
          <w:marLeft w:val="0"/>
          <w:marRight w:val="0"/>
          <w:marTop w:val="0"/>
          <w:marBottom w:val="0"/>
          <w:divBdr>
            <w:top w:val="none" w:sz="0" w:space="0" w:color="auto"/>
            <w:left w:val="none" w:sz="0" w:space="0" w:color="auto"/>
            <w:bottom w:val="none" w:sz="0" w:space="0" w:color="auto"/>
            <w:right w:val="none" w:sz="0" w:space="0" w:color="auto"/>
          </w:divBdr>
        </w:div>
        <w:div w:id="2019849414">
          <w:marLeft w:val="0"/>
          <w:marRight w:val="0"/>
          <w:marTop w:val="0"/>
          <w:marBottom w:val="0"/>
          <w:divBdr>
            <w:top w:val="none" w:sz="0" w:space="0" w:color="auto"/>
            <w:left w:val="none" w:sz="0" w:space="0" w:color="auto"/>
            <w:bottom w:val="none" w:sz="0" w:space="0" w:color="auto"/>
            <w:right w:val="none" w:sz="0" w:space="0" w:color="auto"/>
          </w:divBdr>
        </w:div>
        <w:div w:id="2075159144">
          <w:marLeft w:val="0"/>
          <w:marRight w:val="0"/>
          <w:marTop w:val="0"/>
          <w:marBottom w:val="0"/>
          <w:divBdr>
            <w:top w:val="none" w:sz="0" w:space="0" w:color="auto"/>
            <w:left w:val="none" w:sz="0" w:space="0" w:color="auto"/>
            <w:bottom w:val="none" w:sz="0" w:space="0" w:color="auto"/>
            <w:right w:val="none" w:sz="0" w:space="0" w:color="auto"/>
          </w:divBdr>
        </w:div>
        <w:div w:id="777455561">
          <w:marLeft w:val="0"/>
          <w:marRight w:val="0"/>
          <w:marTop w:val="0"/>
          <w:marBottom w:val="0"/>
          <w:divBdr>
            <w:top w:val="none" w:sz="0" w:space="0" w:color="auto"/>
            <w:left w:val="none" w:sz="0" w:space="0" w:color="auto"/>
            <w:bottom w:val="none" w:sz="0" w:space="0" w:color="auto"/>
            <w:right w:val="none" w:sz="0" w:space="0" w:color="auto"/>
          </w:divBdr>
        </w:div>
        <w:div w:id="983192964">
          <w:marLeft w:val="0"/>
          <w:marRight w:val="0"/>
          <w:marTop w:val="0"/>
          <w:marBottom w:val="0"/>
          <w:divBdr>
            <w:top w:val="none" w:sz="0" w:space="0" w:color="auto"/>
            <w:left w:val="none" w:sz="0" w:space="0" w:color="auto"/>
            <w:bottom w:val="none" w:sz="0" w:space="0" w:color="auto"/>
            <w:right w:val="none" w:sz="0" w:space="0" w:color="auto"/>
          </w:divBdr>
        </w:div>
        <w:div w:id="1370685497">
          <w:marLeft w:val="0"/>
          <w:marRight w:val="0"/>
          <w:marTop w:val="0"/>
          <w:marBottom w:val="0"/>
          <w:divBdr>
            <w:top w:val="none" w:sz="0" w:space="0" w:color="auto"/>
            <w:left w:val="none" w:sz="0" w:space="0" w:color="auto"/>
            <w:bottom w:val="none" w:sz="0" w:space="0" w:color="auto"/>
            <w:right w:val="none" w:sz="0" w:space="0" w:color="auto"/>
          </w:divBdr>
        </w:div>
        <w:div w:id="216552187">
          <w:marLeft w:val="0"/>
          <w:marRight w:val="0"/>
          <w:marTop w:val="0"/>
          <w:marBottom w:val="0"/>
          <w:divBdr>
            <w:top w:val="none" w:sz="0" w:space="0" w:color="auto"/>
            <w:left w:val="none" w:sz="0" w:space="0" w:color="auto"/>
            <w:bottom w:val="none" w:sz="0" w:space="0" w:color="auto"/>
            <w:right w:val="none" w:sz="0" w:space="0" w:color="auto"/>
          </w:divBdr>
        </w:div>
        <w:div w:id="2076203281">
          <w:marLeft w:val="0"/>
          <w:marRight w:val="0"/>
          <w:marTop w:val="0"/>
          <w:marBottom w:val="0"/>
          <w:divBdr>
            <w:top w:val="none" w:sz="0" w:space="0" w:color="auto"/>
            <w:left w:val="none" w:sz="0" w:space="0" w:color="auto"/>
            <w:bottom w:val="none" w:sz="0" w:space="0" w:color="auto"/>
            <w:right w:val="none" w:sz="0" w:space="0" w:color="auto"/>
          </w:divBdr>
        </w:div>
        <w:div w:id="167911624">
          <w:marLeft w:val="0"/>
          <w:marRight w:val="0"/>
          <w:marTop w:val="0"/>
          <w:marBottom w:val="0"/>
          <w:divBdr>
            <w:top w:val="none" w:sz="0" w:space="0" w:color="auto"/>
            <w:left w:val="none" w:sz="0" w:space="0" w:color="auto"/>
            <w:bottom w:val="none" w:sz="0" w:space="0" w:color="auto"/>
            <w:right w:val="none" w:sz="0" w:space="0" w:color="auto"/>
          </w:divBdr>
        </w:div>
        <w:div w:id="717166946">
          <w:marLeft w:val="0"/>
          <w:marRight w:val="0"/>
          <w:marTop w:val="0"/>
          <w:marBottom w:val="0"/>
          <w:divBdr>
            <w:top w:val="none" w:sz="0" w:space="0" w:color="auto"/>
            <w:left w:val="none" w:sz="0" w:space="0" w:color="auto"/>
            <w:bottom w:val="none" w:sz="0" w:space="0" w:color="auto"/>
            <w:right w:val="none" w:sz="0" w:space="0" w:color="auto"/>
          </w:divBdr>
        </w:div>
        <w:div w:id="1600791055">
          <w:marLeft w:val="0"/>
          <w:marRight w:val="0"/>
          <w:marTop w:val="0"/>
          <w:marBottom w:val="0"/>
          <w:divBdr>
            <w:top w:val="none" w:sz="0" w:space="0" w:color="auto"/>
            <w:left w:val="none" w:sz="0" w:space="0" w:color="auto"/>
            <w:bottom w:val="none" w:sz="0" w:space="0" w:color="auto"/>
            <w:right w:val="none" w:sz="0" w:space="0" w:color="auto"/>
          </w:divBdr>
        </w:div>
        <w:div w:id="489105517">
          <w:marLeft w:val="0"/>
          <w:marRight w:val="0"/>
          <w:marTop w:val="0"/>
          <w:marBottom w:val="0"/>
          <w:divBdr>
            <w:top w:val="none" w:sz="0" w:space="0" w:color="auto"/>
            <w:left w:val="none" w:sz="0" w:space="0" w:color="auto"/>
            <w:bottom w:val="none" w:sz="0" w:space="0" w:color="auto"/>
            <w:right w:val="none" w:sz="0" w:space="0" w:color="auto"/>
          </w:divBdr>
        </w:div>
        <w:div w:id="1797527787">
          <w:marLeft w:val="0"/>
          <w:marRight w:val="0"/>
          <w:marTop w:val="0"/>
          <w:marBottom w:val="0"/>
          <w:divBdr>
            <w:top w:val="none" w:sz="0" w:space="0" w:color="auto"/>
            <w:left w:val="none" w:sz="0" w:space="0" w:color="auto"/>
            <w:bottom w:val="none" w:sz="0" w:space="0" w:color="auto"/>
            <w:right w:val="none" w:sz="0" w:space="0" w:color="auto"/>
          </w:divBdr>
        </w:div>
        <w:div w:id="177888926">
          <w:marLeft w:val="0"/>
          <w:marRight w:val="0"/>
          <w:marTop w:val="0"/>
          <w:marBottom w:val="0"/>
          <w:divBdr>
            <w:top w:val="none" w:sz="0" w:space="0" w:color="auto"/>
            <w:left w:val="none" w:sz="0" w:space="0" w:color="auto"/>
            <w:bottom w:val="none" w:sz="0" w:space="0" w:color="auto"/>
            <w:right w:val="none" w:sz="0" w:space="0" w:color="auto"/>
          </w:divBdr>
        </w:div>
        <w:div w:id="1759208039">
          <w:marLeft w:val="0"/>
          <w:marRight w:val="0"/>
          <w:marTop w:val="0"/>
          <w:marBottom w:val="0"/>
          <w:divBdr>
            <w:top w:val="none" w:sz="0" w:space="0" w:color="auto"/>
            <w:left w:val="none" w:sz="0" w:space="0" w:color="auto"/>
            <w:bottom w:val="none" w:sz="0" w:space="0" w:color="auto"/>
            <w:right w:val="none" w:sz="0" w:space="0" w:color="auto"/>
          </w:divBdr>
        </w:div>
        <w:div w:id="726301353">
          <w:marLeft w:val="0"/>
          <w:marRight w:val="0"/>
          <w:marTop w:val="0"/>
          <w:marBottom w:val="0"/>
          <w:divBdr>
            <w:top w:val="none" w:sz="0" w:space="0" w:color="auto"/>
            <w:left w:val="none" w:sz="0" w:space="0" w:color="auto"/>
            <w:bottom w:val="none" w:sz="0" w:space="0" w:color="auto"/>
            <w:right w:val="none" w:sz="0" w:space="0" w:color="auto"/>
          </w:divBdr>
        </w:div>
        <w:div w:id="2054621494">
          <w:marLeft w:val="0"/>
          <w:marRight w:val="0"/>
          <w:marTop w:val="0"/>
          <w:marBottom w:val="0"/>
          <w:divBdr>
            <w:top w:val="none" w:sz="0" w:space="0" w:color="auto"/>
            <w:left w:val="none" w:sz="0" w:space="0" w:color="auto"/>
            <w:bottom w:val="none" w:sz="0" w:space="0" w:color="auto"/>
            <w:right w:val="none" w:sz="0" w:space="0" w:color="auto"/>
          </w:divBdr>
        </w:div>
        <w:div w:id="1822381430">
          <w:marLeft w:val="0"/>
          <w:marRight w:val="0"/>
          <w:marTop w:val="0"/>
          <w:marBottom w:val="0"/>
          <w:divBdr>
            <w:top w:val="none" w:sz="0" w:space="0" w:color="auto"/>
            <w:left w:val="none" w:sz="0" w:space="0" w:color="auto"/>
            <w:bottom w:val="none" w:sz="0" w:space="0" w:color="auto"/>
            <w:right w:val="none" w:sz="0" w:space="0" w:color="auto"/>
          </w:divBdr>
        </w:div>
        <w:div w:id="1079668484">
          <w:marLeft w:val="0"/>
          <w:marRight w:val="0"/>
          <w:marTop w:val="0"/>
          <w:marBottom w:val="0"/>
          <w:divBdr>
            <w:top w:val="none" w:sz="0" w:space="0" w:color="auto"/>
            <w:left w:val="none" w:sz="0" w:space="0" w:color="auto"/>
            <w:bottom w:val="none" w:sz="0" w:space="0" w:color="auto"/>
            <w:right w:val="none" w:sz="0" w:space="0" w:color="auto"/>
          </w:divBdr>
        </w:div>
        <w:div w:id="466707716">
          <w:marLeft w:val="0"/>
          <w:marRight w:val="0"/>
          <w:marTop w:val="0"/>
          <w:marBottom w:val="0"/>
          <w:divBdr>
            <w:top w:val="none" w:sz="0" w:space="0" w:color="auto"/>
            <w:left w:val="none" w:sz="0" w:space="0" w:color="auto"/>
            <w:bottom w:val="none" w:sz="0" w:space="0" w:color="auto"/>
            <w:right w:val="none" w:sz="0" w:space="0" w:color="auto"/>
          </w:divBdr>
        </w:div>
        <w:div w:id="1600677597">
          <w:marLeft w:val="0"/>
          <w:marRight w:val="0"/>
          <w:marTop w:val="0"/>
          <w:marBottom w:val="0"/>
          <w:divBdr>
            <w:top w:val="none" w:sz="0" w:space="0" w:color="auto"/>
            <w:left w:val="none" w:sz="0" w:space="0" w:color="auto"/>
            <w:bottom w:val="none" w:sz="0" w:space="0" w:color="auto"/>
            <w:right w:val="none" w:sz="0" w:space="0" w:color="auto"/>
          </w:divBdr>
        </w:div>
        <w:div w:id="1177884542">
          <w:marLeft w:val="0"/>
          <w:marRight w:val="0"/>
          <w:marTop w:val="0"/>
          <w:marBottom w:val="0"/>
          <w:divBdr>
            <w:top w:val="none" w:sz="0" w:space="0" w:color="auto"/>
            <w:left w:val="none" w:sz="0" w:space="0" w:color="auto"/>
            <w:bottom w:val="none" w:sz="0" w:space="0" w:color="auto"/>
            <w:right w:val="none" w:sz="0" w:space="0" w:color="auto"/>
          </w:divBdr>
        </w:div>
        <w:div w:id="982655714">
          <w:marLeft w:val="0"/>
          <w:marRight w:val="0"/>
          <w:marTop w:val="0"/>
          <w:marBottom w:val="0"/>
          <w:divBdr>
            <w:top w:val="none" w:sz="0" w:space="0" w:color="auto"/>
            <w:left w:val="none" w:sz="0" w:space="0" w:color="auto"/>
            <w:bottom w:val="none" w:sz="0" w:space="0" w:color="auto"/>
            <w:right w:val="none" w:sz="0" w:space="0" w:color="auto"/>
          </w:divBdr>
        </w:div>
        <w:div w:id="1093432429">
          <w:marLeft w:val="0"/>
          <w:marRight w:val="0"/>
          <w:marTop w:val="0"/>
          <w:marBottom w:val="0"/>
          <w:divBdr>
            <w:top w:val="none" w:sz="0" w:space="0" w:color="auto"/>
            <w:left w:val="none" w:sz="0" w:space="0" w:color="auto"/>
            <w:bottom w:val="none" w:sz="0" w:space="0" w:color="auto"/>
            <w:right w:val="none" w:sz="0" w:space="0" w:color="auto"/>
          </w:divBdr>
        </w:div>
        <w:div w:id="576205665">
          <w:marLeft w:val="0"/>
          <w:marRight w:val="0"/>
          <w:marTop w:val="0"/>
          <w:marBottom w:val="0"/>
          <w:divBdr>
            <w:top w:val="none" w:sz="0" w:space="0" w:color="auto"/>
            <w:left w:val="none" w:sz="0" w:space="0" w:color="auto"/>
            <w:bottom w:val="none" w:sz="0" w:space="0" w:color="auto"/>
            <w:right w:val="none" w:sz="0" w:space="0" w:color="auto"/>
          </w:divBdr>
        </w:div>
        <w:div w:id="727722588">
          <w:marLeft w:val="0"/>
          <w:marRight w:val="0"/>
          <w:marTop w:val="0"/>
          <w:marBottom w:val="0"/>
          <w:divBdr>
            <w:top w:val="none" w:sz="0" w:space="0" w:color="auto"/>
            <w:left w:val="none" w:sz="0" w:space="0" w:color="auto"/>
            <w:bottom w:val="none" w:sz="0" w:space="0" w:color="auto"/>
            <w:right w:val="none" w:sz="0" w:space="0" w:color="auto"/>
          </w:divBdr>
        </w:div>
        <w:div w:id="749426986">
          <w:marLeft w:val="0"/>
          <w:marRight w:val="0"/>
          <w:marTop w:val="0"/>
          <w:marBottom w:val="0"/>
          <w:divBdr>
            <w:top w:val="none" w:sz="0" w:space="0" w:color="auto"/>
            <w:left w:val="none" w:sz="0" w:space="0" w:color="auto"/>
            <w:bottom w:val="none" w:sz="0" w:space="0" w:color="auto"/>
            <w:right w:val="none" w:sz="0" w:space="0" w:color="auto"/>
          </w:divBdr>
        </w:div>
        <w:div w:id="1336032923">
          <w:marLeft w:val="0"/>
          <w:marRight w:val="0"/>
          <w:marTop w:val="0"/>
          <w:marBottom w:val="0"/>
          <w:divBdr>
            <w:top w:val="none" w:sz="0" w:space="0" w:color="auto"/>
            <w:left w:val="none" w:sz="0" w:space="0" w:color="auto"/>
            <w:bottom w:val="none" w:sz="0" w:space="0" w:color="auto"/>
            <w:right w:val="none" w:sz="0" w:space="0" w:color="auto"/>
          </w:divBdr>
        </w:div>
        <w:div w:id="1537817526">
          <w:marLeft w:val="0"/>
          <w:marRight w:val="0"/>
          <w:marTop w:val="0"/>
          <w:marBottom w:val="0"/>
          <w:divBdr>
            <w:top w:val="none" w:sz="0" w:space="0" w:color="auto"/>
            <w:left w:val="none" w:sz="0" w:space="0" w:color="auto"/>
            <w:bottom w:val="none" w:sz="0" w:space="0" w:color="auto"/>
            <w:right w:val="none" w:sz="0" w:space="0" w:color="auto"/>
          </w:divBdr>
        </w:div>
        <w:div w:id="1528253591">
          <w:marLeft w:val="0"/>
          <w:marRight w:val="0"/>
          <w:marTop w:val="0"/>
          <w:marBottom w:val="0"/>
          <w:divBdr>
            <w:top w:val="none" w:sz="0" w:space="0" w:color="auto"/>
            <w:left w:val="none" w:sz="0" w:space="0" w:color="auto"/>
            <w:bottom w:val="none" w:sz="0" w:space="0" w:color="auto"/>
            <w:right w:val="none" w:sz="0" w:space="0" w:color="auto"/>
          </w:divBdr>
        </w:div>
        <w:div w:id="1273440242">
          <w:marLeft w:val="0"/>
          <w:marRight w:val="0"/>
          <w:marTop w:val="0"/>
          <w:marBottom w:val="0"/>
          <w:divBdr>
            <w:top w:val="none" w:sz="0" w:space="0" w:color="auto"/>
            <w:left w:val="none" w:sz="0" w:space="0" w:color="auto"/>
            <w:bottom w:val="none" w:sz="0" w:space="0" w:color="auto"/>
            <w:right w:val="none" w:sz="0" w:space="0" w:color="auto"/>
          </w:divBdr>
        </w:div>
        <w:div w:id="1872525783">
          <w:marLeft w:val="0"/>
          <w:marRight w:val="0"/>
          <w:marTop w:val="0"/>
          <w:marBottom w:val="0"/>
          <w:divBdr>
            <w:top w:val="none" w:sz="0" w:space="0" w:color="auto"/>
            <w:left w:val="none" w:sz="0" w:space="0" w:color="auto"/>
            <w:bottom w:val="none" w:sz="0" w:space="0" w:color="auto"/>
            <w:right w:val="none" w:sz="0" w:space="0" w:color="auto"/>
          </w:divBdr>
        </w:div>
        <w:div w:id="1589188964">
          <w:marLeft w:val="0"/>
          <w:marRight w:val="0"/>
          <w:marTop w:val="0"/>
          <w:marBottom w:val="0"/>
          <w:divBdr>
            <w:top w:val="none" w:sz="0" w:space="0" w:color="auto"/>
            <w:left w:val="none" w:sz="0" w:space="0" w:color="auto"/>
            <w:bottom w:val="none" w:sz="0" w:space="0" w:color="auto"/>
            <w:right w:val="none" w:sz="0" w:space="0" w:color="auto"/>
          </w:divBdr>
        </w:div>
        <w:div w:id="350448796">
          <w:marLeft w:val="0"/>
          <w:marRight w:val="0"/>
          <w:marTop w:val="0"/>
          <w:marBottom w:val="0"/>
          <w:divBdr>
            <w:top w:val="none" w:sz="0" w:space="0" w:color="auto"/>
            <w:left w:val="none" w:sz="0" w:space="0" w:color="auto"/>
            <w:bottom w:val="none" w:sz="0" w:space="0" w:color="auto"/>
            <w:right w:val="none" w:sz="0" w:space="0" w:color="auto"/>
          </w:divBdr>
        </w:div>
        <w:div w:id="1394692428">
          <w:marLeft w:val="0"/>
          <w:marRight w:val="0"/>
          <w:marTop w:val="0"/>
          <w:marBottom w:val="0"/>
          <w:divBdr>
            <w:top w:val="none" w:sz="0" w:space="0" w:color="auto"/>
            <w:left w:val="none" w:sz="0" w:space="0" w:color="auto"/>
            <w:bottom w:val="none" w:sz="0" w:space="0" w:color="auto"/>
            <w:right w:val="none" w:sz="0" w:space="0" w:color="auto"/>
          </w:divBdr>
        </w:div>
        <w:div w:id="1702169517">
          <w:marLeft w:val="0"/>
          <w:marRight w:val="0"/>
          <w:marTop w:val="0"/>
          <w:marBottom w:val="0"/>
          <w:divBdr>
            <w:top w:val="none" w:sz="0" w:space="0" w:color="auto"/>
            <w:left w:val="none" w:sz="0" w:space="0" w:color="auto"/>
            <w:bottom w:val="none" w:sz="0" w:space="0" w:color="auto"/>
            <w:right w:val="none" w:sz="0" w:space="0" w:color="auto"/>
          </w:divBdr>
        </w:div>
        <w:div w:id="43987907">
          <w:marLeft w:val="0"/>
          <w:marRight w:val="0"/>
          <w:marTop w:val="0"/>
          <w:marBottom w:val="0"/>
          <w:divBdr>
            <w:top w:val="none" w:sz="0" w:space="0" w:color="auto"/>
            <w:left w:val="none" w:sz="0" w:space="0" w:color="auto"/>
            <w:bottom w:val="none" w:sz="0" w:space="0" w:color="auto"/>
            <w:right w:val="none" w:sz="0" w:space="0" w:color="auto"/>
          </w:divBdr>
        </w:div>
        <w:div w:id="1338340883">
          <w:marLeft w:val="0"/>
          <w:marRight w:val="0"/>
          <w:marTop w:val="0"/>
          <w:marBottom w:val="0"/>
          <w:divBdr>
            <w:top w:val="none" w:sz="0" w:space="0" w:color="auto"/>
            <w:left w:val="none" w:sz="0" w:space="0" w:color="auto"/>
            <w:bottom w:val="none" w:sz="0" w:space="0" w:color="auto"/>
            <w:right w:val="none" w:sz="0" w:space="0" w:color="auto"/>
          </w:divBdr>
        </w:div>
        <w:div w:id="1655598560">
          <w:marLeft w:val="0"/>
          <w:marRight w:val="0"/>
          <w:marTop w:val="0"/>
          <w:marBottom w:val="0"/>
          <w:divBdr>
            <w:top w:val="none" w:sz="0" w:space="0" w:color="auto"/>
            <w:left w:val="none" w:sz="0" w:space="0" w:color="auto"/>
            <w:bottom w:val="none" w:sz="0" w:space="0" w:color="auto"/>
            <w:right w:val="none" w:sz="0" w:space="0" w:color="auto"/>
          </w:divBdr>
        </w:div>
        <w:div w:id="1460103039">
          <w:marLeft w:val="0"/>
          <w:marRight w:val="0"/>
          <w:marTop w:val="0"/>
          <w:marBottom w:val="0"/>
          <w:divBdr>
            <w:top w:val="none" w:sz="0" w:space="0" w:color="auto"/>
            <w:left w:val="none" w:sz="0" w:space="0" w:color="auto"/>
            <w:bottom w:val="none" w:sz="0" w:space="0" w:color="auto"/>
            <w:right w:val="none" w:sz="0" w:space="0" w:color="auto"/>
          </w:divBdr>
        </w:div>
        <w:div w:id="233320750">
          <w:marLeft w:val="0"/>
          <w:marRight w:val="0"/>
          <w:marTop w:val="0"/>
          <w:marBottom w:val="0"/>
          <w:divBdr>
            <w:top w:val="none" w:sz="0" w:space="0" w:color="auto"/>
            <w:left w:val="none" w:sz="0" w:space="0" w:color="auto"/>
            <w:bottom w:val="none" w:sz="0" w:space="0" w:color="auto"/>
            <w:right w:val="none" w:sz="0" w:space="0" w:color="auto"/>
          </w:divBdr>
        </w:div>
        <w:div w:id="1218084125">
          <w:marLeft w:val="0"/>
          <w:marRight w:val="0"/>
          <w:marTop w:val="0"/>
          <w:marBottom w:val="0"/>
          <w:divBdr>
            <w:top w:val="none" w:sz="0" w:space="0" w:color="auto"/>
            <w:left w:val="none" w:sz="0" w:space="0" w:color="auto"/>
            <w:bottom w:val="none" w:sz="0" w:space="0" w:color="auto"/>
            <w:right w:val="none" w:sz="0" w:space="0" w:color="auto"/>
          </w:divBdr>
        </w:div>
        <w:div w:id="22292818">
          <w:marLeft w:val="0"/>
          <w:marRight w:val="0"/>
          <w:marTop w:val="0"/>
          <w:marBottom w:val="0"/>
          <w:divBdr>
            <w:top w:val="none" w:sz="0" w:space="0" w:color="auto"/>
            <w:left w:val="none" w:sz="0" w:space="0" w:color="auto"/>
            <w:bottom w:val="none" w:sz="0" w:space="0" w:color="auto"/>
            <w:right w:val="none" w:sz="0" w:space="0" w:color="auto"/>
          </w:divBdr>
        </w:div>
        <w:div w:id="1446121322">
          <w:marLeft w:val="0"/>
          <w:marRight w:val="0"/>
          <w:marTop w:val="0"/>
          <w:marBottom w:val="0"/>
          <w:divBdr>
            <w:top w:val="none" w:sz="0" w:space="0" w:color="auto"/>
            <w:left w:val="none" w:sz="0" w:space="0" w:color="auto"/>
            <w:bottom w:val="none" w:sz="0" w:space="0" w:color="auto"/>
            <w:right w:val="none" w:sz="0" w:space="0" w:color="auto"/>
          </w:divBdr>
        </w:div>
        <w:div w:id="1578129960">
          <w:marLeft w:val="0"/>
          <w:marRight w:val="0"/>
          <w:marTop w:val="0"/>
          <w:marBottom w:val="0"/>
          <w:divBdr>
            <w:top w:val="none" w:sz="0" w:space="0" w:color="auto"/>
            <w:left w:val="none" w:sz="0" w:space="0" w:color="auto"/>
            <w:bottom w:val="none" w:sz="0" w:space="0" w:color="auto"/>
            <w:right w:val="none" w:sz="0" w:space="0" w:color="auto"/>
          </w:divBdr>
        </w:div>
        <w:div w:id="1142236623">
          <w:marLeft w:val="0"/>
          <w:marRight w:val="0"/>
          <w:marTop w:val="0"/>
          <w:marBottom w:val="0"/>
          <w:divBdr>
            <w:top w:val="none" w:sz="0" w:space="0" w:color="auto"/>
            <w:left w:val="none" w:sz="0" w:space="0" w:color="auto"/>
            <w:bottom w:val="none" w:sz="0" w:space="0" w:color="auto"/>
            <w:right w:val="none" w:sz="0" w:space="0" w:color="auto"/>
          </w:divBdr>
        </w:div>
        <w:div w:id="169411697">
          <w:marLeft w:val="0"/>
          <w:marRight w:val="0"/>
          <w:marTop w:val="0"/>
          <w:marBottom w:val="0"/>
          <w:divBdr>
            <w:top w:val="none" w:sz="0" w:space="0" w:color="auto"/>
            <w:left w:val="none" w:sz="0" w:space="0" w:color="auto"/>
            <w:bottom w:val="none" w:sz="0" w:space="0" w:color="auto"/>
            <w:right w:val="none" w:sz="0" w:space="0" w:color="auto"/>
          </w:divBdr>
        </w:div>
        <w:div w:id="1978146862">
          <w:marLeft w:val="0"/>
          <w:marRight w:val="0"/>
          <w:marTop w:val="0"/>
          <w:marBottom w:val="0"/>
          <w:divBdr>
            <w:top w:val="none" w:sz="0" w:space="0" w:color="auto"/>
            <w:left w:val="none" w:sz="0" w:space="0" w:color="auto"/>
            <w:bottom w:val="none" w:sz="0" w:space="0" w:color="auto"/>
            <w:right w:val="none" w:sz="0" w:space="0" w:color="auto"/>
          </w:divBdr>
        </w:div>
        <w:div w:id="454644114">
          <w:marLeft w:val="0"/>
          <w:marRight w:val="0"/>
          <w:marTop w:val="0"/>
          <w:marBottom w:val="0"/>
          <w:divBdr>
            <w:top w:val="none" w:sz="0" w:space="0" w:color="auto"/>
            <w:left w:val="none" w:sz="0" w:space="0" w:color="auto"/>
            <w:bottom w:val="none" w:sz="0" w:space="0" w:color="auto"/>
            <w:right w:val="none" w:sz="0" w:space="0" w:color="auto"/>
          </w:divBdr>
        </w:div>
        <w:div w:id="2008827998">
          <w:marLeft w:val="0"/>
          <w:marRight w:val="0"/>
          <w:marTop w:val="0"/>
          <w:marBottom w:val="0"/>
          <w:divBdr>
            <w:top w:val="none" w:sz="0" w:space="0" w:color="auto"/>
            <w:left w:val="none" w:sz="0" w:space="0" w:color="auto"/>
            <w:bottom w:val="none" w:sz="0" w:space="0" w:color="auto"/>
            <w:right w:val="none" w:sz="0" w:space="0" w:color="auto"/>
          </w:divBdr>
        </w:div>
        <w:div w:id="1629161216">
          <w:marLeft w:val="0"/>
          <w:marRight w:val="0"/>
          <w:marTop w:val="0"/>
          <w:marBottom w:val="0"/>
          <w:divBdr>
            <w:top w:val="none" w:sz="0" w:space="0" w:color="auto"/>
            <w:left w:val="none" w:sz="0" w:space="0" w:color="auto"/>
            <w:bottom w:val="none" w:sz="0" w:space="0" w:color="auto"/>
            <w:right w:val="none" w:sz="0" w:space="0" w:color="auto"/>
          </w:divBdr>
        </w:div>
        <w:div w:id="553005530">
          <w:marLeft w:val="0"/>
          <w:marRight w:val="0"/>
          <w:marTop w:val="0"/>
          <w:marBottom w:val="0"/>
          <w:divBdr>
            <w:top w:val="none" w:sz="0" w:space="0" w:color="auto"/>
            <w:left w:val="none" w:sz="0" w:space="0" w:color="auto"/>
            <w:bottom w:val="none" w:sz="0" w:space="0" w:color="auto"/>
            <w:right w:val="none" w:sz="0" w:space="0" w:color="auto"/>
          </w:divBdr>
        </w:div>
        <w:div w:id="2110270613">
          <w:marLeft w:val="0"/>
          <w:marRight w:val="0"/>
          <w:marTop w:val="0"/>
          <w:marBottom w:val="0"/>
          <w:divBdr>
            <w:top w:val="none" w:sz="0" w:space="0" w:color="auto"/>
            <w:left w:val="none" w:sz="0" w:space="0" w:color="auto"/>
            <w:bottom w:val="none" w:sz="0" w:space="0" w:color="auto"/>
            <w:right w:val="none" w:sz="0" w:space="0" w:color="auto"/>
          </w:divBdr>
        </w:div>
        <w:div w:id="1510633862">
          <w:marLeft w:val="0"/>
          <w:marRight w:val="0"/>
          <w:marTop w:val="0"/>
          <w:marBottom w:val="0"/>
          <w:divBdr>
            <w:top w:val="none" w:sz="0" w:space="0" w:color="auto"/>
            <w:left w:val="none" w:sz="0" w:space="0" w:color="auto"/>
            <w:bottom w:val="none" w:sz="0" w:space="0" w:color="auto"/>
            <w:right w:val="none" w:sz="0" w:space="0" w:color="auto"/>
          </w:divBdr>
        </w:div>
        <w:div w:id="1097941139">
          <w:marLeft w:val="0"/>
          <w:marRight w:val="0"/>
          <w:marTop w:val="0"/>
          <w:marBottom w:val="0"/>
          <w:divBdr>
            <w:top w:val="none" w:sz="0" w:space="0" w:color="auto"/>
            <w:left w:val="none" w:sz="0" w:space="0" w:color="auto"/>
            <w:bottom w:val="none" w:sz="0" w:space="0" w:color="auto"/>
            <w:right w:val="none" w:sz="0" w:space="0" w:color="auto"/>
          </w:divBdr>
        </w:div>
        <w:div w:id="1759054044">
          <w:marLeft w:val="0"/>
          <w:marRight w:val="0"/>
          <w:marTop w:val="0"/>
          <w:marBottom w:val="0"/>
          <w:divBdr>
            <w:top w:val="none" w:sz="0" w:space="0" w:color="auto"/>
            <w:left w:val="none" w:sz="0" w:space="0" w:color="auto"/>
            <w:bottom w:val="none" w:sz="0" w:space="0" w:color="auto"/>
            <w:right w:val="none" w:sz="0" w:space="0" w:color="auto"/>
          </w:divBdr>
        </w:div>
        <w:div w:id="2095198772">
          <w:marLeft w:val="0"/>
          <w:marRight w:val="0"/>
          <w:marTop w:val="0"/>
          <w:marBottom w:val="0"/>
          <w:divBdr>
            <w:top w:val="none" w:sz="0" w:space="0" w:color="auto"/>
            <w:left w:val="none" w:sz="0" w:space="0" w:color="auto"/>
            <w:bottom w:val="none" w:sz="0" w:space="0" w:color="auto"/>
            <w:right w:val="none" w:sz="0" w:space="0" w:color="auto"/>
          </w:divBdr>
        </w:div>
        <w:div w:id="73938732">
          <w:marLeft w:val="0"/>
          <w:marRight w:val="0"/>
          <w:marTop w:val="0"/>
          <w:marBottom w:val="0"/>
          <w:divBdr>
            <w:top w:val="none" w:sz="0" w:space="0" w:color="auto"/>
            <w:left w:val="none" w:sz="0" w:space="0" w:color="auto"/>
            <w:bottom w:val="none" w:sz="0" w:space="0" w:color="auto"/>
            <w:right w:val="none" w:sz="0" w:space="0" w:color="auto"/>
          </w:divBdr>
        </w:div>
        <w:div w:id="1030954101">
          <w:marLeft w:val="0"/>
          <w:marRight w:val="0"/>
          <w:marTop w:val="0"/>
          <w:marBottom w:val="0"/>
          <w:divBdr>
            <w:top w:val="none" w:sz="0" w:space="0" w:color="auto"/>
            <w:left w:val="none" w:sz="0" w:space="0" w:color="auto"/>
            <w:bottom w:val="none" w:sz="0" w:space="0" w:color="auto"/>
            <w:right w:val="none" w:sz="0" w:space="0" w:color="auto"/>
          </w:divBdr>
        </w:div>
        <w:div w:id="1365130827">
          <w:marLeft w:val="0"/>
          <w:marRight w:val="0"/>
          <w:marTop w:val="0"/>
          <w:marBottom w:val="0"/>
          <w:divBdr>
            <w:top w:val="none" w:sz="0" w:space="0" w:color="auto"/>
            <w:left w:val="none" w:sz="0" w:space="0" w:color="auto"/>
            <w:bottom w:val="none" w:sz="0" w:space="0" w:color="auto"/>
            <w:right w:val="none" w:sz="0" w:space="0" w:color="auto"/>
          </w:divBdr>
        </w:div>
        <w:div w:id="1296989429">
          <w:marLeft w:val="0"/>
          <w:marRight w:val="0"/>
          <w:marTop w:val="0"/>
          <w:marBottom w:val="0"/>
          <w:divBdr>
            <w:top w:val="none" w:sz="0" w:space="0" w:color="auto"/>
            <w:left w:val="none" w:sz="0" w:space="0" w:color="auto"/>
            <w:bottom w:val="none" w:sz="0" w:space="0" w:color="auto"/>
            <w:right w:val="none" w:sz="0" w:space="0" w:color="auto"/>
          </w:divBdr>
        </w:div>
        <w:div w:id="1672754787">
          <w:marLeft w:val="0"/>
          <w:marRight w:val="0"/>
          <w:marTop w:val="0"/>
          <w:marBottom w:val="0"/>
          <w:divBdr>
            <w:top w:val="none" w:sz="0" w:space="0" w:color="auto"/>
            <w:left w:val="none" w:sz="0" w:space="0" w:color="auto"/>
            <w:bottom w:val="none" w:sz="0" w:space="0" w:color="auto"/>
            <w:right w:val="none" w:sz="0" w:space="0" w:color="auto"/>
          </w:divBdr>
        </w:div>
        <w:div w:id="21370769">
          <w:marLeft w:val="0"/>
          <w:marRight w:val="0"/>
          <w:marTop w:val="0"/>
          <w:marBottom w:val="0"/>
          <w:divBdr>
            <w:top w:val="none" w:sz="0" w:space="0" w:color="auto"/>
            <w:left w:val="none" w:sz="0" w:space="0" w:color="auto"/>
            <w:bottom w:val="none" w:sz="0" w:space="0" w:color="auto"/>
            <w:right w:val="none" w:sz="0" w:space="0" w:color="auto"/>
          </w:divBdr>
        </w:div>
        <w:div w:id="821234459">
          <w:marLeft w:val="0"/>
          <w:marRight w:val="0"/>
          <w:marTop w:val="0"/>
          <w:marBottom w:val="0"/>
          <w:divBdr>
            <w:top w:val="none" w:sz="0" w:space="0" w:color="auto"/>
            <w:left w:val="none" w:sz="0" w:space="0" w:color="auto"/>
            <w:bottom w:val="none" w:sz="0" w:space="0" w:color="auto"/>
            <w:right w:val="none" w:sz="0" w:space="0" w:color="auto"/>
          </w:divBdr>
        </w:div>
        <w:div w:id="584530948">
          <w:marLeft w:val="0"/>
          <w:marRight w:val="0"/>
          <w:marTop w:val="0"/>
          <w:marBottom w:val="0"/>
          <w:divBdr>
            <w:top w:val="none" w:sz="0" w:space="0" w:color="auto"/>
            <w:left w:val="none" w:sz="0" w:space="0" w:color="auto"/>
            <w:bottom w:val="none" w:sz="0" w:space="0" w:color="auto"/>
            <w:right w:val="none" w:sz="0" w:space="0" w:color="auto"/>
          </w:divBdr>
        </w:div>
        <w:div w:id="1883201835">
          <w:marLeft w:val="0"/>
          <w:marRight w:val="0"/>
          <w:marTop w:val="0"/>
          <w:marBottom w:val="0"/>
          <w:divBdr>
            <w:top w:val="none" w:sz="0" w:space="0" w:color="auto"/>
            <w:left w:val="none" w:sz="0" w:space="0" w:color="auto"/>
            <w:bottom w:val="none" w:sz="0" w:space="0" w:color="auto"/>
            <w:right w:val="none" w:sz="0" w:space="0" w:color="auto"/>
          </w:divBdr>
        </w:div>
        <w:div w:id="1376269750">
          <w:marLeft w:val="0"/>
          <w:marRight w:val="0"/>
          <w:marTop w:val="0"/>
          <w:marBottom w:val="0"/>
          <w:divBdr>
            <w:top w:val="none" w:sz="0" w:space="0" w:color="auto"/>
            <w:left w:val="none" w:sz="0" w:space="0" w:color="auto"/>
            <w:bottom w:val="none" w:sz="0" w:space="0" w:color="auto"/>
            <w:right w:val="none" w:sz="0" w:space="0" w:color="auto"/>
          </w:divBdr>
        </w:div>
        <w:div w:id="666054510">
          <w:marLeft w:val="0"/>
          <w:marRight w:val="0"/>
          <w:marTop w:val="0"/>
          <w:marBottom w:val="0"/>
          <w:divBdr>
            <w:top w:val="none" w:sz="0" w:space="0" w:color="auto"/>
            <w:left w:val="none" w:sz="0" w:space="0" w:color="auto"/>
            <w:bottom w:val="none" w:sz="0" w:space="0" w:color="auto"/>
            <w:right w:val="none" w:sz="0" w:space="0" w:color="auto"/>
          </w:divBdr>
        </w:div>
        <w:div w:id="606930078">
          <w:marLeft w:val="0"/>
          <w:marRight w:val="0"/>
          <w:marTop w:val="0"/>
          <w:marBottom w:val="0"/>
          <w:divBdr>
            <w:top w:val="none" w:sz="0" w:space="0" w:color="auto"/>
            <w:left w:val="none" w:sz="0" w:space="0" w:color="auto"/>
            <w:bottom w:val="none" w:sz="0" w:space="0" w:color="auto"/>
            <w:right w:val="none" w:sz="0" w:space="0" w:color="auto"/>
          </w:divBdr>
        </w:div>
        <w:div w:id="502739720">
          <w:marLeft w:val="0"/>
          <w:marRight w:val="0"/>
          <w:marTop w:val="0"/>
          <w:marBottom w:val="0"/>
          <w:divBdr>
            <w:top w:val="none" w:sz="0" w:space="0" w:color="auto"/>
            <w:left w:val="none" w:sz="0" w:space="0" w:color="auto"/>
            <w:bottom w:val="none" w:sz="0" w:space="0" w:color="auto"/>
            <w:right w:val="none" w:sz="0" w:space="0" w:color="auto"/>
          </w:divBdr>
        </w:div>
        <w:div w:id="1119105689">
          <w:marLeft w:val="0"/>
          <w:marRight w:val="0"/>
          <w:marTop w:val="0"/>
          <w:marBottom w:val="0"/>
          <w:divBdr>
            <w:top w:val="none" w:sz="0" w:space="0" w:color="auto"/>
            <w:left w:val="none" w:sz="0" w:space="0" w:color="auto"/>
            <w:bottom w:val="none" w:sz="0" w:space="0" w:color="auto"/>
            <w:right w:val="none" w:sz="0" w:space="0" w:color="auto"/>
          </w:divBdr>
        </w:div>
        <w:div w:id="889535293">
          <w:marLeft w:val="0"/>
          <w:marRight w:val="0"/>
          <w:marTop w:val="0"/>
          <w:marBottom w:val="0"/>
          <w:divBdr>
            <w:top w:val="none" w:sz="0" w:space="0" w:color="auto"/>
            <w:left w:val="none" w:sz="0" w:space="0" w:color="auto"/>
            <w:bottom w:val="none" w:sz="0" w:space="0" w:color="auto"/>
            <w:right w:val="none" w:sz="0" w:space="0" w:color="auto"/>
          </w:divBdr>
        </w:div>
        <w:div w:id="690499177">
          <w:marLeft w:val="0"/>
          <w:marRight w:val="0"/>
          <w:marTop w:val="0"/>
          <w:marBottom w:val="0"/>
          <w:divBdr>
            <w:top w:val="none" w:sz="0" w:space="0" w:color="auto"/>
            <w:left w:val="none" w:sz="0" w:space="0" w:color="auto"/>
            <w:bottom w:val="none" w:sz="0" w:space="0" w:color="auto"/>
            <w:right w:val="none" w:sz="0" w:space="0" w:color="auto"/>
          </w:divBdr>
        </w:div>
        <w:div w:id="156382804">
          <w:marLeft w:val="0"/>
          <w:marRight w:val="0"/>
          <w:marTop w:val="0"/>
          <w:marBottom w:val="0"/>
          <w:divBdr>
            <w:top w:val="none" w:sz="0" w:space="0" w:color="auto"/>
            <w:left w:val="none" w:sz="0" w:space="0" w:color="auto"/>
            <w:bottom w:val="none" w:sz="0" w:space="0" w:color="auto"/>
            <w:right w:val="none" w:sz="0" w:space="0" w:color="auto"/>
          </w:divBdr>
        </w:div>
        <w:div w:id="1327395672">
          <w:marLeft w:val="0"/>
          <w:marRight w:val="0"/>
          <w:marTop w:val="0"/>
          <w:marBottom w:val="0"/>
          <w:divBdr>
            <w:top w:val="none" w:sz="0" w:space="0" w:color="auto"/>
            <w:left w:val="none" w:sz="0" w:space="0" w:color="auto"/>
            <w:bottom w:val="none" w:sz="0" w:space="0" w:color="auto"/>
            <w:right w:val="none" w:sz="0" w:space="0" w:color="auto"/>
          </w:divBdr>
        </w:div>
        <w:div w:id="865361902">
          <w:marLeft w:val="0"/>
          <w:marRight w:val="0"/>
          <w:marTop w:val="0"/>
          <w:marBottom w:val="0"/>
          <w:divBdr>
            <w:top w:val="none" w:sz="0" w:space="0" w:color="auto"/>
            <w:left w:val="none" w:sz="0" w:space="0" w:color="auto"/>
            <w:bottom w:val="none" w:sz="0" w:space="0" w:color="auto"/>
            <w:right w:val="none" w:sz="0" w:space="0" w:color="auto"/>
          </w:divBdr>
        </w:div>
        <w:div w:id="1288857218">
          <w:marLeft w:val="0"/>
          <w:marRight w:val="0"/>
          <w:marTop w:val="0"/>
          <w:marBottom w:val="0"/>
          <w:divBdr>
            <w:top w:val="none" w:sz="0" w:space="0" w:color="auto"/>
            <w:left w:val="none" w:sz="0" w:space="0" w:color="auto"/>
            <w:bottom w:val="none" w:sz="0" w:space="0" w:color="auto"/>
            <w:right w:val="none" w:sz="0" w:space="0" w:color="auto"/>
          </w:divBdr>
        </w:div>
        <w:div w:id="1080323843">
          <w:marLeft w:val="0"/>
          <w:marRight w:val="0"/>
          <w:marTop w:val="0"/>
          <w:marBottom w:val="0"/>
          <w:divBdr>
            <w:top w:val="none" w:sz="0" w:space="0" w:color="auto"/>
            <w:left w:val="none" w:sz="0" w:space="0" w:color="auto"/>
            <w:bottom w:val="none" w:sz="0" w:space="0" w:color="auto"/>
            <w:right w:val="none" w:sz="0" w:space="0" w:color="auto"/>
          </w:divBdr>
        </w:div>
        <w:div w:id="2071342819">
          <w:marLeft w:val="0"/>
          <w:marRight w:val="0"/>
          <w:marTop w:val="0"/>
          <w:marBottom w:val="0"/>
          <w:divBdr>
            <w:top w:val="none" w:sz="0" w:space="0" w:color="auto"/>
            <w:left w:val="none" w:sz="0" w:space="0" w:color="auto"/>
            <w:bottom w:val="none" w:sz="0" w:space="0" w:color="auto"/>
            <w:right w:val="none" w:sz="0" w:space="0" w:color="auto"/>
          </w:divBdr>
        </w:div>
        <w:div w:id="1629824559">
          <w:marLeft w:val="0"/>
          <w:marRight w:val="0"/>
          <w:marTop w:val="0"/>
          <w:marBottom w:val="0"/>
          <w:divBdr>
            <w:top w:val="none" w:sz="0" w:space="0" w:color="auto"/>
            <w:left w:val="none" w:sz="0" w:space="0" w:color="auto"/>
            <w:bottom w:val="none" w:sz="0" w:space="0" w:color="auto"/>
            <w:right w:val="none" w:sz="0" w:space="0" w:color="auto"/>
          </w:divBdr>
        </w:div>
        <w:div w:id="1835142844">
          <w:marLeft w:val="0"/>
          <w:marRight w:val="0"/>
          <w:marTop w:val="0"/>
          <w:marBottom w:val="0"/>
          <w:divBdr>
            <w:top w:val="none" w:sz="0" w:space="0" w:color="auto"/>
            <w:left w:val="none" w:sz="0" w:space="0" w:color="auto"/>
            <w:bottom w:val="none" w:sz="0" w:space="0" w:color="auto"/>
            <w:right w:val="none" w:sz="0" w:space="0" w:color="auto"/>
          </w:divBdr>
        </w:div>
        <w:div w:id="1561212576">
          <w:marLeft w:val="0"/>
          <w:marRight w:val="0"/>
          <w:marTop w:val="0"/>
          <w:marBottom w:val="0"/>
          <w:divBdr>
            <w:top w:val="none" w:sz="0" w:space="0" w:color="auto"/>
            <w:left w:val="none" w:sz="0" w:space="0" w:color="auto"/>
            <w:bottom w:val="none" w:sz="0" w:space="0" w:color="auto"/>
            <w:right w:val="none" w:sz="0" w:space="0" w:color="auto"/>
          </w:divBdr>
        </w:div>
        <w:div w:id="521434874">
          <w:marLeft w:val="0"/>
          <w:marRight w:val="0"/>
          <w:marTop w:val="0"/>
          <w:marBottom w:val="0"/>
          <w:divBdr>
            <w:top w:val="none" w:sz="0" w:space="0" w:color="auto"/>
            <w:left w:val="none" w:sz="0" w:space="0" w:color="auto"/>
            <w:bottom w:val="none" w:sz="0" w:space="0" w:color="auto"/>
            <w:right w:val="none" w:sz="0" w:space="0" w:color="auto"/>
          </w:divBdr>
        </w:div>
        <w:div w:id="21782798">
          <w:marLeft w:val="0"/>
          <w:marRight w:val="0"/>
          <w:marTop w:val="0"/>
          <w:marBottom w:val="0"/>
          <w:divBdr>
            <w:top w:val="none" w:sz="0" w:space="0" w:color="auto"/>
            <w:left w:val="none" w:sz="0" w:space="0" w:color="auto"/>
            <w:bottom w:val="none" w:sz="0" w:space="0" w:color="auto"/>
            <w:right w:val="none" w:sz="0" w:space="0" w:color="auto"/>
          </w:divBdr>
        </w:div>
        <w:div w:id="2030181484">
          <w:marLeft w:val="0"/>
          <w:marRight w:val="0"/>
          <w:marTop w:val="0"/>
          <w:marBottom w:val="0"/>
          <w:divBdr>
            <w:top w:val="none" w:sz="0" w:space="0" w:color="auto"/>
            <w:left w:val="none" w:sz="0" w:space="0" w:color="auto"/>
            <w:bottom w:val="none" w:sz="0" w:space="0" w:color="auto"/>
            <w:right w:val="none" w:sz="0" w:space="0" w:color="auto"/>
          </w:divBdr>
        </w:div>
        <w:div w:id="1687559925">
          <w:marLeft w:val="0"/>
          <w:marRight w:val="0"/>
          <w:marTop w:val="0"/>
          <w:marBottom w:val="0"/>
          <w:divBdr>
            <w:top w:val="none" w:sz="0" w:space="0" w:color="auto"/>
            <w:left w:val="none" w:sz="0" w:space="0" w:color="auto"/>
            <w:bottom w:val="none" w:sz="0" w:space="0" w:color="auto"/>
            <w:right w:val="none" w:sz="0" w:space="0" w:color="auto"/>
          </w:divBdr>
        </w:div>
        <w:div w:id="582954694">
          <w:marLeft w:val="0"/>
          <w:marRight w:val="0"/>
          <w:marTop w:val="0"/>
          <w:marBottom w:val="0"/>
          <w:divBdr>
            <w:top w:val="none" w:sz="0" w:space="0" w:color="auto"/>
            <w:left w:val="none" w:sz="0" w:space="0" w:color="auto"/>
            <w:bottom w:val="none" w:sz="0" w:space="0" w:color="auto"/>
            <w:right w:val="none" w:sz="0" w:space="0" w:color="auto"/>
          </w:divBdr>
        </w:div>
        <w:div w:id="98916144">
          <w:marLeft w:val="0"/>
          <w:marRight w:val="0"/>
          <w:marTop w:val="0"/>
          <w:marBottom w:val="0"/>
          <w:divBdr>
            <w:top w:val="none" w:sz="0" w:space="0" w:color="auto"/>
            <w:left w:val="none" w:sz="0" w:space="0" w:color="auto"/>
            <w:bottom w:val="none" w:sz="0" w:space="0" w:color="auto"/>
            <w:right w:val="none" w:sz="0" w:space="0" w:color="auto"/>
          </w:divBdr>
        </w:div>
        <w:div w:id="1719626146">
          <w:marLeft w:val="0"/>
          <w:marRight w:val="0"/>
          <w:marTop w:val="0"/>
          <w:marBottom w:val="0"/>
          <w:divBdr>
            <w:top w:val="none" w:sz="0" w:space="0" w:color="auto"/>
            <w:left w:val="none" w:sz="0" w:space="0" w:color="auto"/>
            <w:bottom w:val="none" w:sz="0" w:space="0" w:color="auto"/>
            <w:right w:val="none" w:sz="0" w:space="0" w:color="auto"/>
          </w:divBdr>
        </w:div>
        <w:div w:id="422189409">
          <w:marLeft w:val="0"/>
          <w:marRight w:val="0"/>
          <w:marTop w:val="0"/>
          <w:marBottom w:val="0"/>
          <w:divBdr>
            <w:top w:val="none" w:sz="0" w:space="0" w:color="auto"/>
            <w:left w:val="none" w:sz="0" w:space="0" w:color="auto"/>
            <w:bottom w:val="none" w:sz="0" w:space="0" w:color="auto"/>
            <w:right w:val="none" w:sz="0" w:space="0" w:color="auto"/>
          </w:divBdr>
        </w:div>
        <w:div w:id="949437966">
          <w:marLeft w:val="0"/>
          <w:marRight w:val="0"/>
          <w:marTop w:val="0"/>
          <w:marBottom w:val="0"/>
          <w:divBdr>
            <w:top w:val="none" w:sz="0" w:space="0" w:color="auto"/>
            <w:left w:val="none" w:sz="0" w:space="0" w:color="auto"/>
            <w:bottom w:val="none" w:sz="0" w:space="0" w:color="auto"/>
            <w:right w:val="none" w:sz="0" w:space="0" w:color="auto"/>
          </w:divBdr>
        </w:div>
        <w:div w:id="450322809">
          <w:marLeft w:val="0"/>
          <w:marRight w:val="0"/>
          <w:marTop w:val="0"/>
          <w:marBottom w:val="0"/>
          <w:divBdr>
            <w:top w:val="none" w:sz="0" w:space="0" w:color="auto"/>
            <w:left w:val="none" w:sz="0" w:space="0" w:color="auto"/>
            <w:bottom w:val="none" w:sz="0" w:space="0" w:color="auto"/>
            <w:right w:val="none" w:sz="0" w:space="0" w:color="auto"/>
          </w:divBdr>
        </w:div>
        <w:div w:id="380904439">
          <w:marLeft w:val="0"/>
          <w:marRight w:val="0"/>
          <w:marTop w:val="0"/>
          <w:marBottom w:val="0"/>
          <w:divBdr>
            <w:top w:val="none" w:sz="0" w:space="0" w:color="auto"/>
            <w:left w:val="none" w:sz="0" w:space="0" w:color="auto"/>
            <w:bottom w:val="none" w:sz="0" w:space="0" w:color="auto"/>
            <w:right w:val="none" w:sz="0" w:space="0" w:color="auto"/>
          </w:divBdr>
        </w:div>
        <w:div w:id="1222209132">
          <w:marLeft w:val="0"/>
          <w:marRight w:val="0"/>
          <w:marTop w:val="0"/>
          <w:marBottom w:val="0"/>
          <w:divBdr>
            <w:top w:val="none" w:sz="0" w:space="0" w:color="auto"/>
            <w:left w:val="none" w:sz="0" w:space="0" w:color="auto"/>
            <w:bottom w:val="none" w:sz="0" w:space="0" w:color="auto"/>
            <w:right w:val="none" w:sz="0" w:space="0" w:color="auto"/>
          </w:divBdr>
        </w:div>
        <w:div w:id="1335566459">
          <w:marLeft w:val="0"/>
          <w:marRight w:val="0"/>
          <w:marTop w:val="0"/>
          <w:marBottom w:val="0"/>
          <w:divBdr>
            <w:top w:val="none" w:sz="0" w:space="0" w:color="auto"/>
            <w:left w:val="none" w:sz="0" w:space="0" w:color="auto"/>
            <w:bottom w:val="none" w:sz="0" w:space="0" w:color="auto"/>
            <w:right w:val="none" w:sz="0" w:space="0" w:color="auto"/>
          </w:divBdr>
        </w:div>
        <w:div w:id="490566777">
          <w:marLeft w:val="0"/>
          <w:marRight w:val="0"/>
          <w:marTop w:val="0"/>
          <w:marBottom w:val="0"/>
          <w:divBdr>
            <w:top w:val="none" w:sz="0" w:space="0" w:color="auto"/>
            <w:left w:val="none" w:sz="0" w:space="0" w:color="auto"/>
            <w:bottom w:val="none" w:sz="0" w:space="0" w:color="auto"/>
            <w:right w:val="none" w:sz="0" w:space="0" w:color="auto"/>
          </w:divBdr>
        </w:div>
        <w:div w:id="2081445238">
          <w:marLeft w:val="0"/>
          <w:marRight w:val="0"/>
          <w:marTop w:val="0"/>
          <w:marBottom w:val="0"/>
          <w:divBdr>
            <w:top w:val="none" w:sz="0" w:space="0" w:color="auto"/>
            <w:left w:val="none" w:sz="0" w:space="0" w:color="auto"/>
            <w:bottom w:val="none" w:sz="0" w:space="0" w:color="auto"/>
            <w:right w:val="none" w:sz="0" w:space="0" w:color="auto"/>
          </w:divBdr>
        </w:div>
        <w:div w:id="1027676975">
          <w:marLeft w:val="0"/>
          <w:marRight w:val="0"/>
          <w:marTop w:val="0"/>
          <w:marBottom w:val="0"/>
          <w:divBdr>
            <w:top w:val="none" w:sz="0" w:space="0" w:color="auto"/>
            <w:left w:val="none" w:sz="0" w:space="0" w:color="auto"/>
            <w:bottom w:val="none" w:sz="0" w:space="0" w:color="auto"/>
            <w:right w:val="none" w:sz="0" w:space="0" w:color="auto"/>
          </w:divBdr>
        </w:div>
        <w:div w:id="1735078524">
          <w:marLeft w:val="0"/>
          <w:marRight w:val="0"/>
          <w:marTop w:val="0"/>
          <w:marBottom w:val="0"/>
          <w:divBdr>
            <w:top w:val="none" w:sz="0" w:space="0" w:color="auto"/>
            <w:left w:val="none" w:sz="0" w:space="0" w:color="auto"/>
            <w:bottom w:val="none" w:sz="0" w:space="0" w:color="auto"/>
            <w:right w:val="none" w:sz="0" w:space="0" w:color="auto"/>
          </w:divBdr>
        </w:div>
        <w:div w:id="1692025406">
          <w:marLeft w:val="0"/>
          <w:marRight w:val="0"/>
          <w:marTop w:val="0"/>
          <w:marBottom w:val="0"/>
          <w:divBdr>
            <w:top w:val="none" w:sz="0" w:space="0" w:color="auto"/>
            <w:left w:val="none" w:sz="0" w:space="0" w:color="auto"/>
            <w:bottom w:val="none" w:sz="0" w:space="0" w:color="auto"/>
            <w:right w:val="none" w:sz="0" w:space="0" w:color="auto"/>
          </w:divBdr>
        </w:div>
        <w:div w:id="1377119332">
          <w:marLeft w:val="0"/>
          <w:marRight w:val="0"/>
          <w:marTop w:val="0"/>
          <w:marBottom w:val="0"/>
          <w:divBdr>
            <w:top w:val="none" w:sz="0" w:space="0" w:color="auto"/>
            <w:left w:val="none" w:sz="0" w:space="0" w:color="auto"/>
            <w:bottom w:val="none" w:sz="0" w:space="0" w:color="auto"/>
            <w:right w:val="none" w:sz="0" w:space="0" w:color="auto"/>
          </w:divBdr>
        </w:div>
        <w:div w:id="282687984">
          <w:marLeft w:val="0"/>
          <w:marRight w:val="0"/>
          <w:marTop w:val="0"/>
          <w:marBottom w:val="0"/>
          <w:divBdr>
            <w:top w:val="none" w:sz="0" w:space="0" w:color="auto"/>
            <w:left w:val="none" w:sz="0" w:space="0" w:color="auto"/>
            <w:bottom w:val="none" w:sz="0" w:space="0" w:color="auto"/>
            <w:right w:val="none" w:sz="0" w:space="0" w:color="auto"/>
          </w:divBdr>
        </w:div>
        <w:div w:id="511066719">
          <w:marLeft w:val="0"/>
          <w:marRight w:val="0"/>
          <w:marTop w:val="0"/>
          <w:marBottom w:val="0"/>
          <w:divBdr>
            <w:top w:val="none" w:sz="0" w:space="0" w:color="auto"/>
            <w:left w:val="none" w:sz="0" w:space="0" w:color="auto"/>
            <w:bottom w:val="none" w:sz="0" w:space="0" w:color="auto"/>
            <w:right w:val="none" w:sz="0" w:space="0" w:color="auto"/>
          </w:divBdr>
        </w:div>
        <w:div w:id="1684165862">
          <w:marLeft w:val="0"/>
          <w:marRight w:val="0"/>
          <w:marTop w:val="0"/>
          <w:marBottom w:val="0"/>
          <w:divBdr>
            <w:top w:val="none" w:sz="0" w:space="0" w:color="auto"/>
            <w:left w:val="none" w:sz="0" w:space="0" w:color="auto"/>
            <w:bottom w:val="none" w:sz="0" w:space="0" w:color="auto"/>
            <w:right w:val="none" w:sz="0" w:space="0" w:color="auto"/>
          </w:divBdr>
        </w:div>
        <w:div w:id="509175163">
          <w:marLeft w:val="0"/>
          <w:marRight w:val="0"/>
          <w:marTop w:val="0"/>
          <w:marBottom w:val="0"/>
          <w:divBdr>
            <w:top w:val="none" w:sz="0" w:space="0" w:color="auto"/>
            <w:left w:val="none" w:sz="0" w:space="0" w:color="auto"/>
            <w:bottom w:val="none" w:sz="0" w:space="0" w:color="auto"/>
            <w:right w:val="none" w:sz="0" w:space="0" w:color="auto"/>
          </w:divBdr>
        </w:div>
        <w:div w:id="1423527158">
          <w:marLeft w:val="0"/>
          <w:marRight w:val="0"/>
          <w:marTop w:val="0"/>
          <w:marBottom w:val="0"/>
          <w:divBdr>
            <w:top w:val="none" w:sz="0" w:space="0" w:color="auto"/>
            <w:left w:val="none" w:sz="0" w:space="0" w:color="auto"/>
            <w:bottom w:val="none" w:sz="0" w:space="0" w:color="auto"/>
            <w:right w:val="none" w:sz="0" w:space="0" w:color="auto"/>
          </w:divBdr>
        </w:div>
        <w:div w:id="253130801">
          <w:marLeft w:val="0"/>
          <w:marRight w:val="0"/>
          <w:marTop w:val="0"/>
          <w:marBottom w:val="0"/>
          <w:divBdr>
            <w:top w:val="none" w:sz="0" w:space="0" w:color="auto"/>
            <w:left w:val="none" w:sz="0" w:space="0" w:color="auto"/>
            <w:bottom w:val="none" w:sz="0" w:space="0" w:color="auto"/>
            <w:right w:val="none" w:sz="0" w:space="0" w:color="auto"/>
          </w:divBdr>
        </w:div>
        <w:div w:id="614795114">
          <w:marLeft w:val="0"/>
          <w:marRight w:val="0"/>
          <w:marTop w:val="0"/>
          <w:marBottom w:val="0"/>
          <w:divBdr>
            <w:top w:val="none" w:sz="0" w:space="0" w:color="auto"/>
            <w:left w:val="none" w:sz="0" w:space="0" w:color="auto"/>
            <w:bottom w:val="none" w:sz="0" w:space="0" w:color="auto"/>
            <w:right w:val="none" w:sz="0" w:space="0" w:color="auto"/>
          </w:divBdr>
        </w:div>
        <w:div w:id="2104495472">
          <w:marLeft w:val="0"/>
          <w:marRight w:val="0"/>
          <w:marTop w:val="0"/>
          <w:marBottom w:val="0"/>
          <w:divBdr>
            <w:top w:val="none" w:sz="0" w:space="0" w:color="auto"/>
            <w:left w:val="none" w:sz="0" w:space="0" w:color="auto"/>
            <w:bottom w:val="none" w:sz="0" w:space="0" w:color="auto"/>
            <w:right w:val="none" w:sz="0" w:space="0" w:color="auto"/>
          </w:divBdr>
        </w:div>
        <w:div w:id="70737294">
          <w:marLeft w:val="0"/>
          <w:marRight w:val="0"/>
          <w:marTop w:val="0"/>
          <w:marBottom w:val="0"/>
          <w:divBdr>
            <w:top w:val="none" w:sz="0" w:space="0" w:color="auto"/>
            <w:left w:val="none" w:sz="0" w:space="0" w:color="auto"/>
            <w:bottom w:val="none" w:sz="0" w:space="0" w:color="auto"/>
            <w:right w:val="none" w:sz="0" w:space="0" w:color="auto"/>
          </w:divBdr>
        </w:div>
        <w:div w:id="840269155">
          <w:marLeft w:val="0"/>
          <w:marRight w:val="0"/>
          <w:marTop w:val="0"/>
          <w:marBottom w:val="0"/>
          <w:divBdr>
            <w:top w:val="none" w:sz="0" w:space="0" w:color="auto"/>
            <w:left w:val="none" w:sz="0" w:space="0" w:color="auto"/>
            <w:bottom w:val="none" w:sz="0" w:space="0" w:color="auto"/>
            <w:right w:val="none" w:sz="0" w:space="0" w:color="auto"/>
          </w:divBdr>
        </w:div>
        <w:div w:id="1593127064">
          <w:marLeft w:val="0"/>
          <w:marRight w:val="0"/>
          <w:marTop w:val="0"/>
          <w:marBottom w:val="0"/>
          <w:divBdr>
            <w:top w:val="none" w:sz="0" w:space="0" w:color="auto"/>
            <w:left w:val="none" w:sz="0" w:space="0" w:color="auto"/>
            <w:bottom w:val="none" w:sz="0" w:space="0" w:color="auto"/>
            <w:right w:val="none" w:sz="0" w:space="0" w:color="auto"/>
          </w:divBdr>
        </w:div>
        <w:div w:id="1177765013">
          <w:marLeft w:val="0"/>
          <w:marRight w:val="0"/>
          <w:marTop w:val="0"/>
          <w:marBottom w:val="0"/>
          <w:divBdr>
            <w:top w:val="none" w:sz="0" w:space="0" w:color="auto"/>
            <w:left w:val="none" w:sz="0" w:space="0" w:color="auto"/>
            <w:bottom w:val="none" w:sz="0" w:space="0" w:color="auto"/>
            <w:right w:val="none" w:sz="0" w:space="0" w:color="auto"/>
          </w:divBdr>
        </w:div>
        <w:div w:id="608507524">
          <w:marLeft w:val="0"/>
          <w:marRight w:val="0"/>
          <w:marTop w:val="0"/>
          <w:marBottom w:val="0"/>
          <w:divBdr>
            <w:top w:val="none" w:sz="0" w:space="0" w:color="auto"/>
            <w:left w:val="none" w:sz="0" w:space="0" w:color="auto"/>
            <w:bottom w:val="none" w:sz="0" w:space="0" w:color="auto"/>
            <w:right w:val="none" w:sz="0" w:space="0" w:color="auto"/>
          </w:divBdr>
        </w:div>
        <w:div w:id="1110901693">
          <w:marLeft w:val="0"/>
          <w:marRight w:val="0"/>
          <w:marTop w:val="0"/>
          <w:marBottom w:val="0"/>
          <w:divBdr>
            <w:top w:val="none" w:sz="0" w:space="0" w:color="auto"/>
            <w:left w:val="none" w:sz="0" w:space="0" w:color="auto"/>
            <w:bottom w:val="none" w:sz="0" w:space="0" w:color="auto"/>
            <w:right w:val="none" w:sz="0" w:space="0" w:color="auto"/>
          </w:divBdr>
        </w:div>
        <w:div w:id="1802765566">
          <w:marLeft w:val="0"/>
          <w:marRight w:val="0"/>
          <w:marTop w:val="0"/>
          <w:marBottom w:val="0"/>
          <w:divBdr>
            <w:top w:val="none" w:sz="0" w:space="0" w:color="auto"/>
            <w:left w:val="none" w:sz="0" w:space="0" w:color="auto"/>
            <w:bottom w:val="none" w:sz="0" w:space="0" w:color="auto"/>
            <w:right w:val="none" w:sz="0" w:space="0" w:color="auto"/>
          </w:divBdr>
        </w:div>
        <w:div w:id="163791266">
          <w:marLeft w:val="0"/>
          <w:marRight w:val="0"/>
          <w:marTop w:val="0"/>
          <w:marBottom w:val="0"/>
          <w:divBdr>
            <w:top w:val="none" w:sz="0" w:space="0" w:color="auto"/>
            <w:left w:val="none" w:sz="0" w:space="0" w:color="auto"/>
            <w:bottom w:val="none" w:sz="0" w:space="0" w:color="auto"/>
            <w:right w:val="none" w:sz="0" w:space="0" w:color="auto"/>
          </w:divBdr>
        </w:div>
        <w:div w:id="157889667">
          <w:marLeft w:val="0"/>
          <w:marRight w:val="0"/>
          <w:marTop w:val="0"/>
          <w:marBottom w:val="0"/>
          <w:divBdr>
            <w:top w:val="none" w:sz="0" w:space="0" w:color="auto"/>
            <w:left w:val="none" w:sz="0" w:space="0" w:color="auto"/>
            <w:bottom w:val="none" w:sz="0" w:space="0" w:color="auto"/>
            <w:right w:val="none" w:sz="0" w:space="0" w:color="auto"/>
          </w:divBdr>
        </w:div>
        <w:div w:id="767314354">
          <w:marLeft w:val="0"/>
          <w:marRight w:val="0"/>
          <w:marTop w:val="0"/>
          <w:marBottom w:val="0"/>
          <w:divBdr>
            <w:top w:val="none" w:sz="0" w:space="0" w:color="auto"/>
            <w:left w:val="none" w:sz="0" w:space="0" w:color="auto"/>
            <w:bottom w:val="none" w:sz="0" w:space="0" w:color="auto"/>
            <w:right w:val="none" w:sz="0" w:space="0" w:color="auto"/>
          </w:divBdr>
        </w:div>
        <w:div w:id="1104492847">
          <w:marLeft w:val="0"/>
          <w:marRight w:val="0"/>
          <w:marTop w:val="0"/>
          <w:marBottom w:val="0"/>
          <w:divBdr>
            <w:top w:val="none" w:sz="0" w:space="0" w:color="auto"/>
            <w:left w:val="none" w:sz="0" w:space="0" w:color="auto"/>
            <w:bottom w:val="none" w:sz="0" w:space="0" w:color="auto"/>
            <w:right w:val="none" w:sz="0" w:space="0" w:color="auto"/>
          </w:divBdr>
        </w:div>
        <w:div w:id="1211576774">
          <w:marLeft w:val="0"/>
          <w:marRight w:val="0"/>
          <w:marTop w:val="0"/>
          <w:marBottom w:val="0"/>
          <w:divBdr>
            <w:top w:val="none" w:sz="0" w:space="0" w:color="auto"/>
            <w:left w:val="none" w:sz="0" w:space="0" w:color="auto"/>
            <w:bottom w:val="none" w:sz="0" w:space="0" w:color="auto"/>
            <w:right w:val="none" w:sz="0" w:space="0" w:color="auto"/>
          </w:divBdr>
        </w:div>
        <w:div w:id="311562961">
          <w:marLeft w:val="0"/>
          <w:marRight w:val="0"/>
          <w:marTop w:val="0"/>
          <w:marBottom w:val="0"/>
          <w:divBdr>
            <w:top w:val="none" w:sz="0" w:space="0" w:color="auto"/>
            <w:left w:val="none" w:sz="0" w:space="0" w:color="auto"/>
            <w:bottom w:val="none" w:sz="0" w:space="0" w:color="auto"/>
            <w:right w:val="none" w:sz="0" w:space="0" w:color="auto"/>
          </w:divBdr>
        </w:div>
        <w:div w:id="1915384647">
          <w:marLeft w:val="0"/>
          <w:marRight w:val="0"/>
          <w:marTop w:val="0"/>
          <w:marBottom w:val="0"/>
          <w:divBdr>
            <w:top w:val="none" w:sz="0" w:space="0" w:color="auto"/>
            <w:left w:val="none" w:sz="0" w:space="0" w:color="auto"/>
            <w:bottom w:val="none" w:sz="0" w:space="0" w:color="auto"/>
            <w:right w:val="none" w:sz="0" w:space="0" w:color="auto"/>
          </w:divBdr>
        </w:div>
        <w:div w:id="76024526">
          <w:marLeft w:val="0"/>
          <w:marRight w:val="0"/>
          <w:marTop w:val="0"/>
          <w:marBottom w:val="0"/>
          <w:divBdr>
            <w:top w:val="none" w:sz="0" w:space="0" w:color="auto"/>
            <w:left w:val="none" w:sz="0" w:space="0" w:color="auto"/>
            <w:bottom w:val="none" w:sz="0" w:space="0" w:color="auto"/>
            <w:right w:val="none" w:sz="0" w:space="0" w:color="auto"/>
          </w:divBdr>
        </w:div>
        <w:div w:id="218320530">
          <w:marLeft w:val="0"/>
          <w:marRight w:val="0"/>
          <w:marTop w:val="0"/>
          <w:marBottom w:val="0"/>
          <w:divBdr>
            <w:top w:val="none" w:sz="0" w:space="0" w:color="auto"/>
            <w:left w:val="none" w:sz="0" w:space="0" w:color="auto"/>
            <w:bottom w:val="none" w:sz="0" w:space="0" w:color="auto"/>
            <w:right w:val="none" w:sz="0" w:space="0" w:color="auto"/>
          </w:divBdr>
        </w:div>
        <w:div w:id="1534071632">
          <w:marLeft w:val="0"/>
          <w:marRight w:val="0"/>
          <w:marTop w:val="0"/>
          <w:marBottom w:val="0"/>
          <w:divBdr>
            <w:top w:val="none" w:sz="0" w:space="0" w:color="auto"/>
            <w:left w:val="none" w:sz="0" w:space="0" w:color="auto"/>
            <w:bottom w:val="none" w:sz="0" w:space="0" w:color="auto"/>
            <w:right w:val="none" w:sz="0" w:space="0" w:color="auto"/>
          </w:divBdr>
        </w:div>
        <w:div w:id="2110351857">
          <w:marLeft w:val="0"/>
          <w:marRight w:val="0"/>
          <w:marTop w:val="0"/>
          <w:marBottom w:val="0"/>
          <w:divBdr>
            <w:top w:val="none" w:sz="0" w:space="0" w:color="auto"/>
            <w:left w:val="none" w:sz="0" w:space="0" w:color="auto"/>
            <w:bottom w:val="none" w:sz="0" w:space="0" w:color="auto"/>
            <w:right w:val="none" w:sz="0" w:space="0" w:color="auto"/>
          </w:divBdr>
        </w:div>
        <w:div w:id="1658923981">
          <w:marLeft w:val="0"/>
          <w:marRight w:val="0"/>
          <w:marTop w:val="0"/>
          <w:marBottom w:val="0"/>
          <w:divBdr>
            <w:top w:val="none" w:sz="0" w:space="0" w:color="auto"/>
            <w:left w:val="none" w:sz="0" w:space="0" w:color="auto"/>
            <w:bottom w:val="none" w:sz="0" w:space="0" w:color="auto"/>
            <w:right w:val="none" w:sz="0" w:space="0" w:color="auto"/>
          </w:divBdr>
        </w:div>
        <w:div w:id="1572697527">
          <w:marLeft w:val="0"/>
          <w:marRight w:val="0"/>
          <w:marTop w:val="0"/>
          <w:marBottom w:val="0"/>
          <w:divBdr>
            <w:top w:val="none" w:sz="0" w:space="0" w:color="auto"/>
            <w:left w:val="none" w:sz="0" w:space="0" w:color="auto"/>
            <w:bottom w:val="none" w:sz="0" w:space="0" w:color="auto"/>
            <w:right w:val="none" w:sz="0" w:space="0" w:color="auto"/>
          </w:divBdr>
        </w:div>
        <w:div w:id="174853096">
          <w:marLeft w:val="0"/>
          <w:marRight w:val="0"/>
          <w:marTop w:val="0"/>
          <w:marBottom w:val="0"/>
          <w:divBdr>
            <w:top w:val="none" w:sz="0" w:space="0" w:color="auto"/>
            <w:left w:val="none" w:sz="0" w:space="0" w:color="auto"/>
            <w:bottom w:val="none" w:sz="0" w:space="0" w:color="auto"/>
            <w:right w:val="none" w:sz="0" w:space="0" w:color="auto"/>
          </w:divBdr>
        </w:div>
        <w:div w:id="1459495752">
          <w:marLeft w:val="0"/>
          <w:marRight w:val="0"/>
          <w:marTop w:val="0"/>
          <w:marBottom w:val="0"/>
          <w:divBdr>
            <w:top w:val="none" w:sz="0" w:space="0" w:color="auto"/>
            <w:left w:val="none" w:sz="0" w:space="0" w:color="auto"/>
            <w:bottom w:val="none" w:sz="0" w:space="0" w:color="auto"/>
            <w:right w:val="none" w:sz="0" w:space="0" w:color="auto"/>
          </w:divBdr>
        </w:div>
        <w:div w:id="650523513">
          <w:marLeft w:val="0"/>
          <w:marRight w:val="0"/>
          <w:marTop w:val="0"/>
          <w:marBottom w:val="0"/>
          <w:divBdr>
            <w:top w:val="none" w:sz="0" w:space="0" w:color="auto"/>
            <w:left w:val="none" w:sz="0" w:space="0" w:color="auto"/>
            <w:bottom w:val="none" w:sz="0" w:space="0" w:color="auto"/>
            <w:right w:val="none" w:sz="0" w:space="0" w:color="auto"/>
          </w:divBdr>
        </w:div>
        <w:div w:id="1333142128">
          <w:marLeft w:val="0"/>
          <w:marRight w:val="0"/>
          <w:marTop w:val="0"/>
          <w:marBottom w:val="0"/>
          <w:divBdr>
            <w:top w:val="none" w:sz="0" w:space="0" w:color="auto"/>
            <w:left w:val="none" w:sz="0" w:space="0" w:color="auto"/>
            <w:bottom w:val="none" w:sz="0" w:space="0" w:color="auto"/>
            <w:right w:val="none" w:sz="0" w:space="0" w:color="auto"/>
          </w:divBdr>
        </w:div>
        <w:div w:id="991718896">
          <w:marLeft w:val="0"/>
          <w:marRight w:val="0"/>
          <w:marTop w:val="0"/>
          <w:marBottom w:val="0"/>
          <w:divBdr>
            <w:top w:val="none" w:sz="0" w:space="0" w:color="auto"/>
            <w:left w:val="none" w:sz="0" w:space="0" w:color="auto"/>
            <w:bottom w:val="none" w:sz="0" w:space="0" w:color="auto"/>
            <w:right w:val="none" w:sz="0" w:space="0" w:color="auto"/>
          </w:divBdr>
        </w:div>
        <w:div w:id="948046835">
          <w:marLeft w:val="0"/>
          <w:marRight w:val="0"/>
          <w:marTop w:val="0"/>
          <w:marBottom w:val="0"/>
          <w:divBdr>
            <w:top w:val="none" w:sz="0" w:space="0" w:color="auto"/>
            <w:left w:val="none" w:sz="0" w:space="0" w:color="auto"/>
            <w:bottom w:val="none" w:sz="0" w:space="0" w:color="auto"/>
            <w:right w:val="none" w:sz="0" w:space="0" w:color="auto"/>
          </w:divBdr>
        </w:div>
        <w:div w:id="1703170289">
          <w:marLeft w:val="0"/>
          <w:marRight w:val="0"/>
          <w:marTop w:val="0"/>
          <w:marBottom w:val="0"/>
          <w:divBdr>
            <w:top w:val="none" w:sz="0" w:space="0" w:color="auto"/>
            <w:left w:val="none" w:sz="0" w:space="0" w:color="auto"/>
            <w:bottom w:val="none" w:sz="0" w:space="0" w:color="auto"/>
            <w:right w:val="none" w:sz="0" w:space="0" w:color="auto"/>
          </w:divBdr>
        </w:div>
        <w:div w:id="1473674627">
          <w:marLeft w:val="0"/>
          <w:marRight w:val="0"/>
          <w:marTop w:val="0"/>
          <w:marBottom w:val="0"/>
          <w:divBdr>
            <w:top w:val="none" w:sz="0" w:space="0" w:color="auto"/>
            <w:left w:val="none" w:sz="0" w:space="0" w:color="auto"/>
            <w:bottom w:val="none" w:sz="0" w:space="0" w:color="auto"/>
            <w:right w:val="none" w:sz="0" w:space="0" w:color="auto"/>
          </w:divBdr>
        </w:div>
        <w:div w:id="914165754">
          <w:marLeft w:val="0"/>
          <w:marRight w:val="0"/>
          <w:marTop w:val="0"/>
          <w:marBottom w:val="0"/>
          <w:divBdr>
            <w:top w:val="none" w:sz="0" w:space="0" w:color="auto"/>
            <w:left w:val="none" w:sz="0" w:space="0" w:color="auto"/>
            <w:bottom w:val="none" w:sz="0" w:space="0" w:color="auto"/>
            <w:right w:val="none" w:sz="0" w:space="0" w:color="auto"/>
          </w:divBdr>
        </w:div>
        <w:div w:id="1928071553">
          <w:marLeft w:val="0"/>
          <w:marRight w:val="0"/>
          <w:marTop w:val="0"/>
          <w:marBottom w:val="0"/>
          <w:divBdr>
            <w:top w:val="none" w:sz="0" w:space="0" w:color="auto"/>
            <w:left w:val="none" w:sz="0" w:space="0" w:color="auto"/>
            <w:bottom w:val="none" w:sz="0" w:space="0" w:color="auto"/>
            <w:right w:val="none" w:sz="0" w:space="0" w:color="auto"/>
          </w:divBdr>
        </w:div>
        <w:div w:id="851917216">
          <w:marLeft w:val="0"/>
          <w:marRight w:val="0"/>
          <w:marTop w:val="0"/>
          <w:marBottom w:val="0"/>
          <w:divBdr>
            <w:top w:val="none" w:sz="0" w:space="0" w:color="auto"/>
            <w:left w:val="none" w:sz="0" w:space="0" w:color="auto"/>
            <w:bottom w:val="none" w:sz="0" w:space="0" w:color="auto"/>
            <w:right w:val="none" w:sz="0" w:space="0" w:color="auto"/>
          </w:divBdr>
        </w:div>
        <w:div w:id="1205825046">
          <w:marLeft w:val="0"/>
          <w:marRight w:val="0"/>
          <w:marTop w:val="0"/>
          <w:marBottom w:val="0"/>
          <w:divBdr>
            <w:top w:val="none" w:sz="0" w:space="0" w:color="auto"/>
            <w:left w:val="none" w:sz="0" w:space="0" w:color="auto"/>
            <w:bottom w:val="none" w:sz="0" w:space="0" w:color="auto"/>
            <w:right w:val="none" w:sz="0" w:space="0" w:color="auto"/>
          </w:divBdr>
        </w:div>
        <w:div w:id="1653829631">
          <w:marLeft w:val="0"/>
          <w:marRight w:val="0"/>
          <w:marTop w:val="0"/>
          <w:marBottom w:val="0"/>
          <w:divBdr>
            <w:top w:val="none" w:sz="0" w:space="0" w:color="auto"/>
            <w:left w:val="none" w:sz="0" w:space="0" w:color="auto"/>
            <w:bottom w:val="none" w:sz="0" w:space="0" w:color="auto"/>
            <w:right w:val="none" w:sz="0" w:space="0" w:color="auto"/>
          </w:divBdr>
        </w:div>
        <w:div w:id="959649874">
          <w:marLeft w:val="0"/>
          <w:marRight w:val="0"/>
          <w:marTop w:val="0"/>
          <w:marBottom w:val="0"/>
          <w:divBdr>
            <w:top w:val="none" w:sz="0" w:space="0" w:color="auto"/>
            <w:left w:val="none" w:sz="0" w:space="0" w:color="auto"/>
            <w:bottom w:val="none" w:sz="0" w:space="0" w:color="auto"/>
            <w:right w:val="none" w:sz="0" w:space="0" w:color="auto"/>
          </w:divBdr>
        </w:div>
        <w:div w:id="598608288">
          <w:marLeft w:val="0"/>
          <w:marRight w:val="0"/>
          <w:marTop w:val="0"/>
          <w:marBottom w:val="0"/>
          <w:divBdr>
            <w:top w:val="none" w:sz="0" w:space="0" w:color="auto"/>
            <w:left w:val="none" w:sz="0" w:space="0" w:color="auto"/>
            <w:bottom w:val="none" w:sz="0" w:space="0" w:color="auto"/>
            <w:right w:val="none" w:sz="0" w:space="0" w:color="auto"/>
          </w:divBdr>
        </w:div>
        <w:div w:id="1438284098">
          <w:marLeft w:val="0"/>
          <w:marRight w:val="0"/>
          <w:marTop w:val="0"/>
          <w:marBottom w:val="0"/>
          <w:divBdr>
            <w:top w:val="none" w:sz="0" w:space="0" w:color="auto"/>
            <w:left w:val="none" w:sz="0" w:space="0" w:color="auto"/>
            <w:bottom w:val="none" w:sz="0" w:space="0" w:color="auto"/>
            <w:right w:val="none" w:sz="0" w:space="0" w:color="auto"/>
          </w:divBdr>
        </w:div>
        <w:div w:id="1987199822">
          <w:marLeft w:val="0"/>
          <w:marRight w:val="0"/>
          <w:marTop w:val="0"/>
          <w:marBottom w:val="0"/>
          <w:divBdr>
            <w:top w:val="none" w:sz="0" w:space="0" w:color="auto"/>
            <w:left w:val="none" w:sz="0" w:space="0" w:color="auto"/>
            <w:bottom w:val="none" w:sz="0" w:space="0" w:color="auto"/>
            <w:right w:val="none" w:sz="0" w:space="0" w:color="auto"/>
          </w:divBdr>
        </w:div>
        <w:div w:id="878977611">
          <w:marLeft w:val="0"/>
          <w:marRight w:val="0"/>
          <w:marTop w:val="0"/>
          <w:marBottom w:val="0"/>
          <w:divBdr>
            <w:top w:val="none" w:sz="0" w:space="0" w:color="auto"/>
            <w:left w:val="none" w:sz="0" w:space="0" w:color="auto"/>
            <w:bottom w:val="none" w:sz="0" w:space="0" w:color="auto"/>
            <w:right w:val="none" w:sz="0" w:space="0" w:color="auto"/>
          </w:divBdr>
        </w:div>
        <w:div w:id="843594315">
          <w:marLeft w:val="0"/>
          <w:marRight w:val="0"/>
          <w:marTop w:val="0"/>
          <w:marBottom w:val="0"/>
          <w:divBdr>
            <w:top w:val="none" w:sz="0" w:space="0" w:color="auto"/>
            <w:left w:val="none" w:sz="0" w:space="0" w:color="auto"/>
            <w:bottom w:val="none" w:sz="0" w:space="0" w:color="auto"/>
            <w:right w:val="none" w:sz="0" w:space="0" w:color="auto"/>
          </w:divBdr>
        </w:div>
        <w:div w:id="1511989702">
          <w:marLeft w:val="0"/>
          <w:marRight w:val="0"/>
          <w:marTop w:val="0"/>
          <w:marBottom w:val="0"/>
          <w:divBdr>
            <w:top w:val="none" w:sz="0" w:space="0" w:color="auto"/>
            <w:left w:val="none" w:sz="0" w:space="0" w:color="auto"/>
            <w:bottom w:val="none" w:sz="0" w:space="0" w:color="auto"/>
            <w:right w:val="none" w:sz="0" w:space="0" w:color="auto"/>
          </w:divBdr>
        </w:div>
        <w:div w:id="866483644">
          <w:marLeft w:val="0"/>
          <w:marRight w:val="0"/>
          <w:marTop w:val="0"/>
          <w:marBottom w:val="0"/>
          <w:divBdr>
            <w:top w:val="none" w:sz="0" w:space="0" w:color="auto"/>
            <w:left w:val="none" w:sz="0" w:space="0" w:color="auto"/>
            <w:bottom w:val="none" w:sz="0" w:space="0" w:color="auto"/>
            <w:right w:val="none" w:sz="0" w:space="0" w:color="auto"/>
          </w:divBdr>
        </w:div>
        <w:div w:id="1266158131">
          <w:marLeft w:val="0"/>
          <w:marRight w:val="0"/>
          <w:marTop w:val="0"/>
          <w:marBottom w:val="0"/>
          <w:divBdr>
            <w:top w:val="none" w:sz="0" w:space="0" w:color="auto"/>
            <w:left w:val="none" w:sz="0" w:space="0" w:color="auto"/>
            <w:bottom w:val="none" w:sz="0" w:space="0" w:color="auto"/>
            <w:right w:val="none" w:sz="0" w:space="0" w:color="auto"/>
          </w:divBdr>
        </w:div>
        <w:div w:id="1581209398">
          <w:marLeft w:val="0"/>
          <w:marRight w:val="0"/>
          <w:marTop w:val="0"/>
          <w:marBottom w:val="0"/>
          <w:divBdr>
            <w:top w:val="none" w:sz="0" w:space="0" w:color="auto"/>
            <w:left w:val="none" w:sz="0" w:space="0" w:color="auto"/>
            <w:bottom w:val="none" w:sz="0" w:space="0" w:color="auto"/>
            <w:right w:val="none" w:sz="0" w:space="0" w:color="auto"/>
          </w:divBdr>
        </w:div>
        <w:div w:id="1679388075">
          <w:marLeft w:val="0"/>
          <w:marRight w:val="0"/>
          <w:marTop w:val="0"/>
          <w:marBottom w:val="0"/>
          <w:divBdr>
            <w:top w:val="none" w:sz="0" w:space="0" w:color="auto"/>
            <w:left w:val="none" w:sz="0" w:space="0" w:color="auto"/>
            <w:bottom w:val="none" w:sz="0" w:space="0" w:color="auto"/>
            <w:right w:val="none" w:sz="0" w:space="0" w:color="auto"/>
          </w:divBdr>
        </w:div>
        <w:div w:id="1549994562">
          <w:marLeft w:val="0"/>
          <w:marRight w:val="0"/>
          <w:marTop w:val="0"/>
          <w:marBottom w:val="0"/>
          <w:divBdr>
            <w:top w:val="none" w:sz="0" w:space="0" w:color="auto"/>
            <w:left w:val="none" w:sz="0" w:space="0" w:color="auto"/>
            <w:bottom w:val="none" w:sz="0" w:space="0" w:color="auto"/>
            <w:right w:val="none" w:sz="0" w:space="0" w:color="auto"/>
          </w:divBdr>
        </w:div>
        <w:div w:id="350882342">
          <w:marLeft w:val="0"/>
          <w:marRight w:val="0"/>
          <w:marTop w:val="0"/>
          <w:marBottom w:val="0"/>
          <w:divBdr>
            <w:top w:val="none" w:sz="0" w:space="0" w:color="auto"/>
            <w:left w:val="none" w:sz="0" w:space="0" w:color="auto"/>
            <w:bottom w:val="none" w:sz="0" w:space="0" w:color="auto"/>
            <w:right w:val="none" w:sz="0" w:space="0" w:color="auto"/>
          </w:divBdr>
        </w:div>
        <w:div w:id="1457916629">
          <w:marLeft w:val="0"/>
          <w:marRight w:val="0"/>
          <w:marTop w:val="0"/>
          <w:marBottom w:val="0"/>
          <w:divBdr>
            <w:top w:val="none" w:sz="0" w:space="0" w:color="auto"/>
            <w:left w:val="none" w:sz="0" w:space="0" w:color="auto"/>
            <w:bottom w:val="none" w:sz="0" w:space="0" w:color="auto"/>
            <w:right w:val="none" w:sz="0" w:space="0" w:color="auto"/>
          </w:divBdr>
        </w:div>
        <w:div w:id="612322904">
          <w:marLeft w:val="0"/>
          <w:marRight w:val="0"/>
          <w:marTop w:val="0"/>
          <w:marBottom w:val="0"/>
          <w:divBdr>
            <w:top w:val="none" w:sz="0" w:space="0" w:color="auto"/>
            <w:left w:val="none" w:sz="0" w:space="0" w:color="auto"/>
            <w:bottom w:val="none" w:sz="0" w:space="0" w:color="auto"/>
            <w:right w:val="none" w:sz="0" w:space="0" w:color="auto"/>
          </w:divBdr>
        </w:div>
        <w:div w:id="408115314">
          <w:marLeft w:val="0"/>
          <w:marRight w:val="0"/>
          <w:marTop w:val="0"/>
          <w:marBottom w:val="0"/>
          <w:divBdr>
            <w:top w:val="none" w:sz="0" w:space="0" w:color="auto"/>
            <w:left w:val="none" w:sz="0" w:space="0" w:color="auto"/>
            <w:bottom w:val="none" w:sz="0" w:space="0" w:color="auto"/>
            <w:right w:val="none" w:sz="0" w:space="0" w:color="auto"/>
          </w:divBdr>
        </w:div>
        <w:div w:id="1063522847">
          <w:marLeft w:val="0"/>
          <w:marRight w:val="0"/>
          <w:marTop w:val="0"/>
          <w:marBottom w:val="0"/>
          <w:divBdr>
            <w:top w:val="none" w:sz="0" w:space="0" w:color="auto"/>
            <w:left w:val="none" w:sz="0" w:space="0" w:color="auto"/>
            <w:bottom w:val="none" w:sz="0" w:space="0" w:color="auto"/>
            <w:right w:val="none" w:sz="0" w:space="0" w:color="auto"/>
          </w:divBdr>
        </w:div>
        <w:div w:id="798304060">
          <w:marLeft w:val="0"/>
          <w:marRight w:val="0"/>
          <w:marTop w:val="0"/>
          <w:marBottom w:val="0"/>
          <w:divBdr>
            <w:top w:val="none" w:sz="0" w:space="0" w:color="auto"/>
            <w:left w:val="none" w:sz="0" w:space="0" w:color="auto"/>
            <w:bottom w:val="none" w:sz="0" w:space="0" w:color="auto"/>
            <w:right w:val="none" w:sz="0" w:space="0" w:color="auto"/>
          </w:divBdr>
        </w:div>
        <w:div w:id="692146566">
          <w:marLeft w:val="0"/>
          <w:marRight w:val="0"/>
          <w:marTop w:val="0"/>
          <w:marBottom w:val="0"/>
          <w:divBdr>
            <w:top w:val="none" w:sz="0" w:space="0" w:color="auto"/>
            <w:left w:val="none" w:sz="0" w:space="0" w:color="auto"/>
            <w:bottom w:val="none" w:sz="0" w:space="0" w:color="auto"/>
            <w:right w:val="none" w:sz="0" w:space="0" w:color="auto"/>
          </w:divBdr>
        </w:div>
        <w:div w:id="752555460">
          <w:marLeft w:val="0"/>
          <w:marRight w:val="0"/>
          <w:marTop w:val="0"/>
          <w:marBottom w:val="0"/>
          <w:divBdr>
            <w:top w:val="none" w:sz="0" w:space="0" w:color="auto"/>
            <w:left w:val="none" w:sz="0" w:space="0" w:color="auto"/>
            <w:bottom w:val="none" w:sz="0" w:space="0" w:color="auto"/>
            <w:right w:val="none" w:sz="0" w:space="0" w:color="auto"/>
          </w:divBdr>
        </w:div>
        <w:div w:id="166099369">
          <w:marLeft w:val="0"/>
          <w:marRight w:val="0"/>
          <w:marTop w:val="0"/>
          <w:marBottom w:val="0"/>
          <w:divBdr>
            <w:top w:val="none" w:sz="0" w:space="0" w:color="auto"/>
            <w:left w:val="none" w:sz="0" w:space="0" w:color="auto"/>
            <w:bottom w:val="none" w:sz="0" w:space="0" w:color="auto"/>
            <w:right w:val="none" w:sz="0" w:space="0" w:color="auto"/>
          </w:divBdr>
        </w:div>
        <w:div w:id="1863281504">
          <w:marLeft w:val="0"/>
          <w:marRight w:val="0"/>
          <w:marTop w:val="0"/>
          <w:marBottom w:val="0"/>
          <w:divBdr>
            <w:top w:val="none" w:sz="0" w:space="0" w:color="auto"/>
            <w:left w:val="none" w:sz="0" w:space="0" w:color="auto"/>
            <w:bottom w:val="none" w:sz="0" w:space="0" w:color="auto"/>
            <w:right w:val="none" w:sz="0" w:space="0" w:color="auto"/>
          </w:divBdr>
        </w:div>
        <w:div w:id="2086612401">
          <w:marLeft w:val="0"/>
          <w:marRight w:val="0"/>
          <w:marTop w:val="0"/>
          <w:marBottom w:val="0"/>
          <w:divBdr>
            <w:top w:val="none" w:sz="0" w:space="0" w:color="auto"/>
            <w:left w:val="none" w:sz="0" w:space="0" w:color="auto"/>
            <w:bottom w:val="none" w:sz="0" w:space="0" w:color="auto"/>
            <w:right w:val="none" w:sz="0" w:space="0" w:color="auto"/>
          </w:divBdr>
        </w:div>
        <w:div w:id="2062753582">
          <w:marLeft w:val="0"/>
          <w:marRight w:val="0"/>
          <w:marTop w:val="0"/>
          <w:marBottom w:val="0"/>
          <w:divBdr>
            <w:top w:val="none" w:sz="0" w:space="0" w:color="auto"/>
            <w:left w:val="none" w:sz="0" w:space="0" w:color="auto"/>
            <w:bottom w:val="none" w:sz="0" w:space="0" w:color="auto"/>
            <w:right w:val="none" w:sz="0" w:space="0" w:color="auto"/>
          </w:divBdr>
        </w:div>
        <w:div w:id="671488962">
          <w:marLeft w:val="0"/>
          <w:marRight w:val="0"/>
          <w:marTop w:val="0"/>
          <w:marBottom w:val="0"/>
          <w:divBdr>
            <w:top w:val="none" w:sz="0" w:space="0" w:color="auto"/>
            <w:left w:val="none" w:sz="0" w:space="0" w:color="auto"/>
            <w:bottom w:val="none" w:sz="0" w:space="0" w:color="auto"/>
            <w:right w:val="none" w:sz="0" w:space="0" w:color="auto"/>
          </w:divBdr>
        </w:div>
        <w:div w:id="2068068864">
          <w:marLeft w:val="0"/>
          <w:marRight w:val="0"/>
          <w:marTop w:val="0"/>
          <w:marBottom w:val="0"/>
          <w:divBdr>
            <w:top w:val="none" w:sz="0" w:space="0" w:color="auto"/>
            <w:left w:val="none" w:sz="0" w:space="0" w:color="auto"/>
            <w:bottom w:val="none" w:sz="0" w:space="0" w:color="auto"/>
            <w:right w:val="none" w:sz="0" w:space="0" w:color="auto"/>
          </w:divBdr>
        </w:div>
        <w:div w:id="603879327">
          <w:marLeft w:val="0"/>
          <w:marRight w:val="0"/>
          <w:marTop w:val="0"/>
          <w:marBottom w:val="0"/>
          <w:divBdr>
            <w:top w:val="none" w:sz="0" w:space="0" w:color="auto"/>
            <w:left w:val="none" w:sz="0" w:space="0" w:color="auto"/>
            <w:bottom w:val="none" w:sz="0" w:space="0" w:color="auto"/>
            <w:right w:val="none" w:sz="0" w:space="0" w:color="auto"/>
          </w:divBdr>
        </w:div>
        <w:div w:id="1015418794">
          <w:marLeft w:val="0"/>
          <w:marRight w:val="0"/>
          <w:marTop w:val="0"/>
          <w:marBottom w:val="0"/>
          <w:divBdr>
            <w:top w:val="none" w:sz="0" w:space="0" w:color="auto"/>
            <w:left w:val="none" w:sz="0" w:space="0" w:color="auto"/>
            <w:bottom w:val="none" w:sz="0" w:space="0" w:color="auto"/>
            <w:right w:val="none" w:sz="0" w:space="0" w:color="auto"/>
          </w:divBdr>
        </w:div>
        <w:div w:id="1762800998">
          <w:marLeft w:val="0"/>
          <w:marRight w:val="0"/>
          <w:marTop w:val="0"/>
          <w:marBottom w:val="0"/>
          <w:divBdr>
            <w:top w:val="none" w:sz="0" w:space="0" w:color="auto"/>
            <w:left w:val="none" w:sz="0" w:space="0" w:color="auto"/>
            <w:bottom w:val="none" w:sz="0" w:space="0" w:color="auto"/>
            <w:right w:val="none" w:sz="0" w:space="0" w:color="auto"/>
          </w:divBdr>
        </w:div>
        <w:div w:id="358167528">
          <w:marLeft w:val="0"/>
          <w:marRight w:val="0"/>
          <w:marTop w:val="0"/>
          <w:marBottom w:val="0"/>
          <w:divBdr>
            <w:top w:val="none" w:sz="0" w:space="0" w:color="auto"/>
            <w:left w:val="none" w:sz="0" w:space="0" w:color="auto"/>
            <w:bottom w:val="none" w:sz="0" w:space="0" w:color="auto"/>
            <w:right w:val="none" w:sz="0" w:space="0" w:color="auto"/>
          </w:divBdr>
        </w:div>
        <w:div w:id="1488201883">
          <w:marLeft w:val="0"/>
          <w:marRight w:val="0"/>
          <w:marTop w:val="0"/>
          <w:marBottom w:val="0"/>
          <w:divBdr>
            <w:top w:val="none" w:sz="0" w:space="0" w:color="auto"/>
            <w:left w:val="none" w:sz="0" w:space="0" w:color="auto"/>
            <w:bottom w:val="none" w:sz="0" w:space="0" w:color="auto"/>
            <w:right w:val="none" w:sz="0" w:space="0" w:color="auto"/>
          </w:divBdr>
        </w:div>
        <w:div w:id="1545943172">
          <w:marLeft w:val="0"/>
          <w:marRight w:val="0"/>
          <w:marTop w:val="0"/>
          <w:marBottom w:val="0"/>
          <w:divBdr>
            <w:top w:val="none" w:sz="0" w:space="0" w:color="auto"/>
            <w:left w:val="none" w:sz="0" w:space="0" w:color="auto"/>
            <w:bottom w:val="none" w:sz="0" w:space="0" w:color="auto"/>
            <w:right w:val="none" w:sz="0" w:space="0" w:color="auto"/>
          </w:divBdr>
        </w:div>
        <w:div w:id="1029572354">
          <w:marLeft w:val="0"/>
          <w:marRight w:val="0"/>
          <w:marTop w:val="0"/>
          <w:marBottom w:val="0"/>
          <w:divBdr>
            <w:top w:val="none" w:sz="0" w:space="0" w:color="auto"/>
            <w:left w:val="none" w:sz="0" w:space="0" w:color="auto"/>
            <w:bottom w:val="none" w:sz="0" w:space="0" w:color="auto"/>
            <w:right w:val="none" w:sz="0" w:space="0" w:color="auto"/>
          </w:divBdr>
        </w:div>
        <w:div w:id="1600479504">
          <w:marLeft w:val="0"/>
          <w:marRight w:val="0"/>
          <w:marTop w:val="0"/>
          <w:marBottom w:val="0"/>
          <w:divBdr>
            <w:top w:val="none" w:sz="0" w:space="0" w:color="auto"/>
            <w:left w:val="none" w:sz="0" w:space="0" w:color="auto"/>
            <w:bottom w:val="none" w:sz="0" w:space="0" w:color="auto"/>
            <w:right w:val="none" w:sz="0" w:space="0" w:color="auto"/>
          </w:divBdr>
        </w:div>
        <w:div w:id="1309746056">
          <w:marLeft w:val="0"/>
          <w:marRight w:val="0"/>
          <w:marTop w:val="0"/>
          <w:marBottom w:val="0"/>
          <w:divBdr>
            <w:top w:val="none" w:sz="0" w:space="0" w:color="auto"/>
            <w:left w:val="none" w:sz="0" w:space="0" w:color="auto"/>
            <w:bottom w:val="none" w:sz="0" w:space="0" w:color="auto"/>
            <w:right w:val="none" w:sz="0" w:space="0" w:color="auto"/>
          </w:divBdr>
        </w:div>
        <w:div w:id="918563116">
          <w:marLeft w:val="0"/>
          <w:marRight w:val="0"/>
          <w:marTop w:val="0"/>
          <w:marBottom w:val="0"/>
          <w:divBdr>
            <w:top w:val="none" w:sz="0" w:space="0" w:color="auto"/>
            <w:left w:val="none" w:sz="0" w:space="0" w:color="auto"/>
            <w:bottom w:val="none" w:sz="0" w:space="0" w:color="auto"/>
            <w:right w:val="none" w:sz="0" w:space="0" w:color="auto"/>
          </w:divBdr>
        </w:div>
        <w:div w:id="446630907">
          <w:marLeft w:val="0"/>
          <w:marRight w:val="0"/>
          <w:marTop w:val="0"/>
          <w:marBottom w:val="0"/>
          <w:divBdr>
            <w:top w:val="none" w:sz="0" w:space="0" w:color="auto"/>
            <w:left w:val="none" w:sz="0" w:space="0" w:color="auto"/>
            <w:bottom w:val="none" w:sz="0" w:space="0" w:color="auto"/>
            <w:right w:val="none" w:sz="0" w:space="0" w:color="auto"/>
          </w:divBdr>
        </w:div>
        <w:div w:id="403375168">
          <w:marLeft w:val="0"/>
          <w:marRight w:val="0"/>
          <w:marTop w:val="0"/>
          <w:marBottom w:val="0"/>
          <w:divBdr>
            <w:top w:val="none" w:sz="0" w:space="0" w:color="auto"/>
            <w:left w:val="none" w:sz="0" w:space="0" w:color="auto"/>
            <w:bottom w:val="none" w:sz="0" w:space="0" w:color="auto"/>
            <w:right w:val="none" w:sz="0" w:space="0" w:color="auto"/>
          </w:divBdr>
        </w:div>
        <w:div w:id="35392140">
          <w:marLeft w:val="0"/>
          <w:marRight w:val="0"/>
          <w:marTop w:val="0"/>
          <w:marBottom w:val="0"/>
          <w:divBdr>
            <w:top w:val="none" w:sz="0" w:space="0" w:color="auto"/>
            <w:left w:val="none" w:sz="0" w:space="0" w:color="auto"/>
            <w:bottom w:val="none" w:sz="0" w:space="0" w:color="auto"/>
            <w:right w:val="none" w:sz="0" w:space="0" w:color="auto"/>
          </w:divBdr>
        </w:div>
        <w:div w:id="574359205">
          <w:marLeft w:val="0"/>
          <w:marRight w:val="0"/>
          <w:marTop w:val="0"/>
          <w:marBottom w:val="0"/>
          <w:divBdr>
            <w:top w:val="none" w:sz="0" w:space="0" w:color="auto"/>
            <w:left w:val="none" w:sz="0" w:space="0" w:color="auto"/>
            <w:bottom w:val="none" w:sz="0" w:space="0" w:color="auto"/>
            <w:right w:val="none" w:sz="0" w:space="0" w:color="auto"/>
          </w:divBdr>
        </w:div>
        <w:div w:id="2027096812">
          <w:marLeft w:val="0"/>
          <w:marRight w:val="0"/>
          <w:marTop w:val="0"/>
          <w:marBottom w:val="0"/>
          <w:divBdr>
            <w:top w:val="none" w:sz="0" w:space="0" w:color="auto"/>
            <w:left w:val="none" w:sz="0" w:space="0" w:color="auto"/>
            <w:bottom w:val="none" w:sz="0" w:space="0" w:color="auto"/>
            <w:right w:val="none" w:sz="0" w:space="0" w:color="auto"/>
          </w:divBdr>
        </w:div>
        <w:div w:id="444152549">
          <w:marLeft w:val="0"/>
          <w:marRight w:val="0"/>
          <w:marTop w:val="0"/>
          <w:marBottom w:val="0"/>
          <w:divBdr>
            <w:top w:val="none" w:sz="0" w:space="0" w:color="auto"/>
            <w:left w:val="none" w:sz="0" w:space="0" w:color="auto"/>
            <w:bottom w:val="none" w:sz="0" w:space="0" w:color="auto"/>
            <w:right w:val="none" w:sz="0" w:space="0" w:color="auto"/>
          </w:divBdr>
        </w:div>
        <w:div w:id="71975722">
          <w:marLeft w:val="0"/>
          <w:marRight w:val="0"/>
          <w:marTop w:val="0"/>
          <w:marBottom w:val="0"/>
          <w:divBdr>
            <w:top w:val="none" w:sz="0" w:space="0" w:color="auto"/>
            <w:left w:val="none" w:sz="0" w:space="0" w:color="auto"/>
            <w:bottom w:val="none" w:sz="0" w:space="0" w:color="auto"/>
            <w:right w:val="none" w:sz="0" w:space="0" w:color="auto"/>
          </w:divBdr>
        </w:div>
        <w:div w:id="1161773976">
          <w:marLeft w:val="0"/>
          <w:marRight w:val="0"/>
          <w:marTop w:val="0"/>
          <w:marBottom w:val="0"/>
          <w:divBdr>
            <w:top w:val="none" w:sz="0" w:space="0" w:color="auto"/>
            <w:left w:val="none" w:sz="0" w:space="0" w:color="auto"/>
            <w:bottom w:val="none" w:sz="0" w:space="0" w:color="auto"/>
            <w:right w:val="none" w:sz="0" w:space="0" w:color="auto"/>
          </w:divBdr>
        </w:div>
        <w:div w:id="1058091427">
          <w:marLeft w:val="0"/>
          <w:marRight w:val="0"/>
          <w:marTop w:val="0"/>
          <w:marBottom w:val="0"/>
          <w:divBdr>
            <w:top w:val="none" w:sz="0" w:space="0" w:color="auto"/>
            <w:left w:val="none" w:sz="0" w:space="0" w:color="auto"/>
            <w:bottom w:val="none" w:sz="0" w:space="0" w:color="auto"/>
            <w:right w:val="none" w:sz="0" w:space="0" w:color="auto"/>
          </w:divBdr>
        </w:div>
        <w:div w:id="1245609453">
          <w:marLeft w:val="0"/>
          <w:marRight w:val="0"/>
          <w:marTop w:val="0"/>
          <w:marBottom w:val="0"/>
          <w:divBdr>
            <w:top w:val="none" w:sz="0" w:space="0" w:color="auto"/>
            <w:left w:val="none" w:sz="0" w:space="0" w:color="auto"/>
            <w:bottom w:val="none" w:sz="0" w:space="0" w:color="auto"/>
            <w:right w:val="none" w:sz="0" w:space="0" w:color="auto"/>
          </w:divBdr>
        </w:div>
        <w:div w:id="732779174">
          <w:marLeft w:val="0"/>
          <w:marRight w:val="0"/>
          <w:marTop w:val="0"/>
          <w:marBottom w:val="0"/>
          <w:divBdr>
            <w:top w:val="none" w:sz="0" w:space="0" w:color="auto"/>
            <w:left w:val="none" w:sz="0" w:space="0" w:color="auto"/>
            <w:bottom w:val="none" w:sz="0" w:space="0" w:color="auto"/>
            <w:right w:val="none" w:sz="0" w:space="0" w:color="auto"/>
          </w:divBdr>
        </w:div>
        <w:div w:id="588344005">
          <w:marLeft w:val="0"/>
          <w:marRight w:val="0"/>
          <w:marTop w:val="0"/>
          <w:marBottom w:val="0"/>
          <w:divBdr>
            <w:top w:val="none" w:sz="0" w:space="0" w:color="auto"/>
            <w:left w:val="none" w:sz="0" w:space="0" w:color="auto"/>
            <w:bottom w:val="none" w:sz="0" w:space="0" w:color="auto"/>
            <w:right w:val="none" w:sz="0" w:space="0" w:color="auto"/>
          </w:divBdr>
        </w:div>
        <w:div w:id="752163258">
          <w:marLeft w:val="0"/>
          <w:marRight w:val="0"/>
          <w:marTop w:val="0"/>
          <w:marBottom w:val="0"/>
          <w:divBdr>
            <w:top w:val="none" w:sz="0" w:space="0" w:color="auto"/>
            <w:left w:val="none" w:sz="0" w:space="0" w:color="auto"/>
            <w:bottom w:val="none" w:sz="0" w:space="0" w:color="auto"/>
            <w:right w:val="none" w:sz="0" w:space="0" w:color="auto"/>
          </w:divBdr>
        </w:div>
        <w:div w:id="157381911">
          <w:marLeft w:val="0"/>
          <w:marRight w:val="0"/>
          <w:marTop w:val="0"/>
          <w:marBottom w:val="0"/>
          <w:divBdr>
            <w:top w:val="none" w:sz="0" w:space="0" w:color="auto"/>
            <w:left w:val="none" w:sz="0" w:space="0" w:color="auto"/>
            <w:bottom w:val="none" w:sz="0" w:space="0" w:color="auto"/>
            <w:right w:val="none" w:sz="0" w:space="0" w:color="auto"/>
          </w:divBdr>
        </w:div>
        <w:div w:id="304429224">
          <w:marLeft w:val="0"/>
          <w:marRight w:val="0"/>
          <w:marTop w:val="0"/>
          <w:marBottom w:val="0"/>
          <w:divBdr>
            <w:top w:val="none" w:sz="0" w:space="0" w:color="auto"/>
            <w:left w:val="none" w:sz="0" w:space="0" w:color="auto"/>
            <w:bottom w:val="none" w:sz="0" w:space="0" w:color="auto"/>
            <w:right w:val="none" w:sz="0" w:space="0" w:color="auto"/>
          </w:divBdr>
        </w:div>
        <w:div w:id="598102991">
          <w:marLeft w:val="0"/>
          <w:marRight w:val="0"/>
          <w:marTop w:val="0"/>
          <w:marBottom w:val="0"/>
          <w:divBdr>
            <w:top w:val="none" w:sz="0" w:space="0" w:color="auto"/>
            <w:left w:val="none" w:sz="0" w:space="0" w:color="auto"/>
            <w:bottom w:val="none" w:sz="0" w:space="0" w:color="auto"/>
            <w:right w:val="none" w:sz="0" w:space="0" w:color="auto"/>
          </w:divBdr>
        </w:div>
        <w:div w:id="1612979281">
          <w:marLeft w:val="0"/>
          <w:marRight w:val="0"/>
          <w:marTop w:val="0"/>
          <w:marBottom w:val="0"/>
          <w:divBdr>
            <w:top w:val="none" w:sz="0" w:space="0" w:color="auto"/>
            <w:left w:val="none" w:sz="0" w:space="0" w:color="auto"/>
            <w:bottom w:val="none" w:sz="0" w:space="0" w:color="auto"/>
            <w:right w:val="none" w:sz="0" w:space="0" w:color="auto"/>
          </w:divBdr>
        </w:div>
        <w:div w:id="1778452090">
          <w:marLeft w:val="0"/>
          <w:marRight w:val="0"/>
          <w:marTop w:val="0"/>
          <w:marBottom w:val="0"/>
          <w:divBdr>
            <w:top w:val="none" w:sz="0" w:space="0" w:color="auto"/>
            <w:left w:val="none" w:sz="0" w:space="0" w:color="auto"/>
            <w:bottom w:val="none" w:sz="0" w:space="0" w:color="auto"/>
            <w:right w:val="none" w:sz="0" w:space="0" w:color="auto"/>
          </w:divBdr>
        </w:div>
        <w:div w:id="1998731137">
          <w:marLeft w:val="0"/>
          <w:marRight w:val="0"/>
          <w:marTop w:val="0"/>
          <w:marBottom w:val="0"/>
          <w:divBdr>
            <w:top w:val="none" w:sz="0" w:space="0" w:color="auto"/>
            <w:left w:val="none" w:sz="0" w:space="0" w:color="auto"/>
            <w:bottom w:val="none" w:sz="0" w:space="0" w:color="auto"/>
            <w:right w:val="none" w:sz="0" w:space="0" w:color="auto"/>
          </w:divBdr>
        </w:div>
        <w:div w:id="1445881055">
          <w:marLeft w:val="0"/>
          <w:marRight w:val="0"/>
          <w:marTop w:val="0"/>
          <w:marBottom w:val="0"/>
          <w:divBdr>
            <w:top w:val="none" w:sz="0" w:space="0" w:color="auto"/>
            <w:left w:val="none" w:sz="0" w:space="0" w:color="auto"/>
            <w:bottom w:val="none" w:sz="0" w:space="0" w:color="auto"/>
            <w:right w:val="none" w:sz="0" w:space="0" w:color="auto"/>
          </w:divBdr>
        </w:div>
        <w:div w:id="1952666588">
          <w:marLeft w:val="0"/>
          <w:marRight w:val="0"/>
          <w:marTop w:val="0"/>
          <w:marBottom w:val="0"/>
          <w:divBdr>
            <w:top w:val="none" w:sz="0" w:space="0" w:color="auto"/>
            <w:left w:val="none" w:sz="0" w:space="0" w:color="auto"/>
            <w:bottom w:val="none" w:sz="0" w:space="0" w:color="auto"/>
            <w:right w:val="none" w:sz="0" w:space="0" w:color="auto"/>
          </w:divBdr>
        </w:div>
        <w:div w:id="1167594978">
          <w:marLeft w:val="0"/>
          <w:marRight w:val="0"/>
          <w:marTop w:val="0"/>
          <w:marBottom w:val="0"/>
          <w:divBdr>
            <w:top w:val="none" w:sz="0" w:space="0" w:color="auto"/>
            <w:left w:val="none" w:sz="0" w:space="0" w:color="auto"/>
            <w:bottom w:val="none" w:sz="0" w:space="0" w:color="auto"/>
            <w:right w:val="none" w:sz="0" w:space="0" w:color="auto"/>
          </w:divBdr>
        </w:div>
        <w:div w:id="419108466">
          <w:marLeft w:val="0"/>
          <w:marRight w:val="0"/>
          <w:marTop w:val="0"/>
          <w:marBottom w:val="0"/>
          <w:divBdr>
            <w:top w:val="none" w:sz="0" w:space="0" w:color="auto"/>
            <w:left w:val="none" w:sz="0" w:space="0" w:color="auto"/>
            <w:bottom w:val="none" w:sz="0" w:space="0" w:color="auto"/>
            <w:right w:val="none" w:sz="0" w:space="0" w:color="auto"/>
          </w:divBdr>
        </w:div>
        <w:div w:id="259798064">
          <w:marLeft w:val="0"/>
          <w:marRight w:val="0"/>
          <w:marTop w:val="0"/>
          <w:marBottom w:val="0"/>
          <w:divBdr>
            <w:top w:val="none" w:sz="0" w:space="0" w:color="auto"/>
            <w:left w:val="none" w:sz="0" w:space="0" w:color="auto"/>
            <w:bottom w:val="none" w:sz="0" w:space="0" w:color="auto"/>
            <w:right w:val="none" w:sz="0" w:space="0" w:color="auto"/>
          </w:divBdr>
        </w:div>
        <w:div w:id="789520444">
          <w:marLeft w:val="0"/>
          <w:marRight w:val="0"/>
          <w:marTop w:val="0"/>
          <w:marBottom w:val="0"/>
          <w:divBdr>
            <w:top w:val="none" w:sz="0" w:space="0" w:color="auto"/>
            <w:left w:val="none" w:sz="0" w:space="0" w:color="auto"/>
            <w:bottom w:val="none" w:sz="0" w:space="0" w:color="auto"/>
            <w:right w:val="none" w:sz="0" w:space="0" w:color="auto"/>
          </w:divBdr>
        </w:div>
        <w:div w:id="982390902">
          <w:marLeft w:val="0"/>
          <w:marRight w:val="0"/>
          <w:marTop w:val="0"/>
          <w:marBottom w:val="0"/>
          <w:divBdr>
            <w:top w:val="none" w:sz="0" w:space="0" w:color="auto"/>
            <w:left w:val="none" w:sz="0" w:space="0" w:color="auto"/>
            <w:bottom w:val="none" w:sz="0" w:space="0" w:color="auto"/>
            <w:right w:val="none" w:sz="0" w:space="0" w:color="auto"/>
          </w:divBdr>
        </w:div>
        <w:div w:id="1852143455">
          <w:marLeft w:val="0"/>
          <w:marRight w:val="0"/>
          <w:marTop w:val="0"/>
          <w:marBottom w:val="0"/>
          <w:divBdr>
            <w:top w:val="none" w:sz="0" w:space="0" w:color="auto"/>
            <w:left w:val="none" w:sz="0" w:space="0" w:color="auto"/>
            <w:bottom w:val="none" w:sz="0" w:space="0" w:color="auto"/>
            <w:right w:val="none" w:sz="0" w:space="0" w:color="auto"/>
          </w:divBdr>
        </w:div>
        <w:div w:id="694188083">
          <w:marLeft w:val="0"/>
          <w:marRight w:val="0"/>
          <w:marTop w:val="0"/>
          <w:marBottom w:val="0"/>
          <w:divBdr>
            <w:top w:val="none" w:sz="0" w:space="0" w:color="auto"/>
            <w:left w:val="none" w:sz="0" w:space="0" w:color="auto"/>
            <w:bottom w:val="none" w:sz="0" w:space="0" w:color="auto"/>
            <w:right w:val="none" w:sz="0" w:space="0" w:color="auto"/>
          </w:divBdr>
        </w:div>
        <w:div w:id="1529372540">
          <w:marLeft w:val="0"/>
          <w:marRight w:val="0"/>
          <w:marTop w:val="0"/>
          <w:marBottom w:val="0"/>
          <w:divBdr>
            <w:top w:val="none" w:sz="0" w:space="0" w:color="auto"/>
            <w:left w:val="none" w:sz="0" w:space="0" w:color="auto"/>
            <w:bottom w:val="none" w:sz="0" w:space="0" w:color="auto"/>
            <w:right w:val="none" w:sz="0" w:space="0" w:color="auto"/>
          </w:divBdr>
        </w:div>
        <w:div w:id="1182864046">
          <w:marLeft w:val="0"/>
          <w:marRight w:val="0"/>
          <w:marTop w:val="0"/>
          <w:marBottom w:val="0"/>
          <w:divBdr>
            <w:top w:val="none" w:sz="0" w:space="0" w:color="auto"/>
            <w:left w:val="none" w:sz="0" w:space="0" w:color="auto"/>
            <w:bottom w:val="none" w:sz="0" w:space="0" w:color="auto"/>
            <w:right w:val="none" w:sz="0" w:space="0" w:color="auto"/>
          </w:divBdr>
        </w:div>
        <w:div w:id="698819703">
          <w:marLeft w:val="0"/>
          <w:marRight w:val="0"/>
          <w:marTop w:val="0"/>
          <w:marBottom w:val="0"/>
          <w:divBdr>
            <w:top w:val="none" w:sz="0" w:space="0" w:color="auto"/>
            <w:left w:val="none" w:sz="0" w:space="0" w:color="auto"/>
            <w:bottom w:val="none" w:sz="0" w:space="0" w:color="auto"/>
            <w:right w:val="none" w:sz="0" w:space="0" w:color="auto"/>
          </w:divBdr>
        </w:div>
        <w:div w:id="1815174785">
          <w:marLeft w:val="0"/>
          <w:marRight w:val="0"/>
          <w:marTop w:val="0"/>
          <w:marBottom w:val="0"/>
          <w:divBdr>
            <w:top w:val="none" w:sz="0" w:space="0" w:color="auto"/>
            <w:left w:val="none" w:sz="0" w:space="0" w:color="auto"/>
            <w:bottom w:val="none" w:sz="0" w:space="0" w:color="auto"/>
            <w:right w:val="none" w:sz="0" w:space="0" w:color="auto"/>
          </w:divBdr>
        </w:div>
        <w:div w:id="565259859">
          <w:marLeft w:val="0"/>
          <w:marRight w:val="0"/>
          <w:marTop w:val="0"/>
          <w:marBottom w:val="0"/>
          <w:divBdr>
            <w:top w:val="none" w:sz="0" w:space="0" w:color="auto"/>
            <w:left w:val="none" w:sz="0" w:space="0" w:color="auto"/>
            <w:bottom w:val="none" w:sz="0" w:space="0" w:color="auto"/>
            <w:right w:val="none" w:sz="0" w:space="0" w:color="auto"/>
          </w:divBdr>
        </w:div>
        <w:div w:id="1266578093">
          <w:marLeft w:val="0"/>
          <w:marRight w:val="0"/>
          <w:marTop w:val="0"/>
          <w:marBottom w:val="0"/>
          <w:divBdr>
            <w:top w:val="none" w:sz="0" w:space="0" w:color="auto"/>
            <w:left w:val="none" w:sz="0" w:space="0" w:color="auto"/>
            <w:bottom w:val="none" w:sz="0" w:space="0" w:color="auto"/>
            <w:right w:val="none" w:sz="0" w:space="0" w:color="auto"/>
          </w:divBdr>
        </w:div>
        <w:div w:id="325473993">
          <w:marLeft w:val="0"/>
          <w:marRight w:val="0"/>
          <w:marTop w:val="0"/>
          <w:marBottom w:val="0"/>
          <w:divBdr>
            <w:top w:val="none" w:sz="0" w:space="0" w:color="auto"/>
            <w:left w:val="none" w:sz="0" w:space="0" w:color="auto"/>
            <w:bottom w:val="none" w:sz="0" w:space="0" w:color="auto"/>
            <w:right w:val="none" w:sz="0" w:space="0" w:color="auto"/>
          </w:divBdr>
        </w:div>
        <w:div w:id="1822504676">
          <w:marLeft w:val="0"/>
          <w:marRight w:val="0"/>
          <w:marTop w:val="0"/>
          <w:marBottom w:val="0"/>
          <w:divBdr>
            <w:top w:val="none" w:sz="0" w:space="0" w:color="auto"/>
            <w:left w:val="none" w:sz="0" w:space="0" w:color="auto"/>
            <w:bottom w:val="none" w:sz="0" w:space="0" w:color="auto"/>
            <w:right w:val="none" w:sz="0" w:space="0" w:color="auto"/>
          </w:divBdr>
        </w:div>
        <w:div w:id="1725790386">
          <w:marLeft w:val="0"/>
          <w:marRight w:val="0"/>
          <w:marTop w:val="0"/>
          <w:marBottom w:val="0"/>
          <w:divBdr>
            <w:top w:val="none" w:sz="0" w:space="0" w:color="auto"/>
            <w:left w:val="none" w:sz="0" w:space="0" w:color="auto"/>
            <w:bottom w:val="none" w:sz="0" w:space="0" w:color="auto"/>
            <w:right w:val="none" w:sz="0" w:space="0" w:color="auto"/>
          </w:divBdr>
        </w:div>
        <w:div w:id="1754861660">
          <w:marLeft w:val="0"/>
          <w:marRight w:val="0"/>
          <w:marTop w:val="0"/>
          <w:marBottom w:val="0"/>
          <w:divBdr>
            <w:top w:val="none" w:sz="0" w:space="0" w:color="auto"/>
            <w:left w:val="none" w:sz="0" w:space="0" w:color="auto"/>
            <w:bottom w:val="none" w:sz="0" w:space="0" w:color="auto"/>
            <w:right w:val="none" w:sz="0" w:space="0" w:color="auto"/>
          </w:divBdr>
        </w:div>
        <w:div w:id="933518528">
          <w:marLeft w:val="0"/>
          <w:marRight w:val="0"/>
          <w:marTop w:val="0"/>
          <w:marBottom w:val="0"/>
          <w:divBdr>
            <w:top w:val="none" w:sz="0" w:space="0" w:color="auto"/>
            <w:left w:val="none" w:sz="0" w:space="0" w:color="auto"/>
            <w:bottom w:val="none" w:sz="0" w:space="0" w:color="auto"/>
            <w:right w:val="none" w:sz="0" w:space="0" w:color="auto"/>
          </w:divBdr>
        </w:div>
        <w:div w:id="1227764182">
          <w:marLeft w:val="0"/>
          <w:marRight w:val="0"/>
          <w:marTop w:val="0"/>
          <w:marBottom w:val="0"/>
          <w:divBdr>
            <w:top w:val="none" w:sz="0" w:space="0" w:color="auto"/>
            <w:left w:val="none" w:sz="0" w:space="0" w:color="auto"/>
            <w:bottom w:val="none" w:sz="0" w:space="0" w:color="auto"/>
            <w:right w:val="none" w:sz="0" w:space="0" w:color="auto"/>
          </w:divBdr>
        </w:div>
        <w:div w:id="1855144689">
          <w:marLeft w:val="0"/>
          <w:marRight w:val="0"/>
          <w:marTop w:val="0"/>
          <w:marBottom w:val="0"/>
          <w:divBdr>
            <w:top w:val="none" w:sz="0" w:space="0" w:color="auto"/>
            <w:left w:val="none" w:sz="0" w:space="0" w:color="auto"/>
            <w:bottom w:val="none" w:sz="0" w:space="0" w:color="auto"/>
            <w:right w:val="none" w:sz="0" w:space="0" w:color="auto"/>
          </w:divBdr>
        </w:div>
        <w:div w:id="613944574">
          <w:marLeft w:val="0"/>
          <w:marRight w:val="0"/>
          <w:marTop w:val="0"/>
          <w:marBottom w:val="0"/>
          <w:divBdr>
            <w:top w:val="none" w:sz="0" w:space="0" w:color="auto"/>
            <w:left w:val="none" w:sz="0" w:space="0" w:color="auto"/>
            <w:bottom w:val="none" w:sz="0" w:space="0" w:color="auto"/>
            <w:right w:val="none" w:sz="0" w:space="0" w:color="auto"/>
          </w:divBdr>
        </w:div>
        <w:div w:id="1954824029">
          <w:marLeft w:val="0"/>
          <w:marRight w:val="0"/>
          <w:marTop w:val="0"/>
          <w:marBottom w:val="0"/>
          <w:divBdr>
            <w:top w:val="none" w:sz="0" w:space="0" w:color="auto"/>
            <w:left w:val="none" w:sz="0" w:space="0" w:color="auto"/>
            <w:bottom w:val="none" w:sz="0" w:space="0" w:color="auto"/>
            <w:right w:val="none" w:sz="0" w:space="0" w:color="auto"/>
          </w:divBdr>
        </w:div>
        <w:div w:id="1839232162">
          <w:marLeft w:val="0"/>
          <w:marRight w:val="0"/>
          <w:marTop w:val="0"/>
          <w:marBottom w:val="0"/>
          <w:divBdr>
            <w:top w:val="none" w:sz="0" w:space="0" w:color="auto"/>
            <w:left w:val="none" w:sz="0" w:space="0" w:color="auto"/>
            <w:bottom w:val="none" w:sz="0" w:space="0" w:color="auto"/>
            <w:right w:val="none" w:sz="0" w:space="0" w:color="auto"/>
          </w:divBdr>
        </w:div>
        <w:div w:id="515190276">
          <w:marLeft w:val="0"/>
          <w:marRight w:val="0"/>
          <w:marTop w:val="0"/>
          <w:marBottom w:val="0"/>
          <w:divBdr>
            <w:top w:val="none" w:sz="0" w:space="0" w:color="auto"/>
            <w:left w:val="none" w:sz="0" w:space="0" w:color="auto"/>
            <w:bottom w:val="none" w:sz="0" w:space="0" w:color="auto"/>
            <w:right w:val="none" w:sz="0" w:space="0" w:color="auto"/>
          </w:divBdr>
        </w:div>
        <w:div w:id="1592811819">
          <w:marLeft w:val="0"/>
          <w:marRight w:val="0"/>
          <w:marTop w:val="0"/>
          <w:marBottom w:val="0"/>
          <w:divBdr>
            <w:top w:val="none" w:sz="0" w:space="0" w:color="auto"/>
            <w:left w:val="none" w:sz="0" w:space="0" w:color="auto"/>
            <w:bottom w:val="none" w:sz="0" w:space="0" w:color="auto"/>
            <w:right w:val="none" w:sz="0" w:space="0" w:color="auto"/>
          </w:divBdr>
        </w:div>
        <w:div w:id="1440950812">
          <w:marLeft w:val="0"/>
          <w:marRight w:val="0"/>
          <w:marTop w:val="0"/>
          <w:marBottom w:val="0"/>
          <w:divBdr>
            <w:top w:val="none" w:sz="0" w:space="0" w:color="auto"/>
            <w:left w:val="none" w:sz="0" w:space="0" w:color="auto"/>
            <w:bottom w:val="none" w:sz="0" w:space="0" w:color="auto"/>
            <w:right w:val="none" w:sz="0" w:space="0" w:color="auto"/>
          </w:divBdr>
        </w:div>
        <w:div w:id="370690795">
          <w:marLeft w:val="0"/>
          <w:marRight w:val="0"/>
          <w:marTop w:val="0"/>
          <w:marBottom w:val="0"/>
          <w:divBdr>
            <w:top w:val="none" w:sz="0" w:space="0" w:color="auto"/>
            <w:left w:val="none" w:sz="0" w:space="0" w:color="auto"/>
            <w:bottom w:val="none" w:sz="0" w:space="0" w:color="auto"/>
            <w:right w:val="none" w:sz="0" w:space="0" w:color="auto"/>
          </w:divBdr>
        </w:div>
        <w:div w:id="770509135">
          <w:marLeft w:val="0"/>
          <w:marRight w:val="0"/>
          <w:marTop w:val="0"/>
          <w:marBottom w:val="0"/>
          <w:divBdr>
            <w:top w:val="none" w:sz="0" w:space="0" w:color="auto"/>
            <w:left w:val="none" w:sz="0" w:space="0" w:color="auto"/>
            <w:bottom w:val="none" w:sz="0" w:space="0" w:color="auto"/>
            <w:right w:val="none" w:sz="0" w:space="0" w:color="auto"/>
          </w:divBdr>
        </w:div>
        <w:div w:id="465512287">
          <w:marLeft w:val="0"/>
          <w:marRight w:val="0"/>
          <w:marTop w:val="0"/>
          <w:marBottom w:val="0"/>
          <w:divBdr>
            <w:top w:val="none" w:sz="0" w:space="0" w:color="auto"/>
            <w:left w:val="none" w:sz="0" w:space="0" w:color="auto"/>
            <w:bottom w:val="none" w:sz="0" w:space="0" w:color="auto"/>
            <w:right w:val="none" w:sz="0" w:space="0" w:color="auto"/>
          </w:divBdr>
        </w:div>
        <w:div w:id="8722641">
          <w:marLeft w:val="0"/>
          <w:marRight w:val="0"/>
          <w:marTop w:val="0"/>
          <w:marBottom w:val="0"/>
          <w:divBdr>
            <w:top w:val="none" w:sz="0" w:space="0" w:color="auto"/>
            <w:left w:val="none" w:sz="0" w:space="0" w:color="auto"/>
            <w:bottom w:val="none" w:sz="0" w:space="0" w:color="auto"/>
            <w:right w:val="none" w:sz="0" w:space="0" w:color="auto"/>
          </w:divBdr>
        </w:div>
        <w:div w:id="130247916">
          <w:marLeft w:val="0"/>
          <w:marRight w:val="0"/>
          <w:marTop w:val="0"/>
          <w:marBottom w:val="0"/>
          <w:divBdr>
            <w:top w:val="none" w:sz="0" w:space="0" w:color="auto"/>
            <w:left w:val="none" w:sz="0" w:space="0" w:color="auto"/>
            <w:bottom w:val="none" w:sz="0" w:space="0" w:color="auto"/>
            <w:right w:val="none" w:sz="0" w:space="0" w:color="auto"/>
          </w:divBdr>
        </w:div>
        <w:div w:id="963081932">
          <w:marLeft w:val="0"/>
          <w:marRight w:val="0"/>
          <w:marTop w:val="0"/>
          <w:marBottom w:val="0"/>
          <w:divBdr>
            <w:top w:val="none" w:sz="0" w:space="0" w:color="auto"/>
            <w:left w:val="none" w:sz="0" w:space="0" w:color="auto"/>
            <w:bottom w:val="none" w:sz="0" w:space="0" w:color="auto"/>
            <w:right w:val="none" w:sz="0" w:space="0" w:color="auto"/>
          </w:divBdr>
        </w:div>
        <w:div w:id="306132092">
          <w:marLeft w:val="0"/>
          <w:marRight w:val="0"/>
          <w:marTop w:val="0"/>
          <w:marBottom w:val="0"/>
          <w:divBdr>
            <w:top w:val="none" w:sz="0" w:space="0" w:color="auto"/>
            <w:left w:val="none" w:sz="0" w:space="0" w:color="auto"/>
            <w:bottom w:val="none" w:sz="0" w:space="0" w:color="auto"/>
            <w:right w:val="none" w:sz="0" w:space="0" w:color="auto"/>
          </w:divBdr>
        </w:div>
        <w:div w:id="599724805">
          <w:marLeft w:val="0"/>
          <w:marRight w:val="0"/>
          <w:marTop w:val="0"/>
          <w:marBottom w:val="0"/>
          <w:divBdr>
            <w:top w:val="none" w:sz="0" w:space="0" w:color="auto"/>
            <w:left w:val="none" w:sz="0" w:space="0" w:color="auto"/>
            <w:bottom w:val="none" w:sz="0" w:space="0" w:color="auto"/>
            <w:right w:val="none" w:sz="0" w:space="0" w:color="auto"/>
          </w:divBdr>
        </w:div>
        <w:div w:id="873229344">
          <w:marLeft w:val="0"/>
          <w:marRight w:val="0"/>
          <w:marTop w:val="0"/>
          <w:marBottom w:val="0"/>
          <w:divBdr>
            <w:top w:val="none" w:sz="0" w:space="0" w:color="auto"/>
            <w:left w:val="none" w:sz="0" w:space="0" w:color="auto"/>
            <w:bottom w:val="none" w:sz="0" w:space="0" w:color="auto"/>
            <w:right w:val="none" w:sz="0" w:space="0" w:color="auto"/>
          </w:divBdr>
        </w:div>
        <w:div w:id="798912846">
          <w:marLeft w:val="0"/>
          <w:marRight w:val="0"/>
          <w:marTop w:val="0"/>
          <w:marBottom w:val="0"/>
          <w:divBdr>
            <w:top w:val="none" w:sz="0" w:space="0" w:color="auto"/>
            <w:left w:val="none" w:sz="0" w:space="0" w:color="auto"/>
            <w:bottom w:val="none" w:sz="0" w:space="0" w:color="auto"/>
            <w:right w:val="none" w:sz="0" w:space="0" w:color="auto"/>
          </w:divBdr>
        </w:div>
        <w:div w:id="1986086934">
          <w:marLeft w:val="0"/>
          <w:marRight w:val="0"/>
          <w:marTop w:val="0"/>
          <w:marBottom w:val="0"/>
          <w:divBdr>
            <w:top w:val="none" w:sz="0" w:space="0" w:color="auto"/>
            <w:left w:val="none" w:sz="0" w:space="0" w:color="auto"/>
            <w:bottom w:val="none" w:sz="0" w:space="0" w:color="auto"/>
            <w:right w:val="none" w:sz="0" w:space="0" w:color="auto"/>
          </w:divBdr>
        </w:div>
        <w:div w:id="513349638">
          <w:marLeft w:val="0"/>
          <w:marRight w:val="0"/>
          <w:marTop w:val="0"/>
          <w:marBottom w:val="0"/>
          <w:divBdr>
            <w:top w:val="none" w:sz="0" w:space="0" w:color="auto"/>
            <w:left w:val="none" w:sz="0" w:space="0" w:color="auto"/>
            <w:bottom w:val="none" w:sz="0" w:space="0" w:color="auto"/>
            <w:right w:val="none" w:sz="0" w:space="0" w:color="auto"/>
          </w:divBdr>
        </w:div>
        <w:div w:id="694579590">
          <w:marLeft w:val="0"/>
          <w:marRight w:val="0"/>
          <w:marTop w:val="0"/>
          <w:marBottom w:val="0"/>
          <w:divBdr>
            <w:top w:val="none" w:sz="0" w:space="0" w:color="auto"/>
            <w:left w:val="none" w:sz="0" w:space="0" w:color="auto"/>
            <w:bottom w:val="none" w:sz="0" w:space="0" w:color="auto"/>
            <w:right w:val="none" w:sz="0" w:space="0" w:color="auto"/>
          </w:divBdr>
        </w:div>
        <w:div w:id="1503667758">
          <w:marLeft w:val="0"/>
          <w:marRight w:val="0"/>
          <w:marTop w:val="0"/>
          <w:marBottom w:val="0"/>
          <w:divBdr>
            <w:top w:val="none" w:sz="0" w:space="0" w:color="auto"/>
            <w:left w:val="none" w:sz="0" w:space="0" w:color="auto"/>
            <w:bottom w:val="none" w:sz="0" w:space="0" w:color="auto"/>
            <w:right w:val="none" w:sz="0" w:space="0" w:color="auto"/>
          </w:divBdr>
        </w:div>
        <w:div w:id="1289243351">
          <w:marLeft w:val="0"/>
          <w:marRight w:val="0"/>
          <w:marTop w:val="0"/>
          <w:marBottom w:val="0"/>
          <w:divBdr>
            <w:top w:val="none" w:sz="0" w:space="0" w:color="auto"/>
            <w:left w:val="none" w:sz="0" w:space="0" w:color="auto"/>
            <w:bottom w:val="none" w:sz="0" w:space="0" w:color="auto"/>
            <w:right w:val="none" w:sz="0" w:space="0" w:color="auto"/>
          </w:divBdr>
        </w:div>
        <w:div w:id="1019085814">
          <w:marLeft w:val="0"/>
          <w:marRight w:val="0"/>
          <w:marTop w:val="0"/>
          <w:marBottom w:val="0"/>
          <w:divBdr>
            <w:top w:val="none" w:sz="0" w:space="0" w:color="auto"/>
            <w:left w:val="none" w:sz="0" w:space="0" w:color="auto"/>
            <w:bottom w:val="none" w:sz="0" w:space="0" w:color="auto"/>
            <w:right w:val="none" w:sz="0" w:space="0" w:color="auto"/>
          </w:divBdr>
        </w:div>
        <w:div w:id="1917280423">
          <w:marLeft w:val="0"/>
          <w:marRight w:val="0"/>
          <w:marTop w:val="0"/>
          <w:marBottom w:val="0"/>
          <w:divBdr>
            <w:top w:val="none" w:sz="0" w:space="0" w:color="auto"/>
            <w:left w:val="none" w:sz="0" w:space="0" w:color="auto"/>
            <w:bottom w:val="none" w:sz="0" w:space="0" w:color="auto"/>
            <w:right w:val="none" w:sz="0" w:space="0" w:color="auto"/>
          </w:divBdr>
        </w:div>
        <w:div w:id="2113238042">
          <w:marLeft w:val="0"/>
          <w:marRight w:val="0"/>
          <w:marTop w:val="0"/>
          <w:marBottom w:val="0"/>
          <w:divBdr>
            <w:top w:val="none" w:sz="0" w:space="0" w:color="auto"/>
            <w:left w:val="none" w:sz="0" w:space="0" w:color="auto"/>
            <w:bottom w:val="none" w:sz="0" w:space="0" w:color="auto"/>
            <w:right w:val="none" w:sz="0" w:space="0" w:color="auto"/>
          </w:divBdr>
        </w:div>
        <w:div w:id="1049691916">
          <w:marLeft w:val="0"/>
          <w:marRight w:val="0"/>
          <w:marTop w:val="0"/>
          <w:marBottom w:val="0"/>
          <w:divBdr>
            <w:top w:val="none" w:sz="0" w:space="0" w:color="auto"/>
            <w:left w:val="none" w:sz="0" w:space="0" w:color="auto"/>
            <w:bottom w:val="none" w:sz="0" w:space="0" w:color="auto"/>
            <w:right w:val="none" w:sz="0" w:space="0" w:color="auto"/>
          </w:divBdr>
        </w:div>
        <w:div w:id="1675768435">
          <w:marLeft w:val="0"/>
          <w:marRight w:val="0"/>
          <w:marTop w:val="0"/>
          <w:marBottom w:val="0"/>
          <w:divBdr>
            <w:top w:val="none" w:sz="0" w:space="0" w:color="auto"/>
            <w:left w:val="none" w:sz="0" w:space="0" w:color="auto"/>
            <w:bottom w:val="none" w:sz="0" w:space="0" w:color="auto"/>
            <w:right w:val="none" w:sz="0" w:space="0" w:color="auto"/>
          </w:divBdr>
        </w:div>
        <w:div w:id="2128857">
          <w:marLeft w:val="0"/>
          <w:marRight w:val="0"/>
          <w:marTop w:val="0"/>
          <w:marBottom w:val="0"/>
          <w:divBdr>
            <w:top w:val="none" w:sz="0" w:space="0" w:color="auto"/>
            <w:left w:val="none" w:sz="0" w:space="0" w:color="auto"/>
            <w:bottom w:val="none" w:sz="0" w:space="0" w:color="auto"/>
            <w:right w:val="none" w:sz="0" w:space="0" w:color="auto"/>
          </w:divBdr>
        </w:div>
        <w:div w:id="1622299769">
          <w:marLeft w:val="0"/>
          <w:marRight w:val="0"/>
          <w:marTop w:val="0"/>
          <w:marBottom w:val="0"/>
          <w:divBdr>
            <w:top w:val="none" w:sz="0" w:space="0" w:color="auto"/>
            <w:left w:val="none" w:sz="0" w:space="0" w:color="auto"/>
            <w:bottom w:val="none" w:sz="0" w:space="0" w:color="auto"/>
            <w:right w:val="none" w:sz="0" w:space="0" w:color="auto"/>
          </w:divBdr>
        </w:div>
        <w:div w:id="1085302778">
          <w:marLeft w:val="0"/>
          <w:marRight w:val="0"/>
          <w:marTop w:val="0"/>
          <w:marBottom w:val="0"/>
          <w:divBdr>
            <w:top w:val="none" w:sz="0" w:space="0" w:color="auto"/>
            <w:left w:val="none" w:sz="0" w:space="0" w:color="auto"/>
            <w:bottom w:val="none" w:sz="0" w:space="0" w:color="auto"/>
            <w:right w:val="none" w:sz="0" w:space="0" w:color="auto"/>
          </w:divBdr>
        </w:div>
        <w:div w:id="427195690">
          <w:marLeft w:val="0"/>
          <w:marRight w:val="0"/>
          <w:marTop w:val="0"/>
          <w:marBottom w:val="0"/>
          <w:divBdr>
            <w:top w:val="none" w:sz="0" w:space="0" w:color="auto"/>
            <w:left w:val="none" w:sz="0" w:space="0" w:color="auto"/>
            <w:bottom w:val="none" w:sz="0" w:space="0" w:color="auto"/>
            <w:right w:val="none" w:sz="0" w:space="0" w:color="auto"/>
          </w:divBdr>
        </w:div>
        <w:div w:id="1373850232">
          <w:marLeft w:val="0"/>
          <w:marRight w:val="0"/>
          <w:marTop w:val="0"/>
          <w:marBottom w:val="0"/>
          <w:divBdr>
            <w:top w:val="none" w:sz="0" w:space="0" w:color="auto"/>
            <w:left w:val="none" w:sz="0" w:space="0" w:color="auto"/>
            <w:bottom w:val="none" w:sz="0" w:space="0" w:color="auto"/>
            <w:right w:val="none" w:sz="0" w:space="0" w:color="auto"/>
          </w:divBdr>
        </w:div>
        <w:div w:id="1891257964">
          <w:marLeft w:val="0"/>
          <w:marRight w:val="0"/>
          <w:marTop w:val="0"/>
          <w:marBottom w:val="0"/>
          <w:divBdr>
            <w:top w:val="none" w:sz="0" w:space="0" w:color="auto"/>
            <w:left w:val="none" w:sz="0" w:space="0" w:color="auto"/>
            <w:bottom w:val="none" w:sz="0" w:space="0" w:color="auto"/>
            <w:right w:val="none" w:sz="0" w:space="0" w:color="auto"/>
          </w:divBdr>
        </w:div>
        <w:div w:id="843862312">
          <w:marLeft w:val="0"/>
          <w:marRight w:val="0"/>
          <w:marTop w:val="0"/>
          <w:marBottom w:val="0"/>
          <w:divBdr>
            <w:top w:val="none" w:sz="0" w:space="0" w:color="auto"/>
            <w:left w:val="none" w:sz="0" w:space="0" w:color="auto"/>
            <w:bottom w:val="none" w:sz="0" w:space="0" w:color="auto"/>
            <w:right w:val="none" w:sz="0" w:space="0" w:color="auto"/>
          </w:divBdr>
        </w:div>
        <w:div w:id="2081831098">
          <w:marLeft w:val="0"/>
          <w:marRight w:val="0"/>
          <w:marTop w:val="0"/>
          <w:marBottom w:val="0"/>
          <w:divBdr>
            <w:top w:val="none" w:sz="0" w:space="0" w:color="auto"/>
            <w:left w:val="none" w:sz="0" w:space="0" w:color="auto"/>
            <w:bottom w:val="none" w:sz="0" w:space="0" w:color="auto"/>
            <w:right w:val="none" w:sz="0" w:space="0" w:color="auto"/>
          </w:divBdr>
        </w:div>
        <w:div w:id="1049651590">
          <w:marLeft w:val="0"/>
          <w:marRight w:val="0"/>
          <w:marTop w:val="0"/>
          <w:marBottom w:val="0"/>
          <w:divBdr>
            <w:top w:val="none" w:sz="0" w:space="0" w:color="auto"/>
            <w:left w:val="none" w:sz="0" w:space="0" w:color="auto"/>
            <w:bottom w:val="none" w:sz="0" w:space="0" w:color="auto"/>
            <w:right w:val="none" w:sz="0" w:space="0" w:color="auto"/>
          </w:divBdr>
        </w:div>
        <w:div w:id="1583685796">
          <w:marLeft w:val="0"/>
          <w:marRight w:val="0"/>
          <w:marTop w:val="0"/>
          <w:marBottom w:val="0"/>
          <w:divBdr>
            <w:top w:val="none" w:sz="0" w:space="0" w:color="auto"/>
            <w:left w:val="none" w:sz="0" w:space="0" w:color="auto"/>
            <w:bottom w:val="none" w:sz="0" w:space="0" w:color="auto"/>
            <w:right w:val="none" w:sz="0" w:space="0" w:color="auto"/>
          </w:divBdr>
        </w:div>
        <w:div w:id="1004237133">
          <w:marLeft w:val="0"/>
          <w:marRight w:val="0"/>
          <w:marTop w:val="0"/>
          <w:marBottom w:val="0"/>
          <w:divBdr>
            <w:top w:val="none" w:sz="0" w:space="0" w:color="auto"/>
            <w:left w:val="none" w:sz="0" w:space="0" w:color="auto"/>
            <w:bottom w:val="none" w:sz="0" w:space="0" w:color="auto"/>
            <w:right w:val="none" w:sz="0" w:space="0" w:color="auto"/>
          </w:divBdr>
        </w:div>
        <w:div w:id="1013262635">
          <w:marLeft w:val="0"/>
          <w:marRight w:val="0"/>
          <w:marTop w:val="0"/>
          <w:marBottom w:val="0"/>
          <w:divBdr>
            <w:top w:val="none" w:sz="0" w:space="0" w:color="auto"/>
            <w:left w:val="none" w:sz="0" w:space="0" w:color="auto"/>
            <w:bottom w:val="none" w:sz="0" w:space="0" w:color="auto"/>
            <w:right w:val="none" w:sz="0" w:space="0" w:color="auto"/>
          </w:divBdr>
        </w:div>
        <w:div w:id="1863057746">
          <w:marLeft w:val="0"/>
          <w:marRight w:val="0"/>
          <w:marTop w:val="0"/>
          <w:marBottom w:val="0"/>
          <w:divBdr>
            <w:top w:val="none" w:sz="0" w:space="0" w:color="auto"/>
            <w:left w:val="none" w:sz="0" w:space="0" w:color="auto"/>
            <w:bottom w:val="none" w:sz="0" w:space="0" w:color="auto"/>
            <w:right w:val="none" w:sz="0" w:space="0" w:color="auto"/>
          </w:divBdr>
        </w:div>
        <w:div w:id="889920702">
          <w:marLeft w:val="0"/>
          <w:marRight w:val="0"/>
          <w:marTop w:val="0"/>
          <w:marBottom w:val="0"/>
          <w:divBdr>
            <w:top w:val="none" w:sz="0" w:space="0" w:color="auto"/>
            <w:left w:val="none" w:sz="0" w:space="0" w:color="auto"/>
            <w:bottom w:val="none" w:sz="0" w:space="0" w:color="auto"/>
            <w:right w:val="none" w:sz="0" w:space="0" w:color="auto"/>
          </w:divBdr>
        </w:div>
        <w:div w:id="928543988">
          <w:marLeft w:val="0"/>
          <w:marRight w:val="0"/>
          <w:marTop w:val="0"/>
          <w:marBottom w:val="0"/>
          <w:divBdr>
            <w:top w:val="none" w:sz="0" w:space="0" w:color="auto"/>
            <w:left w:val="none" w:sz="0" w:space="0" w:color="auto"/>
            <w:bottom w:val="none" w:sz="0" w:space="0" w:color="auto"/>
            <w:right w:val="none" w:sz="0" w:space="0" w:color="auto"/>
          </w:divBdr>
        </w:div>
        <w:div w:id="1442066575">
          <w:marLeft w:val="0"/>
          <w:marRight w:val="0"/>
          <w:marTop w:val="0"/>
          <w:marBottom w:val="0"/>
          <w:divBdr>
            <w:top w:val="none" w:sz="0" w:space="0" w:color="auto"/>
            <w:left w:val="none" w:sz="0" w:space="0" w:color="auto"/>
            <w:bottom w:val="none" w:sz="0" w:space="0" w:color="auto"/>
            <w:right w:val="none" w:sz="0" w:space="0" w:color="auto"/>
          </w:divBdr>
        </w:div>
        <w:div w:id="2016422383">
          <w:marLeft w:val="0"/>
          <w:marRight w:val="0"/>
          <w:marTop w:val="0"/>
          <w:marBottom w:val="0"/>
          <w:divBdr>
            <w:top w:val="none" w:sz="0" w:space="0" w:color="auto"/>
            <w:left w:val="none" w:sz="0" w:space="0" w:color="auto"/>
            <w:bottom w:val="none" w:sz="0" w:space="0" w:color="auto"/>
            <w:right w:val="none" w:sz="0" w:space="0" w:color="auto"/>
          </w:divBdr>
        </w:div>
        <w:div w:id="951744319">
          <w:marLeft w:val="0"/>
          <w:marRight w:val="0"/>
          <w:marTop w:val="0"/>
          <w:marBottom w:val="0"/>
          <w:divBdr>
            <w:top w:val="none" w:sz="0" w:space="0" w:color="auto"/>
            <w:left w:val="none" w:sz="0" w:space="0" w:color="auto"/>
            <w:bottom w:val="none" w:sz="0" w:space="0" w:color="auto"/>
            <w:right w:val="none" w:sz="0" w:space="0" w:color="auto"/>
          </w:divBdr>
        </w:div>
        <w:div w:id="1555695177">
          <w:marLeft w:val="0"/>
          <w:marRight w:val="0"/>
          <w:marTop w:val="0"/>
          <w:marBottom w:val="0"/>
          <w:divBdr>
            <w:top w:val="none" w:sz="0" w:space="0" w:color="auto"/>
            <w:left w:val="none" w:sz="0" w:space="0" w:color="auto"/>
            <w:bottom w:val="none" w:sz="0" w:space="0" w:color="auto"/>
            <w:right w:val="none" w:sz="0" w:space="0" w:color="auto"/>
          </w:divBdr>
        </w:div>
        <w:div w:id="860778051">
          <w:marLeft w:val="0"/>
          <w:marRight w:val="0"/>
          <w:marTop w:val="0"/>
          <w:marBottom w:val="0"/>
          <w:divBdr>
            <w:top w:val="none" w:sz="0" w:space="0" w:color="auto"/>
            <w:left w:val="none" w:sz="0" w:space="0" w:color="auto"/>
            <w:bottom w:val="none" w:sz="0" w:space="0" w:color="auto"/>
            <w:right w:val="none" w:sz="0" w:space="0" w:color="auto"/>
          </w:divBdr>
        </w:div>
        <w:div w:id="607664705">
          <w:marLeft w:val="0"/>
          <w:marRight w:val="0"/>
          <w:marTop w:val="0"/>
          <w:marBottom w:val="0"/>
          <w:divBdr>
            <w:top w:val="none" w:sz="0" w:space="0" w:color="auto"/>
            <w:left w:val="none" w:sz="0" w:space="0" w:color="auto"/>
            <w:bottom w:val="none" w:sz="0" w:space="0" w:color="auto"/>
            <w:right w:val="none" w:sz="0" w:space="0" w:color="auto"/>
          </w:divBdr>
        </w:div>
        <w:div w:id="1944026343">
          <w:marLeft w:val="0"/>
          <w:marRight w:val="0"/>
          <w:marTop w:val="0"/>
          <w:marBottom w:val="0"/>
          <w:divBdr>
            <w:top w:val="none" w:sz="0" w:space="0" w:color="auto"/>
            <w:left w:val="none" w:sz="0" w:space="0" w:color="auto"/>
            <w:bottom w:val="none" w:sz="0" w:space="0" w:color="auto"/>
            <w:right w:val="none" w:sz="0" w:space="0" w:color="auto"/>
          </w:divBdr>
        </w:div>
        <w:div w:id="1262954159">
          <w:marLeft w:val="0"/>
          <w:marRight w:val="0"/>
          <w:marTop w:val="0"/>
          <w:marBottom w:val="0"/>
          <w:divBdr>
            <w:top w:val="none" w:sz="0" w:space="0" w:color="auto"/>
            <w:left w:val="none" w:sz="0" w:space="0" w:color="auto"/>
            <w:bottom w:val="none" w:sz="0" w:space="0" w:color="auto"/>
            <w:right w:val="none" w:sz="0" w:space="0" w:color="auto"/>
          </w:divBdr>
        </w:div>
        <w:div w:id="447894561">
          <w:marLeft w:val="0"/>
          <w:marRight w:val="0"/>
          <w:marTop w:val="0"/>
          <w:marBottom w:val="0"/>
          <w:divBdr>
            <w:top w:val="none" w:sz="0" w:space="0" w:color="auto"/>
            <w:left w:val="none" w:sz="0" w:space="0" w:color="auto"/>
            <w:bottom w:val="none" w:sz="0" w:space="0" w:color="auto"/>
            <w:right w:val="none" w:sz="0" w:space="0" w:color="auto"/>
          </w:divBdr>
        </w:div>
        <w:div w:id="170027090">
          <w:marLeft w:val="0"/>
          <w:marRight w:val="0"/>
          <w:marTop w:val="0"/>
          <w:marBottom w:val="0"/>
          <w:divBdr>
            <w:top w:val="none" w:sz="0" w:space="0" w:color="auto"/>
            <w:left w:val="none" w:sz="0" w:space="0" w:color="auto"/>
            <w:bottom w:val="none" w:sz="0" w:space="0" w:color="auto"/>
            <w:right w:val="none" w:sz="0" w:space="0" w:color="auto"/>
          </w:divBdr>
        </w:div>
        <w:div w:id="1200433767">
          <w:marLeft w:val="0"/>
          <w:marRight w:val="0"/>
          <w:marTop w:val="0"/>
          <w:marBottom w:val="0"/>
          <w:divBdr>
            <w:top w:val="none" w:sz="0" w:space="0" w:color="auto"/>
            <w:left w:val="none" w:sz="0" w:space="0" w:color="auto"/>
            <w:bottom w:val="none" w:sz="0" w:space="0" w:color="auto"/>
            <w:right w:val="none" w:sz="0" w:space="0" w:color="auto"/>
          </w:divBdr>
        </w:div>
        <w:div w:id="1155073765">
          <w:marLeft w:val="0"/>
          <w:marRight w:val="0"/>
          <w:marTop w:val="0"/>
          <w:marBottom w:val="0"/>
          <w:divBdr>
            <w:top w:val="none" w:sz="0" w:space="0" w:color="auto"/>
            <w:left w:val="none" w:sz="0" w:space="0" w:color="auto"/>
            <w:bottom w:val="none" w:sz="0" w:space="0" w:color="auto"/>
            <w:right w:val="none" w:sz="0" w:space="0" w:color="auto"/>
          </w:divBdr>
        </w:div>
        <w:div w:id="189072595">
          <w:marLeft w:val="0"/>
          <w:marRight w:val="0"/>
          <w:marTop w:val="0"/>
          <w:marBottom w:val="0"/>
          <w:divBdr>
            <w:top w:val="none" w:sz="0" w:space="0" w:color="auto"/>
            <w:left w:val="none" w:sz="0" w:space="0" w:color="auto"/>
            <w:bottom w:val="none" w:sz="0" w:space="0" w:color="auto"/>
            <w:right w:val="none" w:sz="0" w:space="0" w:color="auto"/>
          </w:divBdr>
        </w:div>
        <w:div w:id="182013133">
          <w:marLeft w:val="0"/>
          <w:marRight w:val="0"/>
          <w:marTop w:val="0"/>
          <w:marBottom w:val="0"/>
          <w:divBdr>
            <w:top w:val="none" w:sz="0" w:space="0" w:color="auto"/>
            <w:left w:val="none" w:sz="0" w:space="0" w:color="auto"/>
            <w:bottom w:val="none" w:sz="0" w:space="0" w:color="auto"/>
            <w:right w:val="none" w:sz="0" w:space="0" w:color="auto"/>
          </w:divBdr>
        </w:div>
        <w:div w:id="79303951">
          <w:marLeft w:val="0"/>
          <w:marRight w:val="0"/>
          <w:marTop w:val="0"/>
          <w:marBottom w:val="0"/>
          <w:divBdr>
            <w:top w:val="none" w:sz="0" w:space="0" w:color="auto"/>
            <w:left w:val="none" w:sz="0" w:space="0" w:color="auto"/>
            <w:bottom w:val="none" w:sz="0" w:space="0" w:color="auto"/>
            <w:right w:val="none" w:sz="0" w:space="0" w:color="auto"/>
          </w:divBdr>
        </w:div>
        <w:div w:id="1625308421">
          <w:marLeft w:val="0"/>
          <w:marRight w:val="0"/>
          <w:marTop w:val="0"/>
          <w:marBottom w:val="0"/>
          <w:divBdr>
            <w:top w:val="none" w:sz="0" w:space="0" w:color="auto"/>
            <w:left w:val="none" w:sz="0" w:space="0" w:color="auto"/>
            <w:bottom w:val="none" w:sz="0" w:space="0" w:color="auto"/>
            <w:right w:val="none" w:sz="0" w:space="0" w:color="auto"/>
          </w:divBdr>
        </w:div>
        <w:div w:id="2010020077">
          <w:marLeft w:val="0"/>
          <w:marRight w:val="0"/>
          <w:marTop w:val="0"/>
          <w:marBottom w:val="0"/>
          <w:divBdr>
            <w:top w:val="none" w:sz="0" w:space="0" w:color="auto"/>
            <w:left w:val="none" w:sz="0" w:space="0" w:color="auto"/>
            <w:bottom w:val="none" w:sz="0" w:space="0" w:color="auto"/>
            <w:right w:val="none" w:sz="0" w:space="0" w:color="auto"/>
          </w:divBdr>
        </w:div>
        <w:div w:id="957565720">
          <w:marLeft w:val="0"/>
          <w:marRight w:val="0"/>
          <w:marTop w:val="0"/>
          <w:marBottom w:val="0"/>
          <w:divBdr>
            <w:top w:val="none" w:sz="0" w:space="0" w:color="auto"/>
            <w:left w:val="none" w:sz="0" w:space="0" w:color="auto"/>
            <w:bottom w:val="none" w:sz="0" w:space="0" w:color="auto"/>
            <w:right w:val="none" w:sz="0" w:space="0" w:color="auto"/>
          </w:divBdr>
        </w:div>
        <w:div w:id="42796975">
          <w:marLeft w:val="0"/>
          <w:marRight w:val="0"/>
          <w:marTop w:val="0"/>
          <w:marBottom w:val="0"/>
          <w:divBdr>
            <w:top w:val="none" w:sz="0" w:space="0" w:color="auto"/>
            <w:left w:val="none" w:sz="0" w:space="0" w:color="auto"/>
            <w:bottom w:val="none" w:sz="0" w:space="0" w:color="auto"/>
            <w:right w:val="none" w:sz="0" w:space="0" w:color="auto"/>
          </w:divBdr>
        </w:div>
        <w:div w:id="1078864019">
          <w:marLeft w:val="0"/>
          <w:marRight w:val="0"/>
          <w:marTop w:val="0"/>
          <w:marBottom w:val="0"/>
          <w:divBdr>
            <w:top w:val="none" w:sz="0" w:space="0" w:color="auto"/>
            <w:left w:val="none" w:sz="0" w:space="0" w:color="auto"/>
            <w:bottom w:val="none" w:sz="0" w:space="0" w:color="auto"/>
            <w:right w:val="none" w:sz="0" w:space="0" w:color="auto"/>
          </w:divBdr>
        </w:div>
        <w:div w:id="419445417">
          <w:marLeft w:val="0"/>
          <w:marRight w:val="0"/>
          <w:marTop w:val="0"/>
          <w:marBottom w:val="0"/>
          <w:divBdr>
            <w:top w:val="none" w:sz="0" w:space="0" w:color="auto"/>
            <w:left w:val="none" w:sz="0" w:space="0" w:color="auto"/>
            <w:bottom w:val="none" w:sz="0" w:space="0" w:color="auto"/>
            <w:right w:val="none" w:sz="0" w:space="0" w:color="auto"/>
          </w:divBdr>
        </w:div>
        <w:div w:id="253705686">
          <w:marLeft w:val="0"/>
          <w:marRight w:val="0"/>
          <w:marTop w:val="0"/>
          <w:marBottom w:val="0"/>
          <w:divBdr>
            <w:top w:val="none" w:sz="0" w:space="0" w:color="auto"/>
            <w:left w:val="none" w:sz="0" w:space="0" w:color="auto"/>
            <w:bottom w:val="none" w:sz="0" w:space="0" w:color="auto"/>
            <w:right w:val="none" w:sz="0" w:space="0" w:color="auto"/>
          </w:divBdr>
        </w:div>
        <w:div w:id="1326739990">
          <w:marLeft w:val="0"/>
          <w:marRight w:val="0"/>
          <w:marTop w:val="0"/>
          <w:marBottom w:val="0"/>
          <w:divBdr>
            <w:top w:val="none" w:sz="0" w:space="0" w:color="auto"/>
            <w:left w:val="none" w:sz="0" w:space="0" w:color="auto"/>
            <w:bottom w:val="none" w:sz="0" w:space="0" w:color="auto"/>
            <w:right w:val="none" w:sz="0" w:space="0" w:color="auto"/>
          </w:divBdr>
        </w:div>
        <w:div w:id="1323898563">
          <w:marLeft w:val="0"/>
          <w:marRight w:val="0"/>
          <w:marTop w:val="0"/>
          <w:marBottom w:val="0"/>
          <w:divBdr>
            <w:top w:val="none" w:sz="0" w:space="0" w:color="auto"/>
            <w:left w:val="none" w:sz="0" w:space="0" w:color="auto"/>
            <w:bottom w:val="none" w:sz="0" w:space="0" w:color="auto"/>
            <w:right w:val="none" w:sz="0" w:space="0" w:color="auto"/>
          </w:divBdr>
        </w:div>
        <w:div w:id="1437672836">
          <w:marLeft w:val="0"/>
          <w:marRight w:val="0"/>
          <w:marTop w:val="0"/>
          <w:marBottom w:val="0"/>
          <w:divBdr>
            <w:top w:val="none" w:sz="0" w:space="0" w:color="auto"/>
            <w:left w:val="none" w:sz="0" w:space="0" w:color="auto"/>
            <w:bottom w:val="none" w:sz="0" w:space="0" w:color="auto"/>
            <w:right w:val="none" w:sz="0" w:space="0" w:color="auto"/>
          </w:divBdr>
        </w:div>
        <w:div w:id="1095517115">
          <w:marLeft w:val="0"/>
          <w:marRight w:val="0"/>
          <w:marTop w:val="0"/>
          <w:marBottom w:val="0"/>
          <w:divBdr>
            <w:top w:val="none" w:sz="0" w:space="0" w:color="auto"/>
            <w:left w:val="none" w:sz="0" w:space="0" w:color="auto"/>
            <w:bottom w:val="none" w:sz="0" w:space="0" w:color="auto"/>
            <w:right w:val="none" w:sz="0" w:space="0" w:color="auto"/>
          </w:divBdr>
        </w:div>
        <w:div w:id="11346741">
          <w:marLeft w:val="0"/>
          <w:marRight w:val="0"/>
          <w:marTop w:val="0"/>
          <w:marBottom w:val="0"/>
          <w:divBdr>
            <w:top w:val="none" w:sz="0" w:space="0" w:color="auto"/>
            <w:left w:val="none" w:sz="0" w:space="0" w:color="auto"/>
            <w:bottom w:val="none" w:sz="0" w:space="0" w:color="auto"/>
            <w:right w:val="none" w:sz="0" w:space="0" w:color="auto"/>
          </w:divBdr>
        </w:div>
        <w:div w:id="755708973">
          <w:marLeft w:val="0"/>
          <w:marRight w:val="0"/>
          <w:marTop w:val="0"/>
          <w:marBottom w:val="0"/>
          <w:divBdr>
            <w:top w:val="none" w:sz="0" w:space="0" w:color="auto"/>
            <w:left w:val="none" w:sz="0" w:space="0" w:color="auto"/>
            <w:bottom w:val="none" w:sz="0" w:space="0" w:color="auto"/>
            <w:right w:val="none" w:sz="0" w:space="0" w:color="auto"/>
          </w:divBdr>
        </w:div>
        <w:div w:id="1065180142">
          <w:marLeft w:val="0"/>
          <w:marRight w:val="0"/>
          <w:marTop w:val="0"/>
          <w:marBottom w:val="0"/>
          <w:divBdr>
            <w:top w:val="none" w:sz="0" w:space="0" w:color="auto"/>
            <w:left w:val="none" w:sz="0" w:space="0" w:color="auto"/>
            <w:bottom w:val="none" w:sz="0" w:space="0" w:color="auto"/>
            <w:right w:val="none" w:sz="0" w:space="0" w:color="auto"/>
          </w:divBdr>
        </w:div>
        <w:div w:id="1798835517">
          <w:marLeft w:val="0"/>
          <w:marRight w:val="0"/>
          <w:marTop w:val="0"/>
          <w:marBottom w:val="0"/>
          <w:divBdr>
            <w:top w:val="none" w:sz="0" w:space="0" w:color="auto"/>
            <w:left w:val="none" w:sz="0" w:space="0" w:color="auto"/>
            <w:bottom w:val="none" w:sz="0" w:space="0" w:color="auto"/>
            <w:right w:val="none" w:sz="0" w:space="0" w:color="auto"/>
          </w:divBdr>
        </w:div>
        <w:div w:id="1964996024">
          <w:marLeft w:val="0"/>
          <w:marRight w:val="0"/>
          <w:marTop w:val="0"/>
          <w:marBottom w:val="0"/>
          <w:divBdr>
            <w:top w:val="none" w:sz="0" w:space="0" w:color="auto"/>
            <w:left w:val="none" w:sz="0" w:space="0" w:color="auto"/>
            <w:bottom w:val="none" w:sz="0" w:space="0" w:color="auto"/>
            <w:right w:val="none" w:sz="0" w:space="0" w:color="auto"/>
          </w:divBdr>
        </w:div>
        <w:div w:id="1280529828">
          <w:marLeft w:val="0"/>
          <w:marRight w:val="0"/>
          <w:marTop w:val="0"/>
          <w:marBottom w:val="0"/>
          <w:divBdr>
            <w:top w:val="none" w:sz="0" w:space="0" w:color="auto"/>
            <w:left w:val="none" w:sz="0" w:space="0" w:color="auto"/>
            <w:bottom w:val="none" w:sz="0" w:space="0" w:color="auto"/>
            <w:right w:val="none" w:sz="0" w:space="0" w:color="auto"/>
          </w:divBdr>
        </w:div>
        <w:div w:id="181866459">
          <w:marLeft w:val="0"/>
          <w:marRight w:val="0"/>
          <w:marTop w:val="0"/>
          <w:marBottom w:val="0"/>
          <w:divBdr>
            <w:top w:val="none" w:sz="0" w:space="0" w:color="auto"/>
            <w:left w:val="none" w:sz="0" w:space="0" w:color="auto"/>
            <w:bottom w:val="none" w:sz="0" w:space="0" w:color="auto"/>
            <w:right w:val="none" w:sz="0" w:space="0" w:color="auto"/>
          </w:divBdr>
        </w:div>
        <w:div w:id="1351031396">
          <w:marLeft w:val="0"/>
          <w:marRight w:val="0"/>
          <w:marTop w:val="0"/>
          <w:marBottom w:val="0"/>
          <w:divBdr>
            <w:top w:val="none" w:sz="0" w:space="0" w:color="auto"/>
            <w:left w:val="none" w:sz="0" w:space="0" w:color="auto"/>
            <w:bottom w:val="none" w:sz="0" w:space="0" w:color="auto"/>
            <w:right w:val="none" w:sz="0" w:space="0" w:color="auto"/>
          </w:divBdr>
        </w:div>
        <w:div w:id="287901030">
          <w:marLeft w:val="0"/>
          <w:marRight w:val="0"/>
          <w:marTop w:val="0"/>
          <w:marBottom w:val="0"/>
          <w:divBdr>
            <w:top w:val="none" w:sz="0" w:space="0" w:color="auto"/>
            <w:left w:val="none" w:sz="0" w:space="0" w:color="auto"/>
            <w:bottom w:val="none" w:sz="0" w:space="0" w:color="auto"/>
            <w:right w:val="none" w:sz="0" w:space="0" w:color="auto"/>
          </w:divBdr>
        </w:div>
        <w:div w:id="862013061">
          <w:marLeft w:val="0"/>
          <w:marRight w:val="0"/>
          <w:marTop w:val="0"/>
          <w:marBottom w:val="0"/>
          <w:divBdr>
            <w:top w:val="none" w:sz="0" w:space="0" w:color="auto"/>
            <w:left w:val="none" w:sz="0" w:space="0" w:color="auto"/>
            <w:bottom w:val="none" w:sz="0" w:space="0" w:color="auto"/>
            <w:right w:val="none" w:sz="0" w:space="0" w:color="auto"/>
          </w:divBdr>
        </w:div>
        <w:div w:id="1779065265">
          <w:marLeft w:val="0"/>
          <w:marRight w:val="0"/>
          <w:marTop w:val="0"/>
          <w:marBottom w:val="0"/>
          <w:divBdr>
            <w:top w:val="none" w:sz="0" w:space="0" w:color="auto"/>
            <w:left w:val="none" w:sz="0" w:space="0" w:color="auto"/>
            <w:bottom w:val="none" w:sz="0" w:space="0" w:color="auto"/>
            <w:right w:val="none" w:sz="0" w:space="0" w:color="auto"/>
          </w:divBdr>
        </w:div>
        <w:div w:id="2052144489">
          <w:marLeft w:val="0"/>
          <w:marRight w:val="0"/>
          <w:marTop w:val="0"/>
          <w:marBottom w:val="0"/>
          <w:divBdr>
            <w:top w:val="none" w:sz="0" w:space="0" w:color="auto"/>
            <w:left w:val="none" w:sz="0" w:space="0" w:color="auto"/>
            <w:bottom w:val="none" w:sz="0" w:space="0" w:color="auto"/>
            <w:right w:val="none" w:sz="0" w:space="0" w:color="auto"/>
          </w:divBdr>
        </w:div>
        <w:div w:id="45643340">
          <w:marLeft w:val="0"/>
          <w:marRight w:val="0"/>
          <w:marTop w:val="0"/>
          <w:marBottom w:val="0"/>
          <w:divBdr>
            <w:top w:val="none" w:sz="0" w:space="0" w:color="auto"/>
            <w:left w:val="none" w:sz="0" w:space="0" w:color="auto"/>
            <w:bottom w:val="none" w:sz="0" w:space="0" w:color="auto"/>
            <w:right w:val="none" w:sz="0" w:space="0" w:color="auto"/>
          </w:divBdr>
        </w:div>
        <w:div w:id="1858228415">
          <w:marLeft w:val="0"/>
          <w:marRight w:val="0"/>
          <w:marTop w:val="0"/>
          <w:marBottom w:val="0"/>
          <w:divBdr>
            <w:top w:val="none" w:sz="0" w:space="0" w:color="auto"/>
            <w:left w:val="none" w:sz="0" w:space="0" w:color="auto"/>
            <w:bottom w:val="none" w:sz="0" w:space="0" w:color="auto"/>
            <w:right w:val="none" w:sz="0" w:space="0" w:color="auto"/>
          </w:divBdr>
        </w:div>
        <w:div w:id="1494642469">
          <w:marLeft w:val="0"/>
          <w:marRight w:val="0"/>
          <w:marTop w:val="0"/>
          <w:marBottom w:val="0"/>
          <w:divBdr>
            <w:top w:val="none" w:sz="0" w:space="0" w:color="auto"/>
            <w:left w:val="none" w:sz="0" w:space="0" w:color="auto"/>
            <w:bottom w:val="none" w:sz="0" w:space="0" w:color="auto"/>
            <w:right w:val="none" w:sz="0" w:space="0" w:color="auto"/>
          </w:divBdr>
        </w:div>
        <w:div w:id="425805323">
          <w:marLeft w:val="0"/>
          <w:marRight w:val="0"/>
          <w:marTop w:val="0"/>
          <w:marBottom w:val="0"/>
          <w:divBdr>
            <w:top w:val="none" w:sz="0" w:space="0" w:color="auto"/>
            <w:left w:val="none" w:sz="0" w:space="0" w:color="auto"/>
            <w:bottom w:val="none" w:sz="0" w:space="0" w:color="auto"/>
            <w:right w:val="none" w:sz="0" w:space="0" w:color="auto"/>
          </w:divBdr>
        </w:div>
        <w:div w:id="1104375649">
          <w:marLeft w:val="0"/>
          <w:marRight w:val="0"/>
          <w:marTop w:val="0"/>
          <w:marBottom w:val="0"/>
          <w:divBdr>
            <w:top w:val="none" w:sz="0" w:space="0" w:color="auto"/>
            <w:left w:val="none" w:sz="0" w:space="0" w:color="auto"/>
            <w:bottom w:val="none" w:sz="0" w:space="0" w:color="auto"/>
            <w:right w:val="none" w:sz="0" w:space="0" w:color="auto"/>
          </w:divBdr>
        </w:div>
        <w:div w:id="187333776">
          <w:marLeft w:val="0"/>
          <w:marRight w:val="0"/>
          <w:marTop w:val="0"/>
          <w:marBottom w:val="0"/>
          <w:divBdr>
            <w:top w:val="none" w:sz="0" w:space="0" w:color="auto"/>
            <w:left w:val="none" w:sz="0" w:space="0" w:color="auto"/>
            <w:bottom w:val="none" w:sz="0" w:space="0" w:color="auto"/>
            <w:right w:val="none" w:sz="0" w:space="0" w:color="auto"/>
          </w:divBdr>
        </w:div>
        <w:div w:id="1206675491">
          <w:marLeft w:val="0"/>
          <w:marRight w:val="0"/>
          <w:marTop w:val="0"/>
          <w:marBottom w:val="0"/>
          <w:divBdr>
            <w:top w:val="none" w:sz="0" w:space="0" w:color="auto"/>
            <w:left w:val="none" w:sz="0" w:space="0" w:color="auto"/>
            <w:bottom w:val="none" w:sz="0" w:space="0" w:color="auto"/>
            <w:right w:val="none" w:sz="0" w:space="0" w:color="auto"/>
          </w:divBdr>
        </w:div>
        <w:div w:id="745029848">
          <w:marLeft w:val="0"/>
          <w:marRight w:val="0"/>
          <w:marTop w:val="0"/>
          <w:marBottom w:val="0"/>
          <w:divBdr>
            <w:top w:val="none" w:sz="0" w:space="0" w:color="auto"/>
            <w:left w:val="none" w:sz="0" w:space="0" w:color="auto"/>
            <w:bottom w:val="none" w:sz="0" w:space="0" w:color="auto"/>
            <w:right w:val="none" w:sz="0" w:space="0" w:color="auto"/>
          </w:divBdr>
        </w:div>
        <w:div w:id="1110589744">
          <w:marLeft w:val="0"/>
          <w:marRight w:val="0"/>
          <w:marTop w:val="0"/>
          <w:marBottom w:val="0"/>
          <w:divBdr>
            <w:top w:val="none" w:sz="0" w:space="0" w:color="auto"/>
            <w:left w:val="none" w:sz="0" w:space="0" w:color="auto"/>
            <w:bottom w:val="none" w:sz="0" w:space="0" w:color="auto"/>
            <w:right w:val="none" w:sz="0" w:space="0" w:color="auto"/>
          </w:divBdr>
        </w:div>
        <w:div w:id="1759403385">
          <w:marLeft w:val="0"/>
          <w:marRight w:val="0"/>
          <w:marTop w:val="0"/>
          <w:marBottom w:val="0"/>
          <w:divBdr>
            <w:top w:val="none" w:sz="0" w:space="0" w:color="auto"/>
            <w:left w:val="none" w:sz="0" w:space="0" w:color="auto"/>
            <w:bottom w:val="none" w:sz="0" w:space="0" w:color="auto"/>
            <w:right w:val="none" w:sz="0" w:space="0" w:color="auto"/>
          </w:divBdr>
        </w:div>
        <w:div w:id="262809970">
          <w:marLeft w:val="0"/>
          <w:marRight w:val="0"/>
          <w:marTop w:val="0"/>
          <w:marBottom w:val="0"/>
          <w:divBdr>
            <w:top w:val="none" w:sz="0" w:space="0" w:color="auto"/>
            <w:left w:val="none" w:sz="0" w:space="0" w:color="auto"/>
            <w:bottom w:val="none" w:sz="0" w:space="0" w:color="auto"/>
            <w:right w:val="none" w:sz="0" w:space="0" w:color="auto"/>
          </w:divBdr>
        </w:div>
        <w:div w:id="240455679">
          <w:marLeft w:val="0"/>
          <w:marRight w:val="0"/>
          <w:marTop w:val="0"/>
          <w:marBottom w:val="0"/>
          <w:divBdr>
            <w:top w:val="none" w:sz="0" w:space="0" w:color="auto"/>
            <w:left w:val="none" w:sz="0" w:space="0" w:color="auto"/>
            <w:bottom w:val="none" w:sz="0" w:space="0" w:color="auto"/>
            <w:right w:val="none" w:sz="0" w:space="0" w:color="auto"/>
          </w:divBdr>
        </w:div>
        <w:div w:id="1070420099">
          <w:marLeft w:val="0"/>
          <w:marRight w:val="0"/>
          <w:marTop w:val="0"/>
          <w:marBottom w:val="0"/>
          <w:divBdr>
            <w:top w:val="none" w:sz="0" w:space="0" w:color="auto"/>
            <w:left w:val="none" w:sz="0" w:space="0" w:color="auto"/>
            <w:bottom w:val="none" w:sz="0" w:space="0" w:color="auto"/>
            <w:right w:val="none" w:sz="0" w:space="0" w:color="auto"/>
          </w:divBdr>
        </w:div>
        <w:div w:id="1632444620">
          <w:marLeft w:val="0"/>
          <w:marRight w:val="0"/>
          <w:marTop w:val="0"/>
          <w:marBottom w:val="0"/>
          <w:divBdr>
            <w:top w:val="none" w:sz="0" w:space="0" w:color="auto"/>
            <w:left w:val="none" w:sz="0" w:space="0" w:color="auto"/>
            <w:bottom w:val="none" w:sz="0" w:space="0" w:color="auto"/>
            <w:right w:val="none" w:sz="0" w:space="0" w:color="auto"/>
          </w:divBdr>
        </w:div>
        <w:div w:id="1052776289">
          <w:marLeft w:val="0"/>
          <w:marRight w:val="0"/>
          <w:marTop w:val="0"/>
          <w:marBottom w:val="0"/>
          <w:divBdr>
            <w:top w:val="none" w:sz="0" w:space="0" w:color="auto"/>
            <w:left w:val="none" w:sz="0" w:space="0" w:color="auto"/>
            <w:bottom w:val="none" w:sz="0" w:space="0" w:color="auto"/>
            <w:right w:val="none" w:sz="0" w:space="0" w:color="auto"/>
          </w:divBdr>
        </w:div>
        <w:div w:id="2134863291">
          <w:marLeft w:val="0"/>
          <w:marRight w:val="0"/>
          <w:marTop w:val="0"/>
          <w:marBottom w:val="0"/>
          <w:divBdr>
            <w:top w:val="none" w:sz="0" w:space="0" w:color="auto"/>
            <w:left w:val="none" w:sz="0" w:space="0" w:color="auto"/>
            <w:bottom w:val="none" w:sz="0" w:space="0" w:color="auto"/>
            <w:right w:val="none" w:sz="0" w:space="0" w:color="auto"/>
          </w:divBdr>
        </w:div>
        <w:div w:id="907612564">
          <w:marLeft w:val="0"/>
          <w:marRight w:val="0"/>
          <w:marTop w:val="0"/>
          <w:marBottom w:val="0"/>
          <w:divBdr>
            <w:top w:val="none" w:sz="0" w:space="0" w:color="auto"/>
            <w:left w:val="none" w:sz="0" w:space="0" w:color="auto"/>
            <w:bottom w:val="none" w:sz="0" w:space="0" w:color="auto"/>
            <w:right w:val="none" w:sz="0" w:space="0" w:color="auto"/>
          </w:divBdr>
        </w:div>
        <w:div w:id="1708679695">
          <w:marLeft w:val="0"/>
          <w:marRight w:val="0"/>
          <w:marTop w:val="0"/>
          <w:marBottom w:val="0"/>
          <w:divBdr>
            <w:top w:val="none" w:sz="0" w:space="0" w:color="auto"/>
            <w:left w:val="none" w:sz="0" w:space="0" w:color="auto"/>
            <w:bottom w:val="none" w:sz="0" w:space="0" w:color="auto"/>
            <w:right w:val="none" w:sz="0" w:space="0" w:color="auto"/>
          </w:divBdr>
        </w:div>
        <w:div w:id="182862872">
          <w:marLeft w:val="0"/>
          <w:marRight w:val="0"/>
          <w:marTop w:val="0"/>
          <w:marBottom w:val="0"/>
          <w:divBdr>
            <w:top w:val="none" w:sz="0" w:space="0" w:color="auto"/>
            <w:left w:val="none" w:sz="0" w:space="0" w:color="auto"/>
            <w:bottom w:val="none" w:sz="0" w:space="0" w:color="auto"/>
            <w:right w:val="none" w:sz="0" w:space="0" w:color="auto"/>
          </w:divBdr>
        </w:div>
        <w:div w:id="1537503467">
          <w:marLeft w:val="0"/>
          <w:marRight w:val="0"/>
          <w:marTop w:val="0"/>
          <w:marBottom w:val="0"/>
          <w:divBdr>
            <w:top w:val="none" w:sz="0" w:space="0" w:color="auto"/>
            <w:left w:val="none" w:sz="0" w:space="0" w:color="auto"/>
            <w:bottom w:val="none" w:sz="0" w:space="0" w:color="auto"/>
            <w:right w:val="none" w:sz="0" w:space="0" w:color="auto"/>
          </w:divBdr>
        </w:div>
        <w:div w:id="2120955305">
          <w:marLeft w:val="0"/>
          <w:marRight w:val="0"/>
          <w:marTop w:val="0"/>
          <w:marBottom w:val="0"/>
          <w:divBdr>
            <w:top w:val="none" w:sz="0" w:space="0" w:color="auto"/>
            <w:left w:val="none" w:sz="0" w:space="0" w:color="auto"/>
            <w:bottom w:val="none" w:sz="0" w:space="0" w:color="auto"/>
            <w:right w:val="none" w:sz="0" w:space="0" w:color="auto"/>
          </w:divBdr>
        </w:div>
        <w:div w:id="458494372">
          <w:marLeft w:val="0"/>
          <w:marRight w:val="0"/>
          <w:marTop w:val="0"/>
          <w:marBottom w:val="0"/>
          <w:divBdr>
            <w:top w:val="none" w:sz="0" w:space="0" w:color="auto"/>
            <w:left w:val="none" w:sz="0" w:space="0" w:color="auto"/>
            <w:bottom w:val="none" w:sz="0" w:space="0" w:color="auto"/>
            <w:right w:val="none" w:sz="0" w:space="0" w:color="auto"/>
          </w:divBdr>
        </w:div>
        <w:div w:id="1196574192">
          <w:marLeft w:val="0"/>
          <w:marRight w:val="0"/>
          <w:marTop w:val="0"/>
          <w:marBottom w:val="0"/>
          <w:divBdr>
            <w:top w:val="none" w:sz="0" w:space="0" w:color="auto"/>
            <w:left w:val="none" w:sz="0" w:space="0" w:color="auto"/>
            <w:bottom w:val="none" w:sz="0" w:space="0" w:color="auto"/>
            <w:right w:val="none" w:sz="0" w:space="0" w:color="auto"/>
          </w:divBdr>
        </w:div>
        <w:div w:id="313412733">
          <w:marLeft w:val="0"/>
          <w:marRight w:val="0"/>
          <w:marTop w:val="0"/>
          <w:marBottom w:val="0"/>
          <w:divBdr>
            <w:top w:val="none" w:sz="0" w:space="0" w:color="auto"/>
            <w:left w:val="none" w:sz="0" w:space="0" w:color="auto"/>
            <w:bottom w:val="none" w:sz="0" w:space="0" w:color="auto"/>
            <w:right w:val="none" w:sz="0" w:space="0" w:color="auto"/>
          </w:divBdr>
        </w:div>
        <w:div w:id="60489736">
          <w:marLeft w:val="0"/>
          <w:marRight w:val="0"/>
          <w:marTop w:val="0"/>
          <w:marBottom w:val="0"/>
          <w:divBdr>
            <w:top w:val="none" w:sz="0" w:space="0" w:color="auto"/>
            <w:left w:val="none" w:sz="0" w:space="0" w:color="auto"/>
            <w:bottom w:val="none" w:sz="0" w:space="0" w:color="auto"/>
            <w:right w:val="none" w:sz="0" w:space="0" w:color="auto"/>
          </w:divBdr>
        </w:div>
        <w:div w:id="879517482">
          <w:marLeft w:val="0"/>
          <w:marRight w:val="0"/>
          <w:marTop w:val="0"/>
          <w:marBottom w:val="0"/>
          <w:divBdr>
            <w:top w:val="none" w:sz="0" w:space="0" w:color="auto"/>
            <w:left w:val="none" w:sz="0" w:space="0" w:color="auto"/>
            <w:bottom w:val="none" w:sz="0" w:space="0" w:color="auto"/>
            <w:right w:val="none" w:sz="0" w:space="0" w:color="auto"/>
          </w:divBdr>
        </w:div>
        <w:div w:id="1763606277">
          <w:marLeft w:val="0"/>
          <w:marRight w:val="0"/>
          <w:marTop w:val="0"/>
          <w:marBottom w:val="0"/>
          <w:divBdr>
            <w:top w:val="none" w:sz="0" w:space="0" w:color="auto"/>
            <w:left w:val="none" w:sz="0" w:space="0" w:color="auto"/>
            <w:bottom w:val="none" w:sz="0" w:space="0" w:color="auto"/>
            <w:right w:val="none" w:sz="0" w:space="0" w:color="auto"/>
          </w:divBdr>
        </w:div>
        <w:div w:id="2146459694">
          <w:marLeft w:val="0"/>
          <w:marRight w:val="0"/>
          <w:marTop w:val="0"/>
          <w:marBottom w:val="0"/>
          <w:divBdr>
            <w:top w:val="none" w:sz="0" w:space="0" w:color="auto"/>
            <w:left w:val="none" w:sz="0" w:space="0" w:color="auto"/>
            <w:bottom w:val="none" w:sz="0" w:space="0" w:color="auto"/>
            <w:right w:val="none" w:sz="0" w:space="0" w:color="auto"/>
          </w:divBdr>
        </w:div>
        <w:div w:id="1866359003">
          <w:marLeft w:val="0"/>
          <w:marRight w:val="0"/>
          <w:marTop w:val="0"/>
          <w:marBottom w:val="0"/>
          <w:divBdr>
            <w:top w:val="none" w:sz="0" w:space="0" w:color="auto"/>
            <w:left w:val="none" w:sz="0" w:space="0" w:color="auto"/>
            <w:bottom w:val="none" w:sz="0" w:space="0" w:color="auto"/>
            <w:right w:val="none" w:sz="0" w:space="0" w:color="auto"/>
          </w:divBdr>
        </w:div>
        <w:div w:id="780563570">
          <w:marLeft w:val="0"/>
          <w:marRight w:val="0"/>
          <w:marTop w:val="0"/>
          <w:marBottom w:val="0"/>
          <w:divBdr>
            <w:top w:val="none" w:sz="0" w:space="0" w:color="auto"/>
            <w:left w:val="none" w:sz="0" w:space="0" w:color="auto"/>
            <w:bottom w:val="none" w:sz="0" w:space="0" w:color="auto"/>
            <w:right w:val="none" w:sz="0" w:space="0" w:color="auto"/>
          </w:divBdr>
        </w:div>
        <w:div w:id="1579247350">
          <w:marLeft w:val="0"/>
          <w:marRight w:val="0"/>
          <w:marTop w:val="0"/>
          <w:marBottom w:val="0"/>
          <w:divBdr>
            <w:top w:val="none" w:sz="0" w:space="0" w:color="auto"/>
            <w:left w:val="none" w:sz="0" w:space="0" w:color="auto"/>
            <w:bottom w:val="none" w:sz="0" w:space="0" w:color="auto"/>
            <w:right w:val="none" w:sz="0" w:space="0" w:color="auto"/>
          </w:divBdr>
        </w:div>
        <w:div w:id="615646411">
          <w:marLeft w:val="0"/>
          <w:marRight w:val="0"/>
          <w:marTop w:val="0"/>
          <w:marBottom w:val="0"/>
          <w:divBdr>
            <w:top w:val="none" w:sz="0" w:space="0" w:color="auto"/>
            <w:left w:val="none" w:sz="0" w:space="0" w:color="auto"/>
            <w:bottom w:val="none" w:sz="0" w:space="0" w:color="auto"/>
            <w:right w:val="none" w:sz="0" w:space="0" w:color="auto"/>
          </w:divBdr>
        </w:div>
        <w:div w:id="2027946765">
          <w:marLeft w:val="0"/>
          <w:marRight w:val="0"/>
          <w:marTop w:val="0"/>
          <w:marBottom w:val="0"/>
          <w:divBdr>
            <w:top w:val="none" w:sz="0" w:space="0" w:color="auto"/>
            <w:left w:val="none" w:sz="0" w:space="0" w:color="auto"/>
            <w:bottom w:val="none" w:sz="0" w:space="0" w:color="auto"/>
            <w:right w:val="none" w:sz="0" w:space="0" w:color="auto"/>
          </w:divBdr>
        </w:div>
        <w:div w:id="44256141">
          <w:marLeft w:val="0"/>
          <w:marRight w:val="0"/>
          <w:marTop w:val="0"/>
          <w:marBottom w:val="0"/>
          <w:divBdr>
            <w:top w:val="none" w:sz="0" w:space="0" w:color="auto"/>
            <w:left w:val="none" w:sz="0" w:space="0" w:color="auto"/>
            <w:bottom w:val="none" w:sz="0" w:space="0" w:color="auto"/>
            <w:right w:val="none" w:sz="0" w:space="0" w:color="auto"/>
          </w:divBdr>
        </w:div>
        <w:div w:id="189804706">
          <w:marLeft w:val="0"/>
          <w:marRight w:val="0"/>
          <w:marTop w:val="0"/>
          <w:marBottom w:val="0"/>
          <w:divBdr>
            <w:top w:val="none" w:sz="0" w:space="0" w:color="auto"/>
            <w:left w:val="none" w:sz="0" w:space="0" w:color="auto"/>
            <w:bottom w:val="none" w:sz="0" w:space="0" w:color="auto"/>
            <w:right w:val="none" w:sz="0" w:space="0" w:color="auto"/>
          </w:divBdr>
        </w:div>
        <w:div w:id="1035077510">
          <w:marLeft w:val="0"/>
          <w:marRight w:val="0"/>
          <w:marTop w:val="0"/>
          <w:marBottom w:val="0"/>
          <w:divBdr>
            <w:top w:val="none" w:sz="0" w:space="0" w:color="auto"/>
            <w:left w:val="none" w:sz="0" w:space="0" w:color="auto"/>
            <w:bottom w:val="none" w:sz="0" w:space="0" w:color="auto"/>
            <w:right w:val="none" w:sz="0" w:space="0" w:color="auto"/>
          </w:divBdr>
        </w:div>
        <w:div w:id="847252570">
          <w:marLeft w:val="0"/>
          <w:marRight w:val="0"/>
          <w:marTop w:val="0"/>
          <w:marBottom w:val="0"/>
          <w:divBdr>
            <w:top w:val="none" w:sz="0" w:space="0" w:color="auto"/>
            <w:left w:val="none" w:sz="0" w:space="0" w:color="auto"/>
            <w:bottom w:val="none" w:sz="0" w:space="0" w:color="auto"/>
            <w:right w:val="none" w:sz="0" w:space="0" w:color="auto"/>
          </w:divBdr>
        </w:div>
        <w:div w:id="1648514224">
          <w:marLeft w:val="0"/>
          <w:marRight w:val="0"/>
          <w:marTop w:val="0"/>
          <w:marBottom w:val="0"/>
          <w:divBdr>
            <w:top w:val="none" w:sz="0" w:space="0" w:color="auto"/>
            <w:left w:val="none" w:sz="0" w:space="0" w:color="auto"/>
            <w:bottom w:val="none" w:sz="0" w:space="0" w:color="auto"/>
            <w:right w:val="none" w:sz="0" w:space="0" w:color="auto"/>
          </w:divBdr>
        </w:div>
        <w:div w:id="198468904">
          <w:marLeft w:val="0"/>
          <w:marRight w:val="0"/>
          <w:marTop w:val="0"/>
          <w:marBottom w:val="0"/>
          <w:divBdr>
            <w:top w:val="none" w:sz="0" w:space="0" w:color="auto"/>
            <w:left w:val="none" w:sz="0" w:space="0" w:color="auto"/>
            <w:bottom w:val="none" w:sz="0" w:space="0" w:color="auto"/>
            <w:right w:val="none" w:sz="0" w:space="0" w:color="auto"/>
          </w:divBdr>
        </w:div>
        <w:div w:id="1165823593">
          <w:marLeft w:val="0"/>
          <w:marRight w:val="0"/>
          <w:marTop w:val="0"/>
          <w:marBottom w:val="0"/>
          <w:divBdr>
            <w:top w:val="none" w:sz="0" w:space="0" w:color="auto"/>
            <w:left w:val="none" w:sz="0" w:space="0" w:color="auto"/>
            <w:bottom w:val="none" w:sz="0" w:space="0" w:color="auto"/>
            <w:right w:val="none" w:sz="0" w:space="0" w:color="auto"/>
          </w:divBdr>
        </w:div>
        <w:div w:id="1306468491">
          <w:marLeft w:val="0"/>
          <w:marRight w:val="0"/>
          <w:marTop w:val="0"/>
          <w:marBottom w:val="0"/>
          <w:divBdr>
            <w:top w:val="none" w:sz="0" w:space="0" w:color="auto"/>
            <w:left w:val="none" w:sz="0" w:space="0" w:color="auto"/>
            <w:bottom w:val="none" w:sz="0" w:space="0" w:color="auto"/>
            <w:right w:val="none" w:sz="0" w:space="0" w:color="auto"/>
          </w:divBdr>
        </w:div>
        <w:div w:id="414009198">
          <w:marLeft w:val="0"/>
          <w:marRight w:val="0"/>
          <w:marTop w:val="0"/>
          <w:marBottom w:val="0"/>
          <w:divBdr>
            <w:top w:val="none" w:sz="0" w:space="0" w:color="auto"/>
            <w:left w:val="none" w:sz="0" w:space="0" w:color="auto"/>
            <w:bottom w:val="none" w:sz="0" w:space="0" w:color="auto"/>
            <w:right w:val="none" w:sz="0" w:space="0" w:color="auto"/>
          </w:divBdr>
        </w:div>
        <w:div w:id="1482119481">
          <w:marLeft w:val="0"/>
          <w:marRight w:val="0"/>
          <w:marTop w:val="0"/>
          <w:marBottom w:val="0"/>
          <w:divBdr>
            <w:top w:val="none" w:sz="0" w:space="0" w:color="auto"/>
            <w:left w:val="none" w:sz="0" w:space="0" w:color="auto"/>
            <w:bottom w:val="none" w:sz="0" w:space="0" w:color="auto"/>
            <w:right w:val="none" w:sz="0" w:space="0" w:color="auto"/>
          </w:divBdr>
        </w:div>
        <w:div w:id="122697199">
          <w:marLeft w:val="0"/>
          <w:marRight w:val="0"/>
          <w:marTop w:val="0"/>
          <w:marBottom w:val="0"/>
          <w:divBdr>
            <w:top w:val="none" w:sz="0" w:space="0" w:color="auto"/>
            <w:left w:val="none" w:sz="0" w:space="0" w:color="auto"/>
            <w:bottom w:val="none" w:sz="0" w:space="0" w:color="auto"/>
            <w:right w:val="none" w:sz="0" w:space="0" w:color="auto"/>
          </w:divBdr>
        </w:div>
        <w:div w:id="780026850">
          <w:marLeft w:val="0"/>
          <w:marRight w:val="0"/>
          <w:marTop w:val="0"/>
          <w:marBottom w:val="0"/>
          <w:divBdr>
            <w:top w:val="none" w:sz="0" w:space="0" w:color="auto"/>
            <w:left w:val="none" w:sz="0" w:space="0" w:color="auto"/>
            <w:bottom w:val="none" w:sz="0" w:space="0" w:color="auto"/>
            <w:right w:val="none" w:sz="0" w:space="0" w:color="auto"/>
          </w:divBdr>
        </w:div>
        <w:div w:id="1124813104">
          <w:marLeft w:val="0"/>
          <w:marRight w:val="0"/>
          <w:marTop w:val="0"/>
          <w:marBottom w:val="0"/>
          <w:divBdr>
            <w:top w:val="none" w:sz="0" w:space="0" w:color="auto"/>
            <w:left w:val="none" w:sz="0" w:space="0" w:color="auto"/>
            <w:bottom w:val="none" w:sz="0" w:space="0" w:color="auto"/>
            <w:right w:val="none" w:sz="0" w:space="0" w:color="auto"/>
          </w:divBdr>
        </w:div>
        <w:div w:id="1346053362">
          <w:marLeft w:val="0"/>
          <w:marRight w:val="0"/>
          <w:marTop w:val="0"/>
          <w:marBottom w:val="0"/>
          <w:divBdr>
            <w:top w:val="none" w:sz="0" w:space="0" w:color="auto"/>
            <w:left w:val="none" w:sz="0" w:space="0" w:color="auto"/>
            <w:bottom w:val="none" w:sz="0" w:space="0" w:color="auto"/>
            <w:right w:val="none" w:sz="0" w:space="0" w:color="auto"/>
          </w:divBdr>
        </w:div>
        <w:div w:id="1740787125">
          <w:marLeft w:val="0"/>
          <w:marRight w:val="0"/>
          <w:marTop w:val="0"/>
          <w:marBottom w:val="0"/>
          <w:divBdr>
            <w:top w:val="none" w:sz="0" w:space="0" w:color="auto"/>
            <w:left w:val="none" w:sz="0" w:space="0" w:color="auto"/>
            <w:bottom w:val="none" w:sz="0" w:space="0" w:color="auto"/>
            <w:right w:val="none" w:sz="0" w:space="0" w:color="auto"/>
          </w:divBdr>
        </w:div>
        <w:div w:id="692657188">
          <w:marLeft w:val="0"/>
          <w:marRight w:val="0"/>
          <w:marTop w:val="0"/>
          <w:marBottom w:val="0"/>
          <w:divBdr>
            <w:top w:val="none" w:sz="0" w:space="0" w:color="auto"/>
            <w:left w:val="none" w:sz="0" w:space="0" w:color="auto"/>
            <w:bottom w:val="none" w:sz="0" w:space="0" w:color="auto"/>
            <w:right w:val="none" w:sz="0" w:space="0" w:color="auto"/>
          </w:divBdr>
        </w:div>
        <w:div w:id="825902216">
          <w:marLeft w:val="0"/>
          <w:marRight w:val="0"/>
          <w:marTop w:val="0"/>
          <w:marBottom w:val="0"/>
          <w:divBdr>
            <w:top w:val="none" w:sz="0" w:space="0" w:color="auto"/>
            <w:left w:val="none" w:sz="0" w:space="0" w:color="auto"/>
            <w:bottom w:val="none" w:sz="0" w:space="0" w:color="auto"/>
            <w:right w:val="none" w:sz="0" w:space="0" w:color="auto"/>
          </w:divBdr>
        </w:div>
        <w:div w:id="1045181637">
          <w:marLeft w:val="0"/>
          <w:marRight w:val="0"/>
          <w:marTop w:val="0"/>
          <w:marBottom w:val="0"/>
          <w:divBdr>
            <w:top w:val="none" w:sz="0" w:space="0" w:color="auto"/>
            <w:left w:val="none" w:sz="0" w:space="0" w:color="auto"/>
            <w:bottom w:val="none" w:sz="0" w:space="0" w:color="auto"/>
            <w:right w:val="none" w:sz="0" w:space="0" w:color="auto"/>
          </w:divBdr>
        </w:div>
        <w:div w:id="155927897">
          <w:marLeft w:val="0"/>
          <w:marRight w:val="0"/>
          <w:marTop w:val="0"/>
          <w:marBottom w:val="0"/>
          <w:divBdr>
            <w:top w:val="none" w:sz="0" w:space="0" w:color="auto"/>
            <w:left w:val="none" w:sz="0" w:space="0" w:color="auto"/>
            <w:bottom w:val="none" w:sz="0" w:space="0" w:color="auto"/>
            <w:right w:val="none" w:sz="0" w:space="0" w:color="auto"/>
          </w:divBdr>
        </w:div>
        <w:div w:id="309947830">
          <w:marLeft w:val="0"/>
          <w:marRight w:val="0"/>
          <w:marTop w:val="0"/>
          <w:marBottom w:val="0"/>
          <w:divBdr>
            <w:top w:val="none" w:sz="0" w:space="0" w:color="auto"/>
            <w:left w:val="none" w:sz="0" w:space="0" w:color="auto"/>
            <w:bottom w:val="none" w:sz="0" w:space="0" w:color="auto"/>
            <w:right w:val="none" w:sz="0" w:space="0" w:color="auto"/>
          </w:divBdr>
        </w:div>
        <w:div w:id="1967153222">
          <w:marLeft w:val="0"/>
          <w:marRight w:val="0"/>
          <w:marTop w:val="0"/>
          <w:marBottom w:val="0"/>
          <w:divBdr>
            <w:top w:val="none" w:sz="0" w:space="0" w:color="auto"/>
            <w:left w:val="none" w:sz="0" w:space="0" w:color="auto"/>
            <w:bottom w:val="none" w:sz="0" w:space="0" w:color="auto"/>
            <w:right w:val="none" w:sz="0" w:space="0" w:color="auto"/>
          </w:divBdr>
        </w:div>
        <w:div w:id="351758940">
          <w:marLeft w:val="0"/>
          <w:marRight w:val="0"/>
          <w:marTop w:val="0"/>
          <w:marBottom w:val="0"/>
          <w:divBdr>
            <w:top w:val="none" w:sz="0" w:space="0" w:color="auto"/>
            <w:left w:val="none" w:sz="0" w:space="0" w:color="auto"/>
            <w:bottom w:val="none" w:sz="0" w:space="0" w:color="auto"/>
            <w:right w:val="none" w:sz="0" w:space="0" w:color="auto"/>
          </w:divBdr>
        </w:div>
        <w:div w:id="1760370339">
          <w:marLeft w:val="0"/>
          <w:marRight w:val="0"/>
          <w:marTop w:val="0"/>
          <w:marBottom w:val="0"/>
          <w:divBdr>
            <w:top w:val="none" w:sz="0" w:space="0" w:color="auto"/>
            <w:left w:val="none" w:sz="0" w:space="0" w:color="auto"/>
            <w:bottom w:val="none" w:sz="0" w:space="0" w:color="auto"/>
            <w:right w:val="none" w:sz="0" w:space="0" w:color="auto"/>
          </w:divBdr>
        </w:div>
        <w:div w:id="1651252762">
          <w:marLeft w:val="0"/>
          <w:marRight w:val="0"/>
          <w:marTop w:val="0"/>
          <w:marBottom w:val="0"/>
          <w:divBdr>
            <w:top w:val="none" w:sz="0" w:space="0" w:color="auto"/>
            <w:left w:val="none" w:sz="0" w:space="0" w:color="auto"/>
            <w:bottom w:val="none" w:sz="0" w:space="0" w:color="auto"/>
            <w:right w:val="none" w:sz="0" w:space="0" w:color="auto"/>
          </w:divBdr>
        </w:div>
        <w:div w:id="1384596416">
          <w:marLeft w:val="0"/>
          <w:marRight w:val="0"/>
          <w:marTop w:val="0"/>
          <w:marBottom w:val="0"/>
          <w:divBdr>
            <w:top w:val="none" w:sz="0" w:space="0" w:color="auto"/>
            <w:left w:val="none" w:sz="0" w:space="0" w:color="auto"/>
            <w:bottom w:val="none" w:sz="0" w:space="0" w:color="auto"/>
            <w:right w:val="none" w:sz="0" w:space="0" w:color="auto"/>
          </w:divBdr>
        </w:div>
        <w:div w:id="1127118594">
          <w:marLeft w:val="0"/>
          <w:marRight w:val="0"/>
          <w:marTop w:val="0"/>
          <w:marBottom w:val="0"/>
          <w:divBdr>
            <w:top w:val="none" w:sz="0" w:space="0" w:color="auto"/>
            <w:left w:val="none" w:sz="0" w:space="0" w:color="auto"/>
            <w:bottom w:val="none" w:sz="0" w:space="0" w:color="auto"/>
            <w:right w:val="none" w:sz="0" w:space="0" w:color="auto"/>
          </w:divBdr>
        </w:div>
        <w:div w:id="639920822">
          <w:marLeft w:val="0"/>
          <w:marRight w:val="0"/>
          <w:marTop w:val="0"/>
          <w:marBottom w:val="0"/>
          <w:divBdr>
            <w:top w:val="none" w:sz="0" w:space="0" w:color="auto"/>
            <w:left w:val="none" w:sz="0" w:space="0" w:color="auto"/>
            <w:bottom w:val="none" w:sz="0" w:space="0" w:color="auto"/>
            <w:right w:val="none" w:sz="0" w:space="0" w:color="auto"/>
          </w:divBdr>
        </w:div>
        <w:div w:id="2143302289">
          <w:marLeft w:val="0"/>
          <w:marRight w:val="0"/>
          <w:marTop w:val="0"/>
          <w:marBottom w:val="0"/>
          <w:divBdr>
            <w:top w:val="none" w:sz="0" w:space="0" w:color="auto"/>
            <w:left w:val="none" w:sz="0" w:space="0" w:color="auto"/>
            <w:bottom w:val="none" w:sz="0" w:space="0" w:color="auto"/>
            <w:right w:val="none" w:sz="0" w:space="0" w:color="auto"/>
          </w:divBdr>
        </w:div>
        <w:div w:id="12195215">
          <w:marLeft w:val="0"/>
          <w:marRight w:val="0"/>
          <w:marTop w:val="0"/>
          <w:marBottom w:val="0"/>
          <w:divBdr>
            <w:top w:val="none" w:sz="0" w:space="0" w:color="auto"/>
            <w:left w:val="none" w:sz="0" w:space="0" w:color="auto"/>
            <w:bottom w:val="none" w:sz="0" w:space="0" w:color="auto"/>
            <w:right w:val="none" w:sz="0" w:space="0" w:color="auto"/>
          </w:divBdr>
        </w:div>
        <w:div w:id="573466671">
          <w:marLeft w:val="0"/>
          <w:marRight w:val="0"/>
          <w:marTop w:val="0"/>
          <w:marBottom w:val="0"/>
          <w:divBdr>
            <w:top w:val="none" w:sz="0" w:space="0" w:color="auto"/>
            <w:left w:val="none" w:sz="0" w:space="0" w:color="auto"/>
            <w:bottom w:val="none" w:sz="0" w:space="0" w:color="auto"/>
            <w:right w:val="none" w:sz="0" w:space="0" w:color="auto"/>
          </w:divBdr>
        </w:div>
        <w:div w:id="2138137259">
          <w:marLeft w:val="0"/>
          <w:marRight w:val="0"/>
          <w:marTop w:val="0"/>
          <w:marBottom w:val="0"/>
          <w:divBdr>
            <w:top w:val="none" w:sz="0" w:space="0" w:color="auto"/>
            <w:left w:val="none" w:sz="0" w:space="0" w:color="auto"/>
            <w:bottom w:val="none" w:sz="0" w:space="0" w:color="auto"/>
            <w:right w:val="none" w:sz="0" w:space="0" w:color="auto"/>
          </w:divBdr>
        </w:div>
        <w:div w:id="1865364076">
          <w:marLeft w:val="0"/>
          <w:marRight w:val="0"/>
          <w:marTop w:val="0"/>
          <w:marBottom w:val="0"/>
          <w:divBdr>
            <w:top w:val="none" w:sz="0" w:space="0" w:color="auto"/>
            <w:left w:val="none" w:sz="0" w:space="0" w:color="auto"/>
            <w:bottom w:val="none" w:sz="0" w:space="0" w:color="auto"/>
            <w:right w:val="none" w:sz="0" w:space="0" w:color="auto"/>
          </w:divBdr>
        </w:div>
        <w:div w:id="49424748">
          <w:marLeft w:val="0"/>
          <w:marRight w:val="0"/>
          <w:marTop w:val="0"/>
          <w:marBottom w:val="0"/>
          <w:divBdr>
            <w:top w:val="none" w:sz="0" w:space="0" w:color="auto"/>
            <w:left w:val="none" w:sz="0" w:space="0" w:color="auto"/>
            <w:bottom w:val="none" w:sz="0" w:space="0" w:color="auto"/>
            <w:right w:val="none" w:sz="0" w:space="0" w:color="auto"/>
          </w:divBdr>
        </w:div>
        <w:div w:id="608004829">
          <w:marLeft w:val="0"/>
          <w:marRight w:val="0"/>
          <w:marTop w:val="0"/>
          <w:marBottom w:val="0"/>
          <w:divBdr>
            <w:top w:val="none" w:sz="0" w:space="0" w:color="auto"/>
            <w:left w:val="none" w:sz="0" w:space="0" w:color="auto"/>
            <w:bottom w:val="none" w:sz="0" w:space="0" w:color="auto"/>
            <w:right w:val="none" w:sz="0" w:space="0" w:color="auto"/>
          </w:divBdr>
        </w:div>
        <w:div w:id="997615401">
          <w:marLeft w:val="0"/>
          <w:marRight w:val="0"/>
          <w:marTop w:val="0"/>
          <w:marBottom w:val="0"/>
          <w:divBdr>
            <w:top w:val="none" w:sz="0" w:space="0" w:color="auto"/>
            <w:left w:val="none" w:sz="0" w:space="0" w:color="auto"/>
            <w:bottom w:val="none" w:sz="0" w:space="0" w:color="auto"/>
            <w:right w:val="none" w:sz="0" w:space="0" w:color="auto"/>
          </w:divBdr>
        </w:div>
        <w:div w:id="994335050">
          <w:marLeft w:val="0"/>
          <w:marRight w:val="0"/>
          <w:marTop w:val="0"/>
          <w:marBottom w:val="0"/>
          <w:divBdr>
            <w:top w:val="none" w:sz="0" w:space="0" w:color="auto"/>
            <w:left w:val="none" w:sz="0" w:space="0" w:color="auto"/>
            <w:bottom w:val="none" w:sz="0" w:space="0" w:color="auto"/>
            <w:right w:val="none" w:sz="0" w:space="0" w:color="auto"/>
          </w:divBdr>
        </w:div>
        <w:div w:id="55593172">
          <w:marLeft w:val="0"/>
          <w:marRight w:val="0"/>
          <w:marTop w:val="0"/>
          <w:marBottom w:val="0"/>
          <w:divBdr>
            <w:top w:val="none" w:sz="0" w:space="0" w:color="auto"/>
            <w:left w:val="none" w:sz="0" w:space="0" w:color="auto"/>
            <w:bottom w:val="none" w:sz="0" w:space="0" w:color="auto"/>
            <w:right w:val="none" w:sz="0" w:space="0" w:color="auto"/>
          </w:divBdr>
        </w:div>
        <w:div w:id="185876399">
          <w:marLeft w:val="0"/>
          <w:marRight w:val="0"/>
          <w:marTop w:val="0"/>
          <w:marBottom w:val="0"/>
          <w:divBdr>
            <w:top w:val="none" w:sz="0" w:space="0" w:color="auto"/>
            <w:left w:val="none" w:sz="0" w:space="0" w:color="auto"/>
            <w:bottom w:val="none" w:sz="0" w:space="0" w:color="auto"/>
            <w:right w:val="none" w:sz="0" w:space="0" w:color="auto"/>
          </w:divBdr>
        </w:div>
        <w:div w:id="681706556">
          <w:marLeft w:val="0"/>
          <w:marRight w:val="0"/>
          <w:marTop w:val="0"/>
          <w:marBottom w:val="0"/>
          <w:divBdr>
            <w:top w:val="none" w:sz="0" w:space="0" w:color="auto"/>
            <w:left w:val="none" w:sz="0" w:space="0" w:color="auto"/>
            <w:bottom w:val="none" w:sz="0" w:space="0" w:color="auto"/>
            <w:right w:val="none" w:sz="0" w:space="0" w:color="auto"/>
          </w:divBdr>
        </w:div>
        <w:div w:id="1750496300">
          <w:marLeft w:val="0"/>
          <w:marRight w:val="0"/>
          <w:marTop w:val="0"/>
          <w:marBottom w:val="0"/>
          <w:divBdr>
            <w:top w:val="none" w:sz="0" w:space="0" w:color="auto"/>
            <w:left w:val="none" w:sz="0" w:space="0" w:color="auto"/>
            <w:bottom w:val="none" w:sz="0" w:space="0" w:color="auto"/>
            <w:right w:val="none" w:sz="0" w:space="0" w:color="auto"/>
          </w:divBdr>
        </w:div>
        <w:div w:id="1734892676">
          <w:marLeft w:val="0"/>
          <w:marRight w:val="0"/>
          <w:marTop w:val="0"/>
          <w:marBottom w:val="0"/>
          <w:divBdr>
            <w:top w:val="none" w:sz="0" w:space="0" w:color="auto"/>
            <w:left w:val="none" w:sz="0" w:space="0" w:color="auto"/>
            <w:bottom w:val="none" w:sz="0" w:space="0" w:color="auto"/>
            <w:right w:val="none" w:sz="0" w:space="0" w:color="auto"/>
          </w:divBdr>
        </w:div>
        <w:div w:id="1200976237">
          <w:marLeft w:val="0"/>
          <w:marRight w:val="0"/>
          <w:marTop w:val="0"/>
          <w:marBottom w:val="0"/>
          <w:divBdr>
            <w:top w:val="none" w:sz="0" w:space="0" w:color="auto"/>
            <w:left w:val="none" w:sz="0" w:space="0" w:color="auto"/>
            <w:bottom w:val="none" w:sz="0" w:space="0" w:color="auto"/>
            <w:right w:val="none" w:sz="0" w:space="0" w:color="auto"/>
          </w:divBdr>
        </w:div>
        <w:div w:id="213733555">
          <w:marLeft w:val="0"/>
          <w:marRight w:val="0"/>
          <w:marTop w:val="0"/>
          <w:marBottom w:val="0"/>
          <w:divBdr>
            <w:top w:val="none" w:sz="0" w:space="0" w:color="auto"/>
            <w:left w:val="none" w:sz="0" w:space="0" w:color="auto"/>
            <w:bottom w:val="none" w:sz="0" w:space="0" w:color="auto"/>
            <w:right w:val="none" w:sz="0" w:space="0" w:color="auto"/>
          </w:divBdr>
        </w:div>
        <w:div w:id="227425449">
          <w:marLeft w:val="0"/>
          <w:marRight w:val="0"/>
          <w:marTop w:val="0"/>
          <w:marBottom w:val="0"/>
          <w:divBdr>
            <w:top w:val="none" w:sz="0" w:space="0" w:color="auto"/>
            <w:left w:val="none" w:sz="0" w:space="0" w:color="auto"/>
            <w:bottom w:val="none" w:sz="0" w:space="0" w:color="auto"/>
            <w:right w:val="none" w:sz="0" w:space="0" w:color="auto"/>
          </w:divBdr>
        </w:div>
        <w:div w:id="1050424815">
          <w:marLeft w:val="0"/>
          <w:marRight w:val="0"/>
          <w:marTop w:val="0"/>
          <w:marBottom w:val="0"/>
          <w:divBdr>
            <w:top w:val="none" w:sz="0" w:space="0" w:color="auto"/>
            <w:left w:val="none" w:sz="0" w:space="0" w:color="auto"/>
            <w:bottom w:val="none" w:sz="0" w:space="0" w:color="auto"/>
            <w:right w:val="none" w:sz="0" w:space="0" w:color="auto"/>
          </w:divBdr>
        </w:div>
        <w:div w:id="416832543">
          <w:marLeft w:val="0"/>
          <w:marRight w:val="0"/>
          <w:marTop w:val="0"/>
          <w:marBottom w:val="0"/>
          <w:divBdr>
            <w:top w:val="none" w:sz="0" w:space="0" w:color="auto"/>
            <w:left w:val="none" w:sz="0" w:space="0" w:color="auto"/>
            <w:bottom w:val="none" w:sz="0" w:space="0" w:color="auto"/>
            <w:right w:val="none" w:sz="0" w:space="0" w:color="auto"/>
          </w:divBdr>
        </w:div>
        <w:div w:id="1049186958">
          <w:marLeft w:val="0"/>
          <w:marRight w:val="0"/>
          <w:marTop w:val="0"/>
          <w:marBottom w:val="0"/>
          <w:divBdr>
            <w:top w:val="none" w:sz="0" w:space="0" w:color="auto"/>
            <w:left w:val="none" w:sz="0" w:space="0" w:color="auto"/>
            <w:bottom w:val="none" w:sz="0" w:space="0" w:color="auto"/>
            <w:right w:val="none" w:sz="0" w:space="0" w:color="auto"/>
          </w:divBdr>
        </w:div>
        <w:div w:id="1129857276">
          <w:marLeft w:val="0"/>
          <w:marRight w:val="0"/>
          <w:marTop w:val="0"/>
          <w:marBottom w:val="0"/>
          <w:divBdr>
            <w:top w:val="none" w:sz="0" w:space="0" w:color="auto"/>
            <w:left w:val="none" w:sz="0" w:space="0" w:color="auto"/>
            <w:bottom w:val="none" w:sz="0" w:space="0" w:color="auto"/>
            <w:right w:val="none" w:sz="0" w:space="0" w:color="auto"/>
          </w:divBdr>
        </w:div>
        <w:div w:id="760444626">
          <w:marLeft w:val="0"/>
          <w:marRight w:val="0"/>
          <w:marTop w:val="0"/>
          <w:marBottom w:val="0"/>
          <w:divBdr>
            <w:top w:val="none" w:sz="0" w:space="0" w:color="auto"/>
            <w:left w:val="none" w:sz="0" w:space="0" w:color="auto"/>
            <w:bottom w:val="none" w:sz="0" w:space="0" w:color="auto"/>
            <w:right w:val="none" w:sz="0" w:space="0" w:color="auto"/>
          </w:divBdr>
        </w:div>
        <w:div w:id="331875106">
          <w:marLeft w:val="0"/>
          <w:marRight w:val="0"/>
          <w:marTop w:val="0"/>
          <w:marBottom w:val="0"/>
          <w:divBdr>
            <w:top w:val="none" w:sz="0" w:space="0" w:color="auto"/>
            <w:left w:val="none" w:sz="0" w:space="0" w:color="auto"/>
            <w:bottom w:val="none" w:sz="0" w:space="0" w:color="auto"/>
            <w:right w:val="none" w:sz="0" w:space="0" w:color="auto"/>
          </w:divBdr>
        </w:div>
        <w:div w:id="1253464889">
          <w:marLeft w:val="0"/>
          <w:marRight w:val="0"/>
          <w:marTop w:val="0"/>
          <w:marBottom w:val="0"/>
          <w:divBdr>
            <w:top w:val="none" w:sz="0" w:space="0" w:color="auto"/>
            <w:left w:val="none" w:sz="0" w:space="0" w:color="auto"/>
            <w:bottom w:val="none" w:sz="0" w:space="0" w:color="auto"/>
            <w:right w:val="none" w:sz="0" w:space="0" w:color="auto"/>
          </w:divBdr>
        </w:div>
        <w:div w:id="757679035">
          <w:marLeft w:val="0"/>
          <w:marRight w:val="0"/>
          <w:marTop w:val="0"/>
          <w:marBottom w:val="0"/>
          <w:divBdr>
            <w:top w:val="none" w:sz="0" w:space="0" w:color="auto"/>
            <w:left w:val="none" w:sz="0" w:space="0" w:color="auto"/>
            <w:bottom w:val="none" w:sz="0" w:space="0" w:color="auto"/>
            <w:right w:val="none" w:sz="0" w:space="0" w:color="auto"/>
          </w:divBdr>
        </w:div>
        <w:div w:id="1851262921">
          <w:marLeft w:val="0"/>
          <w:marRight w:val="0"/>
          <w:marTop w:val="0"/>
          <w:marBottom w:val="0"/>
          <w:divBdr>
            <w:top w:val="none" w:sz="0" w:space="0" w:color="auto"/>
            <w:left w:val="none" w:sz="0" w:space="0" w:color="auto"/>
            <w:bottom w:val="none" w:sz="0" w:space="0" w:color="auto"/>
            <w:right w:val="none" w:sz="0" w:space="0" w:color="auto"/>
          </w:divBdr>
        </w:div>
        <w:div w:id="1117258088">
          <w:marLeft w:val="0"/>
          <w:marRight w:val="0"/>
          <w:marTop w:val="0"/>
          <w:marBottom w:val="0"/>
          <w:divBdr>
            <w:top w:val="none" w:sz="0" w:space="0" w:color="auto"/>
            <w:left w:val="none" w:sz="0" w:space="0" w:color="auto"/>
            <w:bottom w:val="none" w:sz="0" w:space="0" w:color="auto"/>
            <w:right w:val="none" w:sz="0" w:space="0" w:color="auto"/>
          </w:divBdr>
        </w:div>
        <w:div w:id="53891201">
          <w:marLeft w:val="0"/>
          <w:marRight w:val="0"/>
          <w:marTop w:val="0"/>
          <w:marBottom w:val="0"/>
          <w:divBdr>
            <w:top w:val="none" w:sz="0" w:space="0" w:color="auto"/>
            <w:left w:val="none" w:sz="0" w:space="0" w:color="auto"/>
            <w:bottom w:val="none" w:sz="0" w:space="0" w:color="auto"/>
            <w:right w:val="none" w:sz="0" w:space="0" w:color="auto"/>
          </w:divBdr>
        </w:div>
        <w:div w:id="343829401">
          <w:marLeft w:val="0"/>
          <w:marRight w:val="0"/>
          <w:marTop w:val="0"/>
          <w:marBottom w:val="0"/>
          <w:divBdr>
            <w:top w:val="none" w:sz="0" w:space="0" w:color="auto"/>
            <w:left w:val="none" w:sz="0" w:space="0" w:color="auto"/>
            <w:bottom w:val="none" w:sz="0" w:space="0" w:color="auto"/>
            <w:right w:val="none" w:sz="0" w:space="0" w:color="auto"/>
          </w:divBdr>
        </w:div>
        <w:div w:id="1975334115">
          <w:marLeft w:val="0"/>
          <w:marRight w:val="0"/>
          <w:marTop w:val="0"/>
          <w:marBottom w:val="0"/>
          <w:divBdr>
            <w:top w:val="none" w:sz="0" w:space="0" w:color="auto"/>
            <w:left w:val="none" w:sz="0" w:space="0" w:color="auto"/>
            <w:bottom w:val="none" w:sz="0" w:space="0" w:color="auto"/>
            <w:right w:val="none" w:sz="0" w:space="0" w:color="auto"/>
          </w:divBdr>
        </w:div>
        <w:div w:id="66418175">
          <w:marLeft w:val="0"/>
          <w:marRight w:val="0"/>
          <w:marTop w:val="0"/>
          <w:marBottom w:val="0"/>
          <w:divBdr>
            <w:top w:val="none" w:sz="0" w:space="0" w:color="auto"/>
            <w:left w:val="none" w:sz="0" w:space="0" w:color="auto"/>
            <w:bottom w:val="none" w:sz="0" w:space="0" w:color="auto"/>
            <w:right w:val="none" w:sz="0" w:space="0" w:color="auto"/>
          </w:divBdr>
        </w:div>
        <w:div w:id="1865439329">
          <w:marLeft w:val="0"/>
          <w:marRight w:val="0"/>
          <w:marTop w:val="0"/>
          <w:marBottom w:val="0"/>
          <w:divBdr>
            <w:top w:val="none" w:sz="0" w:space="0" w:color="auto"/>
            <w:left w:val="none" w:sz="0" w:space="0" w:color="auto"/>
            <w:bottom w:val="none" w:sz="0" w:space="0" w:color="auto"/>
            <w:right w:val="none" w:sz="0" w:space="0" w:color="auto"/>
          </w:divBdr>
        </w:div>
        <w:div w:id="276258054">
          <w:marLeft w:val="0"/>
          <w:marRight w:val="0"/>
          <w:marTop w:val="0"/>
          <w:marBottom w:val="0"/>
          <w:divBdr>
            <w:top w:val="none" w:sz="0" w:space="0" w:color="auto"/>
            <w:left w:val="none" w:sz="0" w:space="0" w:color="auto"/>
            <w:bottom w:val="none" w:sz="0" w:space="0" w:color="auto"/>
            <w:right w:val="none" w:sz="0" w:space="0" w:color="auto"/>
          </w:divBdr>
        </w:div>
        <w:div w:id="1507595395">
          <w:marLeft w:val="0"/>
          <w:marRight w:val="0"/>
          <w:marTop w:val="0"/>
          <w:marBottom w:val="0"/>
          <w:divBdr>
            <w:top w:val="none" w:sz="0" w:space="0" w:color="auto"/>
            <w:left w:val="none" w:sz="0" w:space="0" w:color="auto"/>
            <w:bottom w:val="none" w:sz="0" w:space="0" w:color="auto"/>
            <w:right w:val="none" w:sz="0" w:space="0" w:color="auto"/>
          </w:divBdr>
        </w:div>
        <w:div w:id="108398673">
          <w:marLeft w:val="0"/>
          <w:marRight w:val="0"/>
          <w:marTop w:val="0"/>
          <w:marBottom w:val="0"/>
          <w:divBdr>
            <w:top w:val="none" w:sz="0" w:space="0" w:color="auto"/>
            <w:left w:val="none" w:sz="0" w:space="0" w:color="auto"/>
            <w:bottom w:val="none" w:sz="0" w:space="0" w:color="auto"/>
            <w:right w:val="none" w:sz="0" w:space="0" w:color="auto"/>
          </w:divBdr>
        </w:div>
        <w:div w:id="93408437">
          <w:marLeft w:val="0"/>
          <w:marRight w:val="0"/>
          <w:marTop w:val="0"/>
          <w:marBottom w:val="0"/>
          <w:divBdr>
            <w:top w:val="none" w:sz="0" w:space="0" w:color="auto"/>
            <w:left w:val="none" w:sz="0" w:space="0" w:color="auto"/>
            <w:bottom w:val="none" w:sz="0" w:space="0" w:color="auto"/>
            <w:right w:val="none" w:sz="0" w:space="0" w:color="auto"/>
          </w:divBdr>
        </w:div>
        <w:div w:id="1562248092">
          <w:marLeft w:val="0"/>
          <w:marRight w:val="0"/>
          <w:marTop w:val="0"/>
          <w:marBottom w:val="0"/>
          <w:divBdr>
            <w:top w:val="none" w:sz="0" w:space="0" w:color="auto"/>
            <w:left w:val="none" w:sz="0" w:space="0" w:color="auto"/>
            <w:bottom w:val="none" w:sz="0" w:space="0" w:color="auto"/>
            <w:right w:val="none" w:sz="0" w:space="0" w:color="auto"/>
          </w:divBdr>
        </w:div>
        <w:div w:id="2097942611">
          <w:marLeft w:val="0"/>
          <w:marRight w:val="0"/>
          <w:marTop w:val="0"/>
          <w:marBottom w:val="0"/>
          <w:divBdr>
            <w:top w:val="none" w:sz="0" w:space="0" w:color="auto"/>
            <w:left w:val="none" w:sz="0" w:space="0" w:color="auto"/>
            <w:bottom w:val="none" w:sz="0" w:space="0" w:color="auto"/>
            <w:right w:val="none" w:sz="0" w:space="0" w:color="auto"/>
          </w:divBdr>
        </w:div>
        <w:div w:id="1231044238">
          <w:marLeft w:val="0"/>
          <w:marRight w:val="0"/>
          <w:marTop w:val="0"/>
          <w:marBottom w:val="0"/>
          <w:divBdr>
            <w:top w:val="none" w:sz="0" w:space="0" w:color="auto"/>
            <w:left w:val="none" w:sz="0" w:space="0" w:color="auto"/>
            <w:bottom w:val="none" w:sz="0" w:space="0" w:color="auto"/>
            <w:right w:val="none" w:sz="0" w:space="0" w:color="auto"/>
          </w:divBdr>
        </w:div>
        <w:div w:id="1995330680">
          <w:marLeft w:val="0"/>
          <w:marRight w:val="0"/>
          <w:marTop w:val="0"/>
          <w:marBottom w:val="0"/>
          <w:divBdr>
            <w:top w:val="none" w:sz="0" w:space="0" w:color="auto"/>
            <w:left w:val="none" w:sz="0" w:space="0" w:color="auto"/>
            <w:bottom w:val="none" w:sz="0" w:space="0" w:color="auto"/>
            <w:right w:val="none" w:sz="0" w:space="0" w:color="auto"/>
          </w:divBdr>
        </w:div>
        <w:div w:id="281884649">
          <w:marLeft w:val="0"/>
          <w:marRight w:val="0"/>
          <w:marTop w:val="0"/>
          <w:marBottom w:val="0"/>
          <w:divBdr>
            <w:top w:val="none" w:sz="0" w:space="0" w:color="auto"/>
            <w:left w:val="none" w:sz="0" w:space="0" w:color="auto"/>
            <w:bottom w:val="none" w:sz="0" w:space="0" w:color="auto"/>
            <w:right w:val="none" w:sz="0" w:space="0" w:color="auto"/>
          </w:divBdr>
        </w:div>
        <w:div w:id="1968507395">
          <w:marLeft w:val="0"/>
          <w:marRight w:val="0"/>
          <w:marTop w:val="0"/>
          <w:marBottom w:val="0"/>
          <w:divBdr>
            <w:top w:val="none" w:sz="0" w:space="0" w:color="auto"/>
            <w:left w:val="none" w:sz="0" w:space="0" w:color="auto"/>
            <w:bottom w:val="none" w:sz="0" w:space="0" w:color="auto"/>
            <w:right w:val="none" w:sz="0" w:space="0" w:color="auto"/>
          </w:divBdr>
        </w:div>
        <w:div w:id="534124957">
          <w:marLeft w:val="0"/>
          <w:marRight w:val="0"/>
          <w:marTop w:val="0"/>
          <w:marBottom w:val="0"/>
          <w:divBdr>
            <w:top w:val="none" w:sz="0" w:space="0" w:color="auto"/>
            <w:left w:val="none" w:sz="0" w:space="0" w:color="auto"/>
            <w:bottom w:val="none" w:sz="0" w:space="0" w:color="auto"/>
            <w:right w:val="none" w:sz="0" w:space="0" w:color="auto"/>
          </w:divBdr>
        </w:div>
        <w:div w:id="947197253">
          <w:marLeft w:val="0"/>
          <w:marRight w:val="0"/>
          <w:marTop w:val="0"/>
          <w:marBottom w:val="0"/>
          <w:divBdr>
            <w:top w:val="none" w:sz="0" w:space="0" w:color="auto"/>
            <w:left w:val="none" w:sz="0" w:space="0" w:color="auto"/>
            <w:bottom w:val="none" w:sz="0" w:space="0" w:color="auto"/>
            <w:right w:val="none" w:sz="0" w:space="0" w:color="auto"/>
          </w:divBdr>
        </w:div>
        <w:div w:id="2070154369">
          <w:marLeft w:val="0"/>
          <w:marRight w:val="0"/>
          <w:marTop w:val="0"/>
          <w:marBottom w:val="0"/>
          <w:divBdr>
            <w:top w:val="none" w:sz="0" w:space="0" w:color="auto"/>
            <w:left w:val="none" w:sz="0" w:space="0" w:color="auto"/>
            <w:bottom w:val="none" w:sz="0" w:space="0" w:color="auto"/>
            <w:right w:val="none" w:sz="0" w:space="0" w:color="auto"/>
          </w:divBdr>
        </w:div>
        <w:div w:id="1050574615">
          <w:marLeft w:val="0"/>
          <w:marRight w:val="0"/>
          <w:marTop w:val="0"/>
          <w:marBottom w:val="0"/>
          <w:divBdr>
            <w:top w:val="none" w:sz="0" w:space="0" w:color="auto"/>
            <w:left w:val="none" w:sz="0" w:space="0" w:color="auto"/>
            <w:bottom w:val="none" w:sz="0" w:space="0" w:color="auto"/>
            <w:right w:val="none" w:sz="0" w:space="0" w:color="auto"/>
          </w:divBdr>
        </w:div>
        <w:div w:id="1431504980">
          <w:marLeft w:val="0"/>
          <w:marRight w:val="0"/>
          <w:marTop w:val="0"/>
          <w:marBottom w:val="0"/>
          <w:divBdr>
            <w:top w:val="none" w:sz="0" w:space="0" w:color="auto"/>
            <w:left w:val="none" w:sz="0" w:space="0" w:color="auto"/>
            <w:bottom w:val="none" w:sz="0" w:space="0" w:color="auto"/>
            <w:right w:val="none" w:sz="0" w:space="0" w:color="auto"/>
          </w:divBdr>
        </w:div>
        <w:div w:id="407045108">
          <w:marLeft w:val="0"/>
          <w:marRight w:val="0"/>
          <w:marTop w:val="0"/>
          <w:marBottom w:val="0"/>
          <w:divBdr>
            <w:top w:val="none" w:sz="0" w:space="0" w:color="auto"/>
            <w:left w:val="none" w:sz="0" w:space="0" w:color="auto"/>
            <w:bottom w:val="none" w:sz="0" w:space="0" w:color="auto"/>
            <w:right w:val="none" w:sz="0" w:space="0" w:color="auto"/>
          </w:divBdr>
        </w:div>
        <w:div w:id="787699494">
          <w:marLeft w:val="0"/>
          <w:marRight w:val="0"/>
          <w:marTop w:val="0"/>
          <w:marBottom w:val="0"/>
          <w:divBdr>
            <w:top w:val="none" w:sz="0" w:space="0" w:color="auto"/>
            <w:left w:val="none" w:sz="0" w:space="0" w:color="auto"/>
            <w:bottom w:val="none" w:sz="0" w:space="0" w:color="auto"/>
            <w:right w:val="none" w:sz="0" w:space="0" w:color="auto"/>
          </w:divBdr>
        </w:div>
        <w:div w:id="2010402576">
          <w:marLeft w:val="0"/>
          <w:marRight w:val="0"/>
          <w:marTop w:val="0"/>
          <w:marBottom w:val="0"/>
          <w:divBdr>
            <w:top w:val="none" w:sz="0" w:space="0" w:color="auto"/>
            <w:left w:val="none" w:sz="0" w:space="0" w:color="auto"/>
            <w:bottom w:val="none" w:sz="0" w:space="0" w:color="auto"/>
            <w:right w:val="none" w:sz="0" w:space="0" w:color="auto"/>
          </w:divBdr>
        </w:div>
        <w:div w:id="1065493522">
          <w:marLeft w:val="0"/>
          <w:marRight w:val="0"/>
          <w:marTop w:val="0"/>
          <w:marBottom w:val="0"/>
          <w:divBdr>
            <w:top w:val="none" w:sz="0" w:space="0" w:color="auto"/>
            <w:left w:val="none" w:sz="0" w:space="0" w:color="auto"/>
            <w:bottom w:val="none" w:sz="0" w:space="0" w:color="auto"/>
            <w:right w:val="none" w:sz="0" w:space="0" w:color="auto"/>
          </w:divBdr>
        </w:div>
        <w:div w:id="1473450992">
          <w:marLeft w:val="0"/>
          <w:marRight w:val="0"/>
          <w:marTop w:val="0"/>
          <w:marBottom w:val="0"/>
          <w:divBdr>
            <w:top w:val="none" w:sz="0" w:space="0" w:color="auto"/>
            <w:left w:val="none" w:sz="0" w:space="0" w:color="auto"/>
            <w:bottom w:val="none" w:sz="0" w:space="0" w:color="auto"/>
            <w:right w:val="none" w:sz="0" w:space="0" w:color="auto"/>
          </w:divBdr>
        </w:div>
        <w:div w:id="1877113848">
          <w:marLeft w:val="0"/>
          <w:marRight w:val="0"/>
          <w:marTop w:val="0"/>
          <w:marBottom w:val="0"/>
          <w:divBdr>
            <w:top w:val="none" w:sz="0" w:space="0" w:color="auto"/>
            <w:left w:val="none" w:sz="0" w:space="0" w:color="auto"/>
            <w:bottom w:val="none" w:sz="0" w:space="0" w:color="auto"/>
            <w:right w:val="none" w:sz="0" w:space="0" w:color="auto"/>
          </w:divBdr>
        </w:div>
        <w:div w:id="1929458631">
          <w:marLeft w:val="0"/>
          <w:marRight w:val="0"/>
          <w:marTop w:val="0"/>
          <w:marBottom w:val="0"/>
          <w:divBdr>
            <w:top w:val="none" w:sz="0" w:space="0" w:color="auto"/>
            <w:left w:val="none" w:sz="0" w:space="0" w:color="auto"/>
            <w:bottom w:val="none" w:sz="0" w:space="0" w:color="auto"/>
            <w:right w:val="none" w:sz="0" w:space="0" w:color="auto"/>
          </w:divBdr>
        </w:div>
        <w:div w:id="2050253106">
          <w:marLeft w:val="0"/>
          <w:marRight w:val="0"/>
          <w:marTop w:val="0"/>
          <w:marBottom w:val="0"/>
          <w:divBdr>
            <w:top w:val="none" w:sz="0" w:space="0" w:color="auto"/>
            <w:left w:val="none" w:sz="0" w:space="0" w:color="auto"/>
            <w:bottom w:val="none" w:sz="0" w:space="0" w:color="auto"/>
            <w:right w:val="none" w:sz="0" w:space="0" w:color="auto"/>
          </w:divBdr>
        </w:div>
        <w:div w:id="1616207886">
          <w:marLeft w:val="0"/>
          <w:marRight w:val="0"/>
          <w:marTop w:val="0"/>
          <w:marBottom w:val="0"/>
          <w:divBdr>
            <w:top w:val="none" w:sz="0" w:space="0" w:color="auto"/>
            <w:left w:val="none" w:sz="0" w:space="0" w:color="auto"/>
            <w:bottom w:val="none" w:sz="0" w:space="0" w:color="auto"/>
            <w:right w:val="none" w:sz="0" w:space="0" w:color="auto"/>
          </w:divBdr>
        </w:div>
        <w:div w:id="807433611">
          <w:marLeft w:val="0"/>
          <w:marRight w:val="0"/>
          <w:marTop w:val="0"/>
          <w:marBottom w:val="0"/>
          <w:divBdr>
            <w:top w:val="none" w:sz="0" w:space="0" w:color="auto"/>
            <w:left w:val="none" w:sz="0" w:space="0" w:color="auto"/>
            <w:bottom w:val="none" w:sz="0" w:space="0" w:color="auto"/>
            <w:right w:val="none" w:sz="0" w:space="0" w:color="auto"/>
          </w:divBdr>
        </w:div>
        <w:div w:id="41681337">
          <w:marLeft w:val="0"/>
          <w:marRight w:val="0"/>
          <w:marTop w:val="0"/>
          <w:marBottom w:val="0"/>
          <w:divBdr>
            <w:top w:val="none" w:sz="0" w:space="0" w:color="auto"/>
            <w:left w:val="none" w:sz="0" w:space="0" w:color="auto"/>
            <w:bottom w:val="none" w:sz="0" w:space="0" w:color="auto"/>
            <w:right w:val="none" w:sz="0" w:space="0" w:color="auto"/>
          </w:divBdr>
        </w:div>
        <w:div w:id="523789102">
          <w:marLeft w:val="0"/>
          <w:marRight w:val="0"/>
          <w:marTop w:val="0"/>
          <w:marBottom w:val="0"/>
          <w:divBdr>
            <w:top w:val="none" w:sz="0" w:space="0" w:color="auto"/>
            <w:left w:val="none" w:sz="0" w:space="0" w:color="auto"/>
            <w:bottom w:val="none" w:sz="0" w:space="0" w:color="auto"/>
            <w:right w:val="none" w:sz="0" w:space="0" w:color="auto"/>
          </w:divBdr>
        </w:div>
        <w:div w:id="327054975">
          <w:marLeft w:val="0"/>
          <w:marRight w:val="0"/>
          <w:marTop w:val="0"/>
          <w:marBottom w:val="0"/>
          <w:divBdr>
            <w:top w:val="none" w:sz="0" w:space="0" w:color="auto"/>
            <w:left w:val="none" w:sz="0" w:space="0" w:color="auto"/>
            <w:bottom w:val="none" w:sz="0" w:space="0" w:color="auto"/>
            <w:right w:val="none" w:sz="0" w:space="0" w:color="auto"/>
          </w:divBdr>
        </w:div>
        <w:div w:id="391388963">
          <w:marLeft w:val="0"/>
          <w:marRight w:val="0"/>
          <w:marTop w:val="0"/>
          <w:marBottom w:val="0"/>
          <w:divBdr>
            <w:top w:val="none" w:sz="0" w:space="0" w:color="auto"/>
            <w:left w:val="none" w:sz="0" w:space="0" w:color="auto"/>
            <w:bottom w:val="none" w:sz="0" w:space="0" w:color="auto"/>
            <w:right w:val="none" w:sz="0" w:space="0" w:color="auto"/>
          </w:divBdr>
        </w:div>
        <w:div w:id="538054022">
          <w:marLeft w:val="0"/>
          <w:marRight w:val="0"/>
          <w:marTop w:val="0"/>
          <w:marBottom w:val="0"/>
          <w:divBdr>
            <w:top w:val="none" w:sz="0" w:space="0" w:color="auto"/>
            <w:left w:val="none" w:sz="0" w:space="0" w:color="auto"/>
            <w:bottom w:val="none" w:sz="0" w:space="0" w:color="auto"/>
            <w:right w:val="none" w:sz="0" w:space="0" w:color="auto"/>
          </w:divBdr>
        </w:div>
        <w:div w:id="1344627917">
          <w:marLeft w:val="0"/>
          <w:marRight w:val="0"/>
          <w:marTop w:val="0"/>
          <w:marBottom w:val="0"/>
          <w:divBdr>
            <w:top w:val="none" w:sz="0" w:space="0" w:color="auto"/>
            <w:left w:val="none" w:sz="0" w:space="0" w:color="auto"/>
            <w:bottom w:val="none" w:sz="0" w:space="0" w:color="auto"/>
            <w:right w:val="none" w:sz="0" w:space="0" w:color="auto"/>
          </w:divBdr>
        </w:div>
        <w:div w:id="707416406">
          <w:marLeft w:val="0"/>
          <w:marRight w:val="0"/>
          <w:marTop w:val="0"/>
          <w:marBottom w:val="0"/>
          <w:divBdr>
            <w:top w:val="none" w:sz="0" w:space="0" w:color="auto"/>
            <w:left w:val="none" w:sz="0" w:space="0" w:color="auto"/>
            <w:bottom w:val="none" w:sz="0" w:space="0" w:color="auto"/>
            <w:right w:val="none" w:sz="0" w:space="0" w:color="auto"/>
          </w:divBdr>
        </w:div>
        <w:div w:id="1715814838">
          <w:marLeft w:val="0"/>
          <w:marRight w:val="0"/>
          <w:marTop w:val="0"/>
          <w:marBottom w:val="0"/>
          <w:divBdr>
            <w:top w:val="none" w:sz="0" w:space="0" w:color="auto"/>
            <w:left w:val="none" w:sz="0" w:space="0" w:color="auto"/>
            <w:bottom w:val="none" w:sz="0" w:space="0" w:color="auto"/>
            <w:right w:val="none" w:sz="0" w:space="0" w:color="auto"/>
          </w:divBdr>
        </w:div>
        <w:div w:id="2063094852">
          <w:marLeft w:val="0"/>
          <w:marRight w:val="0"/>
          <w:marTop w:val="0"/>
          <w:marBottom w:val="0"/>
          <w:divBdr>
            <w:top w:val="none" w:sz="0" w:space="0" w:color="auto"/>
            <w:left w:val="none" w:sz="0" w:space="0" w:color="auto"/>
            <w:bottom w:val="none" w:sz="0" w:space="0" w:color="auto"/>
            <w:right w:val="none" w:sz="0" w:space="0" w:color="auto"/>
          </w:divBdr>
        </w:div>
        <w:div w:id="1227448868">
          <w:marLeft w:val="0"/>
          <w:marRight w:val="0"/>
          <w:marTop w:val="0"/>
          <w:marBottom w:val="0"/>
          <w:divBdr>
            <w:top w:val="none" w:sz="0" w:space="0" w:color="auto"/>
            <w:left w:val="none" w:sz="0" w:space="0" w:color="auto"/>
            <w:bottom w:val="none" w:sz="0" w:space="0" w:color="auto"/>
            <w:right w:val="none" w:sz="0" w:space="0" w:color="auto"/>
          </w:divBdr>
        </w:div>
        <w:div w:id="296451195">
          <w:marLeft w:val="0"/>
          <w:marRight w:val="0"/>
          <w:marTop w:val="0"/>
          <w:marBottom w:val="0"/>
          <w:divBdr>
            <w:top w:val="none" w:sz="0" w:space="0" w:color="auto"/>
            <w:left w:val="none" w:sz="0" w:space="0" w:color="auto"/>
            <w:bottom w:val="none" w:sz="0" w:space="0" w:color="auto"/>
            <w:right w:val="none" w:sz="0" w:space="0" w:color="auto"/>
          </w:divBdr>
        </w:div>
        <w:div w:id="979189500">
          <w:marLeft w:val="0"/>
          <w:marRight w:val="0"/>
          <w:marTop w:val="0"/>
          <w:marBottom w:val="0"/>
          <w:divBdr>
            <w:top w:val="none" w:sz="0" w:space="0" w:color="auto"/>
            <w:left w:val="none" w:sz="0" w:space="0" w:color="auto"/>
            <w:bottom w:val="none" w:sz="0" w:space="0" w:color="auto"/>
            <w:right w:val="none" w:sz="0" w:space="0" w:color="auto"/>
          </w:divBdr>
        </w:div>
        <w:div w:id="1635404454">
          <w:marLeft w:val="0"/>
          <w:marRight w:val="0"/>
          <w:marTop w:val="0"/>
          <w:marBottom w:val="0"/>
          <w:divBdr>
            <w:top w:val="none" w:sz="0" w:space="0" w:color="auto"/>
            <w:left w:val="none" w:sz="0" w:space="0" w:color="auto"/>
            <w:bottom w:val="none" w:sz="0" w:space="0" w:color="auto"/>
            <w:right w:val="none" w:sz="0" w:space="0" w:color="auto"/>
          </w:divBdr>
        </w:div>
        <w:div w:id="1827473857">
          <w:marLeft w:val="0"/>
          <w:marRight w:val="0"/>
          <w:marTop w:val="0"/>
          <w:marBottom w:val="0"/>
          <w:divBdr>
            <w:top w:val="none" w:sz="0" w:space="0" w:color="auto"/>
            <w:left w:val="none" w:sz="0" w:space="0" w:color="auto"/>
            <w:bottom w:val="none" w:sz="0" w:space="0" w:color="auto"/>
            <w:right w:val="none" w:sz="0" w:space="0" w:color="auto"/>
          </w:divBdr>
        </w:div>
        <w:div w:id="1325205129">
          <w:marLeft w:val="0"/>
          <w:marRight w:val="0"/>
          <w:marTop w:val="0"/>
          <w:marBottom w:val="0"/>
          <w:divBdr>
            <w:top w:val="none" w:sz="0" w:space="0" w:color="auto"/>
            <w:left w:val="none" w:sz="0" w:space="0" w:color="auto"/>
            <w:bottom w:val="none" w:sz="0" w:space="0" w:color="auto"/>
            <w:right w:val="none" w:sz="0" w:space="0" w:color="auto"/>
          </w:divBdr>
        </w:div>
        <w:div w:id="1200049737">
          <w:marLeft w:val="0"/>
          <w:marRight w:val="0"/>
          <w:marTop w:val="0"/>
          <w:marBottom w:val="0"/>
          <w:divBdr>
            <w:top w:val="none" w:sz="0" w:space="0" w:color="auto"/>
            <w:left w:val="none" w:sz="0" w:space="0" w:color="auto"/>
            <w:bottom w:val="none" w:sz="0" w:space="0" w:color="auto"/>
            <w:right w:val="none" w:sz="0" w:space="0" w:color="auto"/>
          </w:divBdr>
        </w:div>
        <w:div w:id="1940984782">
          <w:marLeft w:val="0"/>
          <w:marRight w:val="0"/>
          <w:marTop w:val="0"/>
          <w:marBottom w:val="0"/>
          <w:divBdr>
            <w:top w:val="none" w:sz="0" w:space="0" w:color="auto"/>
            <w:left w:val="none" w:sz="0" w:space="0" w:color="auto"/>
            <w:bottom w:val="none" w:sz="0" w:space="0" w:color="auto"/>
            <w:right w:val="none" w:sz="0" w:space="0" w:color="auto"/>
          </w:divBdr>
        </w:div>
        <w:div w:id="1152869164">
          <w:marLeft w:val="0"/>
          <w:marRight w:val="0"/>
          <w:marTop w:val="0"/>
          <w:marBottom w:val="0"/>
          <w:divBdr>
            <w:top w:val="none" w:sz="0" w:space="0" w:color="auto"/>
            <w:left w:val="none" w:sz="0" w:space="0" w:color="auto"/>
            <w:bottom w:val="none" w:sz="0" w:space="0" w:color="auto"/>
            <w:right w:val="none" w:sz="0" w:space="0" w:color="auto"/>
          </w:divBdr>
        </w:div>
        <w:div w:id="677930330">
          <w:marLeft w:val="0"/>
          <w:marRight w:val="0"/>
          <w:marTop w:val="0"/>
          <w:marBottom w:val="0"/>
          <w:divBdr>
            <w:top w:val="none" w:sz="0" w:space="0" w:color="auto"/>
            <w:left w:val="none" w:sz="0" w:space="0" w:color="auto"/>
            <w:bottom w:val="none" w:sz="0" w:space="0" w:color="auto"/>
            <w:right w:val="none" w:sz="0" w:space="0" w:color="auto"/>
          </w:divBdr>
        </w:div>
        <w:div w:id="1445616774">
          <w:marLeft w:val="0"/>
          <w:marRight w:val="0"/>
          <w:marTop w:val="0"/>
          <w:marBottom w:val="0"/>
          <w:divBdr>
            <w:top w:val="none" w:sz="0" w:space="0" w:color="auto"/>
            <w:left w:val="none" w:sz="0" w:space="0" w:color="auto"/>
            <w:bottom w:val="none" w:sz="0" w:space="0" w:color="auto"/>
            <w:right w:val="none" w:sz="0" w:space="0" w:color="auto"/>
          </w:divBdr>
        </w:div>
        <w:div w:id="490802343">
          <w:marLeft w:val="0"/>
          <w:marRight w:val="0"/>
          <w:marTop w:val="0"/>
          <w:marBottom w:val="0"/>
          <w:divBdr>
            <w:top w:val="none" w:sz="0" w:space="0" w:color="auto"/>
            <w:left w:val="none" w:sz="0" w:space="0" w:color="auto"/>
            <w:bottom w:val="none" w:sz="0" w:space="0" w:color="auto"/>
            <w:right w:val="none" w:sz="0" w:space="0" w:color="auto"/>
          </w:divBdr>
        </w:div>
        <w:div w:id="2135319877">
          <w:marLeft w:val="0"/>
          <w:marRight w:val="0"/>
          <w:marTop w:val="0"/>
          <w:marBottom w:val="0"/>
          <w:divBdr>
            <w:top w:val="none" w:sz="0" w:space="0" w:color="auto"/>
            <w:left w:val="none" w:sz="0" w:space="0" w:color="auto"/>
            <w:bottom w:val="none" w:sz="0" w:space="0" w:color="auto"/>
            <w:right w:val="none" w:sz="0" w:space="0" w:color="auto"/>
          </w:divBdr>
        </w:div>
        <w:div w:id="612710720">
          <w:marLeft w:val="0"/>
          <w:marRight w:val="0"/>
          <w:marTop w:val="0"/>
          <w:marBottom w:val="0"/>
          <w:divBdr>
            <w:top w:val="none" w:sz="0" w:space="0" w:color="auto"/>
            <w:left w:val="none" w:sz="0" w:space="0" w:color="auto"/>
            <w:bottom w:val="none" w:sz="0" w:space="0" w:color="auto"/>
            <w:right w:val="none" w:sz="0" w:space="0" w:color="auto"/>
          </w:divBdr>
        </w:div>
        <w:div w:id="1556744225">
          <w:marLeft w:val="0"/>
          <w:marRight w:val="0"/>
          <w:marTop w:val="0"/>
          <w:marBottom w:val="0"/>
          <w:divBdr>
            <w:top w:val="none" w:sz="0" w:space="0" w:color="auto"/>
            <w:left w:val="none" w:sz="0" w:space="0" w:color="auto"/>
            <w:bottom w:val="none" w:sz="0" w:space="0" w:color="auto"/>
            <w:right w:val="none" w:sz="0" w:space="0" w:color="auto"/>
          </w:divBdr>
        </w:div>
        <w:div w:id="1532691966">
          <w:marLeft w:val="0"/>
          <w:marRight w:val="0"/>
          <w:marTop w:val="0"/>
          <w:marBottom w:val="0"/>
          <w:divBdr>
            <w:top w:val="none" w:sz="0" w:space="0" w:color="auto"/>
            <w:left w:val="none" w:sz="0" w:space="0" w:color="auto"/>
            <w:bottom w:val="none" w:sz="0" w:space="0" w:color="auto"/>
            <w:right w:val="none" w:sz="0" w:space="0" w:color="auto"/>
          </w:divBdr>
        </w:div>
        <w:div w:id="2068264055">
          <w:marLeft w:val="0"/>
          <w:marRight w:val="0"/>
          <w:marTop w:val="0"/>
          <w:marBottom w:val="0"/>
          <w:divBdr>
            <w:top w:val="none" w:sz="0" w:space="0" w:color="auto"/>
            <w:left w:val="none" w:sz="0" w:space="0" w:color="auto"/>
            <w:bottom w:val="none" w:sz="0" w:space="0" w:color="auto"/>
            <w:right w:val="none" w:sz="0" w:space="0" w:color="auto"/>
          </w:divBdr>
        </w:div>
        <w:div w:id="1576352025">
          <w:marLeft w:val="0"/>
          <w:marRight w:val="0"/>
          <w:marTop w:val="0"/>
          <w:marBottom w:val="0"/>
          <w:divBdr>
            <w:top w:val="none" w:sz="0" w:space="0" w:color="auto"/>
            <w:left w:val="none" w:sz="0" w:space="0" w:color="auto"/>
            <w:bottom w:val="none" w:sz="0" w:space="0" w:color="auto"/>
            <w:right w:val="none" w:sz="0" w:space="0" w:color="auto"/>
          </w:divBdr>
        </w:div>
        <w:div w:id="235093349">
          <w:marLeft w:val="0"/>
          <w:marRight w:val="0"/>
          <w:marTop w:val="0"/>
          <w:marBottom w:val="0"/>
          <w:divBdr>
            <w:top w:val="none" w:sz="0" w:space="0" w:color="auto"/>
            <w:left w:val="none" w:sz="0" w:space="0" w:color="auto"/>
            <w:bottom w:val="none" w:sz="0" w:space="0" w:color="auto"/>
            <w:right w:val="none" w:sz="0" w:space="0" w:color="auto"/>
          </w:divBdr>
        </w:div>
        <w:div w:id="1458138992">
          <w:marLeft w:val="0"/>
          <w:marRight w:val="0"/>
          <w:marTop w:val="0"/>
          <w:marBottom w:val="0"/>
          <w:divBdr>
            <w:top w:val="none" w:sz="0" w:space="0" w:color="auto"/>
            <w:left w:val="none" w:sz="0" w:space="0" w:color="auto"/>
            <w:bottom w:val="none" w:sz="0" w:space="0" w:color="auto"/>
            <w:right w:val="none" w:sz="0" w:space="0" w:color="auto"/>
          </w:divBdr>
        </w:div>
        <w:div w:id="1306931706">
          <w:marLeft w:val="0"/>
          <w:marRight w:val="0"/>
          <w:marTop w:val="0"/>
          <w:marBottom w:val="0"/>
          <w:divBdr>
            <w:top w:val="none" w:sz="0" w:space="0" w:color="auto"/>
            <w:left w:val="none" w:sz="0" w:space="0" w:color="auto"/>
            <w:bottom w:val="none" w:sz="0" w:space="0" w:color="auto"/>
            <w:right w:val="none" w:sz="0" w:space="0" w:color="auto"/>
          </w:divBdr>
        </w:div>
        <w:div w:id="1405376347">
          <w:marLeft w:val="0"/>
          <w:marRight w:val="0"/>
          <w:marTop w:val="0"/>
          <w:marBottom w:val="0"/>
          <w:divBdr>
            <w:top w:val="none" w:sz="0" w:space="0" w:color="auto"/>
            <w:left w:val="none" w:sz="0" w:space="0" w:color="auto"/>
            <w:bottom w:val="none" w:sz="0" w:space="0" w:color="auto"/>
            <w:right w:val="none" w:sz="0" w:space="0" w:color="auto"/>
          </w:divBdr>
        </w:div>
        <w:div w:id="1854371540">
          <w:marLeft w:val="0"/>
          <w:marRight w:val="0"/>
          <w:marTop w:val="0"/>
          <w:marBottom w:val="0"/>
          <w:divBdr>
            <w:top w:val="none" w:sz="0" w:space="0" w:color="auto"/>
            <w:left w:val="none" w:sz="0" w:space="0" w:color="auto"/>
            <w:bottom w:val="none" w:sz="0" w:space="0" w:color="auto"/>
            <w:right w:val="none" w:sz="0" w:space="0" w:color="auto"/>
          </w:divBdr>
        </w:div>
        <w:div w:id="1158961093">
          <w:marLeft w:val="0"/>
          <w:marRight w:val="0"/>
          <w:marTop w:val="0"/>
          <w:marBottom w:val="0"/>
          <w:divBdr>
            <w:top w:val="none" w:sz="0" w:space="0" w:color="auto"/>
            <w:left w:val="none" w:sz="0" w:space="0" w:color="auto"/>
            <w:bottom w:val="none" w:sz="0" w:space="0" w:color="auto"/>
            <w:right w:val="none" w:sz="0" w:space="0" w:color="auto"/>
          </w:divBdr>
        </w:div>
        <w:div w:id="1129931465">
          <w:marLeft w:val="0"/>
          <w:marRight w:val="0"/>
          <w:marTop w:val="0"/>
          <w:marBottom w:val="0"/>
          <w:divBdr>
            <w:top w:val="none" w:sz="0" w:space="0" w:color="auto"/>
            <w:left w:val="none" w:sz="0" w:space="0" w:color="auto"/>
            <w:bottom w:val="none" w:sz="0" w:space="0" w:color="auto"/>
            <w:right w:val="none" w:sz="0" w:space="0" w:color="auto"/>
          </w:divBdr>
        </w:div>
        <w:div w:id="1767731001">
          <w:marLeft w:val="0"/>
          <w:marRight w:val="0"/>
          <w:marTop w:val="0"/>
          <w:marBottom w:val="0"/>
          <w:divBdr>
            <w:top w:val="none" w:sz="0" w:space="0" w:color="auto"/>
            <w:left w:val="none" w:sz="0" w:space="0" w:color="auto"/>
            <w:bottom w:val="none" w:sz="0" w:space="0" w:color="auto"/>
            <w:right w:val="none" w:sz="0" w:space="0" w:color="auto"/>
          </w:divBdr>
        </w:div>
        <w:div w:id="2016614228">
          <w:marLeft w:val="0"/>
          <w:marRight w:val="0"/>
          <w:marTop w:val="0"/>
          <w:marBottom w:val="0"/>
          <w:divBdr>
            <w:top w:val="none" w:sz="0" w:space="0" w:color="auto"/>
            <w:left w:val="none" w:sz="0" w:space="0" w:color="auto"/>
            <w:bottom w:val="none" w:sz="0" w:space="0" w:color="auto"/>
            <w:right w:val="none" w:sz="0" w:space="0" w:color="auto"/>
          </w:divBdr>
        </w:div>
        <w:div w:id="170267747">
          <w:marLeft w:val="0"/>
          <w:marRight w:val="0"/>
          <w:marTop w:val="0"/>
          <w:marBottom w:val="0"/>
          <w:divBdr>
            <w:top w:val="none" w:sz="0" w:space="0" w:color="auto"/>
            <w:left w:val="none" w:sz="0" w:space="0" w:color="auto"/>
            <w:bottom w:val="none" w:sz="0" w:space="0" w:color="auto"/>
            <w:right w:val="none" w:sz="0" w:space="0" w:color="auto"/>
          </w:divBdr>
        </w:div>
        <w:div w:id="448864688">
          <w:marLeft w:val="0"/>
          <w:marRight w:val="0"/>
          <w:marTop w:val="0"/>
          <w:marBottom w:val="0"/>
          <w:divBdr>
            <w:top w:val="none" w:sz="0" w:space="0" w:color="auto"/>
            <w:left w:val="none" w:sz="0" w:space="0" w:color="auto"/>
            <w:bottom w:val="none" w:sz="0" w:space="0" w:color="auto"/>
            <w:right w:val="none" w:sz="0" w:space="0" w:color="auto"/>
          </w:divBdr>
        </w:div>
        <w:div w:id="1630864455">
          <w:marLeft w:val="0"/>
          <w:marRight w:val="0"/>
          <w:marTop w:val="0"/>
          <w:marBottom w:val="0"/>
          <w:divBdr>
            <w:top w:val="none" w:sz="0" w:space="0" w:color="auto"/>
            <w:left w:val="none" w:sz="0" w:space="0" w:color="auto"/>
            <w:bottom w:val="none" w:sz="0" w:space="0" w:color="auto"/>
            <w:right w:val="none" w:sz="0" w:space="0" w:color="auto"/>
          </w:divBdr>
        </w:div>
        <w:div w:id="508326039">
          <w:marLeft w:val="0"/>
          <w:marRight w:val="0"/>
          <w:marTop w:val="0"/>
          <w:marBottom w:val="0"/>
          <w:divBdr>
            <w:top w:val="none" w:sz="0" w:space="0" w:color="auto"/>
            <w:left w:val="none" w:sz="0" w:space="0" w:color="auto"/>
            <w:bottom w:val="none" w:sz="0" w:space="0" w:color="auto"/>
            <w:right w:val="none" w:sz="0" w:space="0" w:color="auto"/>
          </w:divBdr>
        </w:div>
        <w:div w:id="1849903391">
          <w:marLeft w:val="0"/>
          <w:marRight w:val="0"/>
          <w:marTop w:val="0"/>
          <w:marBottom w:val="0"/>
          <w:divBdr>
            <w:top w:val="none" w:sz="0" w:space="0" w:color="auto"/>
            <w:left w:val="none" w:sz="0" w:space="0" w:color="auto"/>
            <w:bottom w:val="none" w:sz="0" w:space="0" w:color="auto"/>
            <w:right w:val="none" w:sz="0" w:space="0" w:color="auto"/>
          </w:divBdr>
        </w:div>
        <w:div w:id="1021592166">
          <w:marLeft w:val="0"/>
          <w:marRight w:val="0"/>
          <w:marTop w:val="0"/>
          <w:marBottom w:val="0"/>
          <w:divBdr>
            <w:top w:val="none" w:sz="0" w:space="0" w:color="auto"/>
            <w:left w:val="none" w:sz="0" w:space="0" w:color="auto"/>
            <w:bottom w:val="none" w:sz="0" w:space="0" w:color="auto"/>
            <w:right w:val="none" w:sz="0" w:space="0" w:color="auto"/>
          </w:divBdr>
        </w:div>
        <w:div w:id="1370183314">
          <w:marLeft w:val="0"/>
          <w:marRight w:val="0"/>
          <w:marTop w:val="0"/>
          <w:marBottom w:val="0"/>
          <w:divBdr>
            <w:top w:val="none" w:sz="0" w:space="0" w:color="auto"/>
            <w:left w:val="none" w:sz="0" w:space="0" w:color="auto"/>
            <w:bottom w:val="none" w:sz="0" w:space="0" w:color="auto"/>
            <w:right w:val="none" w:sz="0" w:space="0" w:color="auto"/>
          </w:divBdr>
        </w:div>
        <w:div w:id="874464825">
          <w:marLeft w:val="0"/>
          <w:marRight w:val="0"/>
          <w:marTop w:val="0"/>
          <w:marBottom w:val="0"/>
          <w:divBdr>
            <w:top w:val="none" w:sz="0" w:space="0" w:color="auto"/>
            <w:left w:val="none" w:sz="0" w:space="0" w:color="auto"/>
            <w:bottom w:val="none" w:sz="0" w:space="0" w:color="auto"/>
            <w:right w:val="none" w:sz="0" w:space="0" w:color="auto"/>
          </w:divBdr>
        </w:div>
        <w:div w:id="272324316">
          <w:marLeft w:val="0"/>
          <w:marRight w:val="0"/>
          <w:marTop w:val="0"/>
          <w:marBottom w:val="0"/>
          <w:divBdr>
            <w:top w:val="none" w:sz="0" w:space="0" w:color="auto"/>
            <w:left w:val="none" w:sz="0" w:space="0" w:color="auto"/>
            <w:bottom w:val="none" w:sz="0" w:space="0" w:color="auto"/>
            <w:right w:val="none" w:sz="0" w:space="0" w:color="auto"/>
          </w:divBdr>
        </w:div>
        <w:div w:id="1693064886">
          <w:marLeft w:val="0"/>
          <w:marRight w:val="0"/>
          <w:marTop w:val="0"/>
          <w:marBottom w:val="0"/>
          <w:divBdr>
            <w:top w:val="none" w:sz="0" w:space="0" w:color="auto"/>
            <w:left w:val="none" w:sz="0" w:space="0" w:color="auto"/>
            <w:bottom w:val="none" w:sz="0" w:space="0" w:color="auto"/>
            <w:right w:val="none" w:sz="0" w:space="0" w:color="auto"/>
          </w:divBdr>
        </w:div>
        <w:div w:id="1211770414">
          <w:marLeft w:val="0"/>
          <w:marRight w:val="0"/>
          <w:marTop w:val="0"/>
          <w:marBottom w:val="0"/>
          <w:divBdr>
            <w:top w:val="none" w:sz="0" w:space="0" w:color="auto"/>
            <w:left w:val="none" w:sz="0" w:space="0" w:color="auto"/>
            <w:bottom w:val="none" w:sz="0" w:space="0" w:color="auto"/>
            <w:right w:val="none" w:sz="0" w:space="0" w:color="auto"/>
          </w:divBdr>
        </w:div>
        <w:div w:id="896621681">
          <w:marLeft w:val="0"/>
          <w:marRight w:val="0"/>
          <w:marTop w:val="0"/>
          <w:marBottom w:val="0"/>
          <w:divBdr>
            <w:top w:val="none" w:sz="0" w:space="0" w:color="auto"/>
            <w:left w:val="none" w:sz="0" w:space="0" w:color="auto"/>
            <w:bottom w:val="none" w:sz="0" w:space="0" w:color="auto"/>
            <w:right w:val="none" w:sz="0" w:space="0" w:color="auto"/>
          </w:divBdr>
        </w:div>
        <w:div w:id="78213476">
          <w:marLeft w:val="0"/>
          <w:marRight w:val="0"/>
          <w:marTop w:val="0"/>
          <w:marBottom w:val="0"/>
          <w:divBdr>
            <w:top w:val="none" w:sz="0" w:space="0" w:color="auto"/>
            <w:left w:val="none" w:sz="0" w:space="0" w:color="auto"/>
            <w:bottom w:val="none" w:sz="0" w:space="0" w:color="auto"/>
            <w:right w:val="none" w:sz="0" w:space="0" w:color="auto"/>
          </w:divBdr>
        </w:div>
        <w:div w:id="871502154">
          <w:marLeft w:val="0"/>
          <w:marRight w:val="0"/>
          <w:marTop w:val="0"/>
          <w:marBottom w:val="0"/>
          <w:divBdr>
            <w:top w:val="none" w:sz="0" w:space="0" w:color="auto"/>
            <w:left w:val="none" w:sz="0" w:space="0" w:color="auto"/>
            <w:bottom w:val="none" w:sz="0" w:space="0" w:color="auto"/>
            <w:right w:val="none" w:sz="0" w:space="0" w:color="auto"/>
          </w:divBdr>
        </w:div>
        <w:div w:id="1317683012">
          <w:marLeft w:val="0"/>
          <w:marRight w:val="0"/>
          <w:marTop w:val="0"/>
          <w:marBottom w:val="0"/>
          <w:divBdr>
            <w:top w:val="none" w:sz="0" w:space="0" w:color="auto"/>
            <w:left w:val="none" w:sz="0" w:space="0" w:color="auto"/>
            <w:bottom w:val="none" w:sz="0" w:space="0" w:color="auto"/>
            <w:right w:val="none" w:sz="0" w:space="0" w:color="auto"/>
          </w:divBdr>
        </w:div>
        <w:div w:id="975374485">
          <w:marLeft w:val="0"/>
          <w:marRight w:val="0"/>
          <w:marTop w:val="0"/>
          <w:marBottom w:val="0"/>
          <w:divBdr>
            <w:top w:val="none" w:sz="0" w:space="0" w:color="auto"/>
            <w:left w:val="none" w:sz="0" w:space="0" w:color="auto"/>
            <w:bottom w:val="none" w:sz="0" w:space="0" w:color="auto"/>
            <w:right w:val="none" w:sz="0" w:space="0" w:color="auto"/>
          </w:divBdr>
        </w:div>
        <w:div w:id="1231581661">
          <w:marLeft w:val="0"/>
          <w:marRight w:val="0"/>
          <w:marTop w:val="0"/>
          <w:marBottom w:val="0"/>
          <w:divBdr>
            <w:top w:val="none" w:sz="0" w:space="0" w:color="auto"/>
            <w:left w:val="none" w:sz="0" w:space="0" w:color="auto"/>
            <w:bottom w:val="none" w:sz="0" w:space="0" w:color="auto"/>
            <w:right w:val="none" w:sz="0" w:space="0" w:color="auto"/>
          </w:divBdr>
        </w:div>
        <w:div w:id="1435133669">
          <w:marLeft w:val="0"/>
          <w:marRight w:val="0"/>
          <w:marTop w:val="0"/>
          <w:marBottom w:val="0"/>
          <w:divBdr>
            <w:top w:val="none" w:sz="0" w:space="0" w:color="auto"/>
            <w:left w:val="none" w:sz="0" w:space="0" w:color="auto"/>
            <w:bottom w:val="none" w:sz="0" w:space="0" w:color="auto"/>
            <w:right w:val="none" w:sz="0" w:space="0" w:color="auto"/>
          </w:divBdr>
        </w:div>
        <w:div w:id="342706285">
          <w:marLeft w:val="0"/>
          <w:marRight w:val="0"/>
          <w:marTop w:val="0"/>
          <w:marBottom w:val="0"/>
          <w:divBdr>
            <w:top w:val="none" w:sz="0" w:space="0" w:color="auto"/>
            <w:left w:val="none" w:sz="0" w:space="0" w:color="auto"/>
            <w:bottom w:val="none" w:sz="0" w:space="0" w:color="auto"/>
            <w:right w:val="none" w:sz="0" w:space="0" w:color="auto"/>
          </w:divBdr>
        </w:div>
        <w:div w:id="736174852">
          <w:marLeft w:val="0"/>
          <w:marRight w:val="0"/>
          <w:marTop w:val="0"/>
          <w:marBottom w:val="0"/>
          <w:divBdr>
            <w:top w:val="none" w:sz="0" w:space="0" w:color="auto"/>
            <w:left w:val="none" w:sz="0" w:space="0" w:color="auto"/>
            <w:bottom w:val="none" w:sz="0" w:space="0" w:color="auto"/>
            <w:right w:val="none" w:sz="0" w:space="0" w:color="auto"/>
          </w:divBdr>
        </w:div>
        <w:div w:id="1931114629">
          <w:marLeft w:val="0"/>
          <w:marRight w:val="0"/>
          <w:marTop w:val="0"/>
          <w:marBottom w:val="0"/>
          <w:divBdr>
            <w:top w:val="none" w:sz="0" w:space="0" w:color="auto"/>
            <w:left w:val="none" w:sz="0" w:space="0" w:color="auto"/>
            <w:bottom w:val="none" w:sz="0" w:space="0" w:color="auto"/>
            <w:right w:val="none" w:sz="0" w:space="0" w:color="auto"/>
          </w:divBdr>
        </w:div>
        <w:div w:id="541333681">
          <w:marLeft w:val="0"/>
          <w:marRight w:val="0"/>
          <w:marTop w:val="0"/>
          <w:marBottom w:val="0"/>
          <w:divBdr>
            <w:top w:val="none" w:sz="0" w:space="0" w:color="auto"/>
            <w:left w:val="none" w:sz="0" w:space="0" w:color="auto"/>
            <w:bottom w:val="none" w:sz="0" w:space="0" w:color="auto"/>
            <w:right w:val="none" w:sz="0" w:space="0" w:color="auto"/>
          </w:divBdr>
        </w:div>
        <w:div w:id="1223640032">
          <w:marLeft w:val="0"/>
          <w:marRight w:val="0"/>
          <w:marTop w:val="0"/>
          <w:marBottom w:val="0"/>
          <w:divBdr>
            <w:top w:val="none" w:sz="0" w:space="0" w:color="auto"/>
            <w:left w:val="none" w:sz="0" w:space="0" w:color="auto"/>
            <w:bottom w:val="none" w:sz="0" w:space="0" w:color="auto"/>
            <w:right w:val="none" w:sz="0" w:space="0" w:color="auto"/>
          </w:divBdr>
        </w:div>
        <w:div w:id="177548890">
          <w:marLeft w:val="0"/>
          <w:marRight w:val="0"/>
          <w:marTop w:val="0"/>
          <w:marBottom w:val="0"/>
          <w:divBdr>
            <w:top w:val="none" w:sz="0" w:space="0" w:color="auto"/>
            <w:left w:val="none" w:sz="0" w:space="0" w:color="auto"/>
            <w:bottom w:val="none" w:sz="0" w:space="0" w:color="auto"/>
            <w:right w:val="none" w:sz="0" w:space="0" w:color="auto"/>
          </w:divBdr>
        </w:div>
        <w:div w:id="919487605">
          <w:marLeft w:val="0"/>
          <w:marRight w:val="0"/>
          <w:marTop w:val="0"/>
          <w:marBottom w:val="0"/>
          <w:divBdr>
            <w:top w:val="none" w:sz="0" w:space="0" w:color="auto"/>
            <w:left w:val="none" w:sz="0" w:space="0" w:color="auto"/>
            <w:bottom w:val="none" w:sz="0" w:space="0" w:color="auto"/>
            <w:right w:val="none" w:sz="0" w:space="0" w:color="auto"/>
          </w:divBdr>
        </w:div>
        <w:div w:id="1631746109">
          <w:marLeft w:val="0"/>
          <w:marRight w:val="0"/>
          <w:marTop w:val="0"/>
          <w:marBottom w:val="0"/>
          <w:divBdr>
            <w:top w:val="none" w:sz="0" w:space="0" w:color="auto"/>
            <w:left w:val="none" w:sz="0" w:space="0" w:color="auto"/>
            <w:bottom w:val="none" w:sz="0" w:space="0" w:color="auto"/>
            <w:right w:val="none" w:sz="0" w:space="0" w:color="auto"/>
          </w:divBdr>
        </w:div>
        <w:div w:id="1563834645">
          <w:marLeft w:val="0"/>
          <w:marRight w:val="0"/>
          <w:marTop w:val="0"/>
          <w:marBottom w:val="0"/>
          <w:divBdr>
            <w:top w:val="none" w:sz="0" w:space="0" w:color="auto"/>
            <w:left w:val="none" w:sz="0" w:space="0" w:color="auto"/>
            <w:bottom w:val="none" w:sz="0" w:space="0" w:color="auto"/>
            <w:right w:val="none" w:sz="0" w:space="0" w:color="auto"/>
          </w:divBdr>
        </w:div>
        <w:div w:id="2036038153">
          <w:marLeft w:val="0"/>
          <w:marRight w:val="0"/>
          <w:marTop w:val="0"/>
          <w:marBottom w:val="0"/>
          <w:divBdr>
            <w:top w:val="none" w:sz="0" w:space="0" w:color="auto"/>
            <w:left w:val="none" w:sz="0" w:space="0" w:color="auto"/>
            <w:bottom w:val="none" w:sz="0" w:space="0" w:color="auto"/>
            <w:right w:val="none" w:sz="0" w:space="0" w:color="auto"/>
          </w:divBdr>
        </w:div>
        <w:div w:id="1427654321">
          <w:marLeft w:val="0"/>
          <w:marRight w:val="0"/>
          <w:marTop w:val="0"/>
          <w:marBottom w:val="0"/>
          <w:divBdr>
            <w:top w:val="none" w:sz="0" w:space="0" w:color="auto"/>
            <w:left w:val="none" w:sz="0" w:space="0" w:color="auto"/>
            <w:bottom w:val="none" w:sz="0" w:space="0" w:color="auto"/>
            <w:right w:val="none" w:sz="0" w:space="0" w:color="auto"/>
          </w:divBdr>
        </w:div>
        <w:div w:id="516775391">
          <w:marLeft w:val="0"/>
          <w:marRight w:val="0"/>
          <w:marTop w:val="0"/>
          <w:marBottom w:val="0"/>
          <w:divBdr>
            <w:top w:val="none" w:sz="0" w:space="0" w:color="auto"/>
            <w:left w:val="none" w:sz="0" w:space="0" w:color="auto"/>
            <w:bottom w:val="none" w:sz="0" w:space="0" w:color="auto"/>
            <w:right w:val="none" w:sz="0" w:space="0" w:color="auto"/>
          </w:divBdr>
        </w:div>
        <w:div w:id="1674604340">
          <w:marLeft w:val="0"/>
          <w:marRight w:val="0"/>
          <w:marTop w:val="0"/>
          <w:marBottom w:val="0"/>
          <w:divBdr>
            <w:top w:val="none" w:sz="0" w:space="0" w:color="auto"/>
            <w:left w:val="none" w:sz="0" w:space="0" w:color="auto"/>
            <w:bottom w:val="none" w:sz="0" w:space="0" w:color="auto"/>
            <w:right w:val="none" w:sz="0" w:space="0" w:color="auto"/>
          </w:divBdr>
        </w:div>
        <w:div w:id="1289701048">
          <w:marLeft w:val="0"/>
          <w:marRight w:val="0"/>
          <w:marTop w:val="0"/>
          <w:marBottom w:val="0"/>
          <w:divBdr>
            <w:top w:val="none" w:sz="0" w:space="0" w:color="auto"/>
            <w:left w:val="none" w:sz="0" w:space="0" w:color="auto"/>
            <w:bottom w:val="none" w:sz="0" w:space="0" w:color="auto"/>
            <w:right w:val="none" w:sz="0" w:space="0" w:color="auto"/>
          </w:divBdr>
        </w:div>
        <w:div w:id="667829502">
          <w:marLeft w:val="0"/>
          <w:marRight w:val="0"/>
          <w:marTop w:val="0"/>
          <w:marBottom w:val="0"/>
          <w:divBdr>
            <w:top w:val="none" w:sz="0" w:space="0" w:color="auto"/>
            <w:left w:val="none" w:sz="0" w:space="0" w:color="auto"/>
            <w:bottom w:val="none" w:sz="0" w:space="0" w:color="auto"/>
            <w:right w:val="none" w:sz="0" w:space="0" w:color="auto"/>
          </w:divBdr>
        </w:div>
        <w:div w:id="1427848268">
          <w:marLeft w:val="0"/>
          <w:marRight w:val="0"/>
          <w:marTop w:val="0"/>
          <w:marBottom w:val="0"/>
          <w:divBdr>
            <w:top w:val="none" w:sz="0" w:space="0" w:color="auto"/>
            <w:left w:val="none" w:sz="0" w:space="0" w:color="auto"/>
            <w:bottom w:val="none" w:sz="0" w:space="0" w:color="auto"/>
            <w:right w:val="none" w:sz="0" w:space="0" w:color="auto"/>
          </w:divBdr>
        </w:div>
        <w:div w:id="1466465501">
          <w:marLeft w:val="0"/>
          <w:marRight w:val="0"/>
          <w:marTop w:val="0"/>
          <w:marBottom w:val="0"/>
          <w:divBdr>
            <w:top w:val="none" w:sz="0" w:space="0" w:color="auto"/>
            <w:left w:val="none" w:sz="0" w:space="0" w:color="auto"/>
            <w:bottom w:val="none" w:sz="0" w:space="0" w:color="auto"/>
            <w:right w:val="none" w:sz="0" w:space="0" w:color="auto"/>
          </w:divBdr>
        </w:div>
        <w:div w:id="1233471281">
          <w:marLeft w:val="0"/>
          <w:marRight w:val="0"/>
          <w:marTop w:val="0"/>
          <w:marBottom w:val="0"/>
          <w:divBdr>
            <w:top w:val="none" w:sz="0" w:space="0" w:color="auto"/>
            <w:left w:val="none" w:sz="0" w:space="0" w:color="auto"/>
            <w:bottom w:val="none" w:sz="0" w:space="0" w:color="auto"/>
            <w:right w:val="none" w:sz="0" w:space="0" w:color="auto"/>
          </w:divBdr>
        </w:div>
        <w:div w:id="967054213">
          <w:marLeft w:val="0"/>
          <w:marRight w:val="0"/>
          <w:marTop w:val="0"/>
          <w:marBottom w:val="0"/>
          <w:divBdr>
            <w:top w:val="none" w:sz="0" w:space="0" w:color="auto"/>
            <w:left w:val="none" w:sz="0" w:space="0" w:color="auto"/>
            <w:bottom w:val="none" w:sz="0" w:space="0" w:color="auto"/>
            <w:right w:val="none" w:sz="0" w:space="0" w:color="auto"/>
          </w:divBdr>
        </w:div>
        <w:div w:id="1374311363">
          <w:marLeft w:val="0"/>
          <w:marRight w:val="0"/>
          <w:marTop w:val="0"/>
          <w:marBottom w:val="0"/>
          <w:divBdr>
            <w:top w:val="none" w:sz="0" w:space="0" w:color="auto"/>
            <w:left w:val="none" w:sz="0" w:space="0" w:color="auto"/>
            <w:bottom w:val="none" w:sz="0" w:space="0" w:color="auto"/>
            <w:right w:val="none" w:sz="0" w:space="0" w:color="auto"/>
          </w:divBdr>
        </w:div>
        <w:div w:id="1872650979">
          <w:marLeft w:val="0"/>
          <w:marRight w:val="0"/>
          <w:marTop w:val="0"/>
          <w:marBottom w:val="0"/>
          <w:divBdr>
            <w:top w:val="none" w:sz="0" w:space="0" w:color="auto"/>
            <w:left w:val="none" w:sz="0" w:space="0" w:color="auto"/>
            <w:bottom w:val="none" w:sz="0" w:space="0" w:color="auto"/>
            <w:right w:val="none" w:sz="0" w:space="0" w:color="auto"/>
          </w:divBdr>
        </w:div>
        <w:div w:id="1123423825">
          <w:marLeft w:val="0"/>
          <w:marRight w:val="0"/>
          <w:marTop w:val="0"/>
          <w:marBottom w:val="0"/>
          <w:divBdr>
            <w:top w:val="none" w:sz="0" w:space="0" w:color="auto"/>
            <w:left w:val="none" w:sz="0" w:space="0" w:color="auto"/>
            <w:bottom w:val="none" w:sz="0" w:space="0" w:color="auto"/>
            <w:right w:val="none" w:sz="0" w:space="0" w:color="auto"/>
          </w:divBdr>
        </w:div>
        <w:div w:id="880169579">
          <w:marLeft w:val="0"/>
          <w:marRight w:val="0"/>
          <w:marTop w:val="0"/>
          <w:marBottom w:val="0"/>
          <w:divBdr>
            <w:top w:val="none" w:sz="0" w:space="0" w:color="auto"/>
            <w:left w:val="none" w:sz="0" w:space="0" w:color="auto"/>
            <w:bottom w:val="none" w:sz="0" w:space="0" w:color="auto"/>
            <w:right w:val="none" w:sz="0" w:space="0" w:color="auto"/>
          </w:divBdr>
        </w:div>
        <w:div w:id="1659530669">
          <w:marLeft w:val="0"/>
          <w:marRight w:val="0"/>
          <w:marTop w:val="0"/>
          <w:marBottom w:val="0"/>
          <w:divBdr>
            <w:top w:val="none" w:sz="0" w:space="0" w:color="auto"/>
            <w:left w:val="none" w:sz="0" w:space="0" w:color="auto"/>
            <w:bottom w:val="none" w:sz="0" w:space="0" w:color="auto"/>
            <w:right w:val="none" w:sz="0" w:space="0" w:color="auto"/>
          </w:divBdr>
        </w:div>
        <w:div w:id="831993509">
          <w:marLeft w:val="0"/>
          <w:marRight w:val="0"/>
          <w:marTop w:val="0"/>
          <w:marBottom w:val="0"/>
          <w:divBdr>
            <w:top w:val="none" w:sz="0" w:space="0" w:color="auto"/>
            <w:left w:val="none" w:sz="0" w:space="0" w:color="auto"/>
            <w:bottom w:val="none" w:sz="0" w:space="0" w:color="auto"/>
            <w:right w:val="none" w:sz="0" w:space="0" w:color="auto"/>
          </w:divBdr>
        </w:div>
        <w:div w:id="1850289538">
          <w:marLeft w:val="0"/>
          <w:marRight w:val="0"/>
          <w:marTop w:val="0"/>
          <w:marBottom w:val="0"/>
          <w:divBdr>
            <w:top w:val="none" w:sz="0" w:space="0" w:color="auto"/>
            <w:left w:val="none" w:sz="0" w:space="0" w:color="auto"/>
            <w:bottom w:val="none" w:sz="0" w:space="0" w:color="auto"/>
            <w:right w:val="none" w:sz="0" w:space="0" w:color="auto"/>
          </w:divBdr>
        </w:div>
        <w:div w:id="1921864983">
          <w:marLeft w:val="0"/>
          <w:marRight w:val="0"/>
          <w:marTop w:val="0"/>
          <w:marBottom w:val="0"/>
          <w:divBdr>
            <w:top w:val="none" w:sz="0" w:space="0" w:color="auto"/>
            <w:left w:val="none" w:sz="0" w:space="0" w:color="auto"/>
            <w:bottom w:val="none" w:sz="0" w:space="0" w:color="auto"/>
            <w:right w:val="none" w:sz="0" w:space="0" w:color="auto"/>
          </w:divBdr>
        </w:div>
        <w:div w:id="2091928500">
          <w:marLeft w:val="0"/>
          <w:marRight w:val="0"/>
          <w:marTop w:val="0"/>
          <w:marBottom w:val="0"/>
          <w:divBdr>
            <w:top w:val="none" w:sz="0" w:space="0" w:color="auto"/>
            <w:left w:val="none" w:sz="0" w:space="0" w:color="auto"/>
            <w:bottom w:val="none" w:sz="0" w:space="0" w:color="auto"/>
            <w:right w:val="none" w:sz="0" w:space="0" w:color="auto"/>
          </w:divBdr>
        </w:div>
        <w:div w:id="1581669350">
          <w:marLeft w:val="0"/>
          <w:marRight w:val="0"/>
          <w:marTop w:val="0"/>
          <w:marBottom w:val="0"/>
          <w:divBdr>
            <w:top w:val="none" w:sz="0" w:space="0" w:color="auto"/>
            <w:left w:val="none" w:sz="0" w:space="0" w:color="auto"/>
            <w:bottom w:val="none" w:sz="0" w:space="0" w:color="auto"/>
            <w:right w:val="none" w:sz="0" w:space="0" w:color="auto"/>
          </w:divBdr>
        </w:div>
        <w:div w:id="470056444">
          <w:marLeft w:val="0"/>
          <w:marRight w:val="0"/>
          <w:marTop w:val="0"/>
          <w:marBottom w:val="0"/>
          <w:divBdr>
            <w:top w:val="none" w:sz="0" w:space="0" w:color="auto"/>
            <w:left w:val="none" w:sz="0" w:space="0" w:color="auto"/>
            <w:bottom w:val="none" w:sz="0" w:space="0" w:color="auto"/>
            <w:right w:val="none" w:sz="0" w:space="0" w:color="auto"/>
          </w:divBdr>
        </w:div>
        <w:div w:id="1642465258">
          <w:marLeft w:val="0"/>
          <w:marRight w:val="0"/>
          <w:marTop w:val="0"/>
          <w:marBottom w:val="0"/>
          <w:divBdr>
            <w:top w:val="none" w:sz="0" w:space="0" w:color="auto"/>
            <w:left w:val="none" w:sz="0" w:space="0" w:color="auto"/>
            <w:bottom w:val="none" w:sz="0" w:space="0" w:color="auto"/>
            <w:right w:val="none" w:sz="0" w:space="0" w:color="auto"/>
          </w:divBdr>
        </w:div>
        <w:div w:id="411047249">
          <w:marLeft w:val="0"/>
          <w:marRight w:val="0"/>
          <w:marTop w:val="0"/>
          <w:marBottom w:val="0"/>
          <w:divBdr>
            <w:top w:val="none" w:sz="0" w:space="0" w:color="auto"/>
            <w:left w:val="none" w:sz="0" w:space="0" w:color="auto"/>
            <w:bottom w:val="none" w:sz="0" w:space="0" w:color="auto"/>
            <w:right w:val="none" w:sz="0" w:space="0" w:color="auto"/>
          </w:divBdr>
        </w:div>
        <w:div w:id="1318611845">
          <w:marLeft w:val="0"/>
          <w:marRight w:val="0"/>
          <w:marTop w:val="0"/>
          <w:marBottom w:val="0"/>
          <w:divBdr>
            <w:top w:val="none" w:sz="0" w:space="0" w:color="auto"/>
            <w:left w:val="none" w:sz="0" w:space="0" w:color="auto"/>
            <w:bottom w:val="none" w:sz="0" w:space="0" w:color="auto"/>
            <w:right w:val="none" w:sz="0" w:space="0" w:color="auto"/>
          </w:divBdr>
        </w:div>
        <w:div w:id="1869220252">
          <w:marLeft w:val="0"/>
          <w:marRight w:val="0"/>
          <w:marTop w:val="0"/>
          <w:marBottom w:val="0"/>
          <w:divBdr>
            <w:top w:val="none" w:sz="0" w:space="0" w:color="auto"/>
            <w:left w:val="none" w:sz="0" w:space="0" w:color="auto"/>
            <w:bottom w:val="none" w:sz="0" w:space="0" w:color="auto"/>
            <w:right w:val="none" w:sz="0" w:space="0" w:color="auto"/>
          </w:divBdr>
        </w:div>
        <w:div w:id="587467196">
          <w:marLeft w:val="0"/>
          <w:marRight w:val="0"/>
          <w:marTop w:val="0"/>
          <w:marBottom w:val="0"/>
          <w:divBdr>
            <w:top w:val="none" w:sz="0" w:space="0" w:color="auto"/>
            <w:left w:val="none" w:sz="0" w:space="0" w:color="auto"/>
            <w:bottom w:val="none" w:sz="0" w:space="0" w:color="auto"/>
            <w:right w:val="none" w:sz="0" w:space="0" w:color="auto"/>
          </w:divBdr>
        </w:div>
        <w:div w:id="173151313">
          <w:marLeft w:val="0"/>
          <w:marRight w:val="0"/>
          <w:marTop w:val="0"/>
          <w:marBottom w:val="0"/>
          <w:divBdr>
            <w:top w:val="none" w:sz="0" w:space="0" w:color="auto"/>
            <w:left w:val="none" w:sz="0" w:space="0" w:color="auto"/>
            <w:bottom w:val="none" w:sz="0" w:space="0" w:color="auto"/>
            <w:right w:val="none" w:sz="0" w:space="0" w:color="auto"/>
          </w:divBdr>
        </w:div>
        <w:div w:id="72512639">
          <w:marLeft w:val="0"/>
          <w:marRight w:val="0"/>
          <w:marTop w:val="0"/>
          <w:marBottom w:val="0"/>
          <w:divBdr>
            <w:top w:val="none" w:sz="0" w:space="0" w:color="auto"/>
            <w:left w:val="none" w:sz="0" w:space="0" w:color="auto"/>
            <w:bottom w:val="none" w:sz="0" w:space="0" w:color="auto"/>
            <w:right w:val="none" w:sz="0" w:space="0" w:color="auto"/>
          </w:divBdr>
        </w:div>
        <w:div w:id="1643997120">
          <w:marLeft w:val="0"/>
          <w:marRight w:val="0"/>
          <w:marTop w:val="0"/>
          <w:marBottom w:val="0"/>
          <w:divBdr>
            <w:top w:val="none" w:sz="0" w:space="0" w:color="auto"/>
            <w:left w:val="none" w:sz="0" w:space="0" w:color="auto"/>
            <w:bottom w:val="none" w:sz="0" w:space="0" w:color="auto"/>
            <w:right w:val="none" w:sz="0" w:space="0" w:color="auto"/>
          </w:divBdr>
        </w:div>
        <w:div w:id="1663660481">
          <w:marLeft w:val="0"/>
          <w:marRight w:val="0"/>
          <w:marTop w:val="0"/>
          <w:marBottom w:val="0"/>
          <w:divBdr>
            <w:top w:val="none" w:sz="0" w:space="0" w:color="auto"/>
            <w:left w:val="none" w:sz="0" w:space="0" w:color="auto"/>
            <w:bottom w:val="none" w:sz="0" w:space="0" w:color="auto"/>
            <w:right w:val="none" w:sz="0" w:space="0" w:color="auto"/>
          </w:divBdr>
        </w:div>
        <w:div w:id="589242562">
          <w:marLeft w:val="0"/>
          <w:marRight w:val="0"/>
          <w:marTop w:val="0"/>
          <w:marBottom w:val="0"/>
          <w:divBdr>
            <w:top w:val="none" w:sz="0" w:space="0" w:color="auto"/>
            <w:left w:val="none" w:sz="0" w:space="0" w:color="auto"/>
            <w:bottom w:val="none" w:sz="0" w:space="0" w:color="auto"/>
            <w:right w:val="none" w:sz="0" w:space="0" w:color="auto"/>
          </w:divBdr>
        </w:div>
        <w:div w:id="1002783605">
          <w:marLeft w:val="0"/>
          <w:marRight w:val="0"/>
          <w:marTop w:val="0"/>
          <w:marBottom w:val="0"/>
          <w:divBdr>
            <w:top w:val="none" w:sz="0" w:space="0" w:color="auto"/>
            <w:left w:val="none" w:sz="0" w:space="0" w:color="auto"/>
            <w:bottom w:val="none" w:sz="0" w:space="0" w:color="auto"/>
            <w:right w:val="none" w:sz="0" w:space="0" w:color="auto"/>
          </w:divBdr>
        </w:div>
        <w:div w:id="2075542780">
          <w:marLeft w:val="0"/>
          <w:marRight w:val="0"/>
          <w:marTop w:val="0"/>
          <w:marBottom w:val="0"/>
          <w:divBdr>
            <w:top w:val="none" w:sz="0" w:space="0" w:color="auto"/>
            <w:left w:val="none" w:sz="0" w:space="0" w:color="auto"/>
            <w:bottom w:val="none" w:sz="0" w:space="0" w:color="auto"/>
            <w:right w:val="none" w:sz="0" w:space="0" w:color="auto"/>
          </w:divBdr>
        </w:div>
        <w:div w:id="612518868">
          <w:marLeft w:val="0"/>
          <w:marRight w:val="0"/>
          <w:marTop w:val="0"/>
          <w:marBottom w:val="0"/>
          <w:divBdr>
            <w:top w:val="none" w:sz="0" w:space="0" w:color="auto"/>
            <w:left w:val="none" w:sz="0" w:space="0" w:color="auto"/>
            <w:bottom w:val="none" w:sz="0" w:space="0" w:color="auto"/>
            <w:right w:val="none" w:sz="0" w:space="0" w:color="auto"/>
          </w:divBdr>
        </w:div>
        <w:div w:id="627248474">
          <w:marLeft w:val="0"/>
          <w:marRight w:val="0"/>
          <w:marTop w:val="0"/>
          <w:marBottom w:val="0"/>
          <w:divBdr>
            <w:top w:val="none" w:sz="0" w:space="0" w:color="auto"/>
            <w:left w:val="none" w:sz="0" w:space="0" w:color="auto"/>
            <w:bottom w:val="none" w:sz="0" w:space="0" w:color="auto"/>
            <w:right w:val="none" w:sz="0" w:space="0" w:color="auto"/>
          </w:divBdr>
        </w:div>
        <w:div w:id="1034623496">
          <w:marLeft w:val="0"/>
          <w:marRight w:val="0"/>
          <w:marTop w:val="0"/>
          <w:marBottom w:val="0"/>
          <w:divBdr>
            <w:top w:val="none" w:sz="0" w:space="0" w:color="auto"/>
            <w:left w:val="none" w:sz="0" w:space="0" w:color="auto"/>
            <w:bottom w:val="none" w:sz="0" w:space="0" w:color="auto"/>
            <w:right w:val="none" w:sz="0" w:space="0" w:color="auto"/>
          </w:divBdr>
        </w:div>
        <w:div w:id="1202208248">
          <w:marLeft w:val="0"/>
          <w:marRight w:val="0"/>
          <w:marTop w:val="0"/>
          <w:marBottom w:val="0"/>
          <w:divBdr>
            <w:top w:val="none" w:sz="0" w:space="0" w:color="auto"/>
            <w:left w:val="none" w:sz="0" w:space="0" w:color="auto"/>
            <w:bottom w:val="none" w:sz="0" w:space="0" w:color="auto"/>
            <w:right w:val="none" w:sz="0" w:space="0" w:color="auto"/>
          </w:divBdr>
        </w:div>
        <w:div w:id="1684816793">
          <w:marLeft w:val="0"/>
          <w:marRight w:val="0"/>
          <w:marTop w:val="0"/>
          <w:marBottom w:val="0"/>
          <w:divBdr>
            <w:top w:val="none" w:sz="0" w:space="0" w:color="auto"/>
            <w:left w:val="none" w:sz="0" w:space="0" w:color="auto"/>
            <w:bottom w:val="none" w:sz="0" w:space="0" w:color="auto"/>
            <w:right w:val="none" w:sz="0" w:space="0" w:color="auto"/>
          </w:divBdr>
        </w:div>
        <w:div w:id="1402674145">
          <w:marLeft w:val="0"/>
          <w:marRight w:val="0"/>
          <w:marTop w:val="0"/>
          <w:marBottom w:val="0"/>
          <w:divBdr>
            <w:top w:val="none" w:sz="0" w:space="0" w:color="auto"/>
            <w:left w:val="none" w:sz="0" w:space="0" w:color="auto"/>
            <w:bottom w:val="none" w:sz="0" w:space="0" w:color="auto"/>
            <w:right w:val="none" w:sz="0" w:space="0" w:color="auto"/>
          </w:divBdr>
        </w:div>
        <w:div w:id="589002172">
          <w:marLeft w:val="0"/>
          <w:marRight w:val="0"/>
          <w:marTop w:val="0"/>
          <w:marBottom w:val="0"/>
          <w:divBdr>
            <w:top w:val="none" w:sz="0" w:space="0" w:color="auto"/>
            <w:left w:val="none" w:sz="0" w:space="0" w:color="auto"/>
            <w:bottom w:val="none" w:sz="0" w:space="0" w:color="auto"/>
            <w:right w:val="none" w:sz="0" w:space="0" w:color="auto"/>
          </w:divBdr>
        </w:div>
        <w:div w:id="1296329336">
          <w:marLeft w:val="0"/>
          <w:marRight w:val="0"/>
          <w:marTop w:val="0"/>
          <w:marBottom w:val="0"/>
          <w:divBdr>
            <w:top w:val="none" w:sz="0" w:space="0" w:color="auto"/>
            <w:left w:val="none" w:sz="0" w:space="0" w:color="auto"/>
            <w:bottom w:val="none" w:sz="0" w:space="0" w:color="auto"/>
            <w:right w:val="none" w:sz="0" w:space="0" w:color="auto"/>
          </w:divBdr>
        </w:div>
        <w:div w:id="563756490">
          <w:marLeft w:val="0"/>
          <w:marRight w:val="0"/>
          <w:marTop w:val="0"/>
          <w:marBottom w:val="0"/>
          <w:divBdr>
            <w:top w:val="none" w:sz="0" w:space="0" w:color="auto"/>
            <w:left w:val="none" w:sz="0" w:space="0" w:color="auto"/>
            <w:bottom w:val="none" w:sz="0" w:space="0" w:color="auto"/>
            <w:right w:val="none" w:sz="0" w:space="0" w:color="auto"/>
          </w:divBdr>
        </w:div>
        <w:div w:id="214971136">
          <w:marLeft w:val="0"/>
          <w:marRight w:val="0"/>
          <w:marTop w:val="0"/>
          <w:marBottom w:val="0"/>
          <w:divBdr>
            <w:top w:val="none" w:sz="0" w:space="0" w:color="auto"/>
            <w:left w:val="none" w:sz="0" w:space="0" w:color="auto"/>
            <w:bottom w:val="none" w:sz="0" w:space="0" w:color="auto"/>
            <w:right w:val="none" w:sz="0" w:space="0" w:color="auto"/>
          </w:divBdr>
        </w:div>
        <w:div w:id="500242344">
          <w:marLeft w:val="0"/>
          <w:marRight w:val="0"/>
          <w:marTop w:val="0"/>
          <w:marBottom w:val="0"/>
          <w:divBdr>
            <w:top w:val="none" w:sz="0" w:space="0" w:color="auto"/>
            <w:left w:val="none" w:sz="0" w:space="0" w:color="auto"/>
            <w:bottom w:val="none" w:sz="0" w:space="0" w:color="auto"/>
            <w:right w:val="none" w:sz="0" w:space="0" w:color="auto"/>
          </w:divBdr>
        </w:div>
        <w:div w:id="476920227">
          <w:marLeft w:val="0"/>
          <w:marRight w:val="0"/>
          <w:marTop w:val="0"/>
          <w:marBottom w:val="0"/>
          <w:divBdr>
            <w:top w:val="none" w:sz="0" w:space="0" w:color="auto"/>
            <w:left w:val="none" w:sz="0" w:space="0" w:color="auto"/>
            <w:bottom w:val="none" w:sz="0" w:space="0" w:color="auto"/>
            <w:right w:val="none" w:sz="0" w:space="0" w:color="auto"/>
          </w:divBdr>
        </w:div>
        <w:div w:id="966474724">
          <w:marLeft w:val="0"/>
          <w:marRight w:val="0"/>
          <w:marTop w:val="0"/>
          <w:marBottom w:val="0"/>
          <w:divBdr>
            <w:top w:val="none" w:sz="0" w:space="0" w:color="auto"/>
            <w:left w:val="none" w:sz="0" w:space="0" w:color="auto"/>
            <w:bottom w:val="none" w:sz="0" w:space="0" w:color="auto"/>
            <w:right w:val="none" w:sz="0" w:space="0" w:color="auto"/>
          </w:divBdr>
        </w:div>
        <w:div w:id="817651652">
          <w:marLeft w:val="0"/>
          <w:marRight w:val="0"/>
          <w:marTop w:val="0"/>
          <w:marBottom w:val="0"/>
          <w:divBdr>
            <w:top w:val="none" w:sz="0" w:space="0" w:color="auto"/>
            <w:left w:val="none" w:sz="0" w:space="0" w:color="auto"/>
            <w:bottom w:val="none" w:sz="0" w:space="0" w:color="auto"/>
            <w:right w:val="none" w:sz="0" w:space="0" w:color="auto"/>
          </w:divBdr>
        </w:div>
        <w:div w:id="2512342">
          <w:marLeft w:val="0"/>
          <w:marRight w:val="0"/>
          <w:marTop w:val="0"/>
          <w:marBottom w:val="0"/>
          <w:divBdr>
            <w:top w:val="none" w:sz="0" w:space="0" w:color="auto"/>
            <w:left w:val="none" w:sz="0" w:space="0" w:color="auto"/>
            <w:bottom w:val="none" w:sz="0" w:space="0" w:color="auto"/>
            <w:right w:val="none" w:sz="0" w:space="0" w:color="auto"/>
          </w:divBdr>
        </w:div>
        <w:div w:id="229005330">
          <w:marLeft w:val="0"/>
          <w:marRight w:val="0"/>
          <w:marTop w:val="0"/>
          <w:marBottom w:val="0"/>
          <w:divBdr>
            <w:top w:val="none" w:sz="0" w:space="0" w:color="auto"/>
            <w:left w:val="none" w:sz="0" w:space="0" w:color="auto"/>
            <w:bottom w:val="none" w:sz="0" w:space="0" w:color="auto"/>
            <w:right w:val="none" w:sz="0" w:space="0" w:color="auto"/>
          </w:divBdr>
        </w:div>
        <w:div w:id="1440372343">
          <w:marLeft w:val="0"/>
          <w:marRight w:val="0"/>
          <w:marTop w:val="0"/>
          <w:marBottom w:val="0"/>
          <w:divBdr>
            <w:top w:val="none" w:sz="0" w:space="0" w:color="auto"/>
            <w:left w:val="none" w:sz="0" w:space="0" w:color="auto"/>
            <w:bottom w:val="none" w:sz="0" w:space="0" w:color="auto"/>
            <w:right w:val="none" w:sz="0" w:space="0" w:color="auto"/>
          </w:divBdr>
        </w:div>
        <w:div w:id="1046682307">
          <w:marLeft w:val="0"/>
          <w:marRight w:val="0"/>
          <w:marTop w:val="0"/>
          <w:marBottom w:val="0"/>
          <w:divBdr>
            <w:top w:val="none" w:sz="0" w:space="0" w:color="auto"/>
            <w:left w:val="none" w:sz="0" w:space="0" w:color="auto"/>
            <w:bottom w:val="none" w:sz="0" w:space="0" w:color="auto"/>
            <w:right w:val="none" w:sz="0" w:space="0" w:color="auto"/>
          </w:divBdr>
        </w:div>
        <w:div w:id="996153392">
          <w:marLeft w:val="0"/>
          <w:marRight w:val="0"/>
          <w:marTop w:val="0"/>
          <w:marBottom w:val="0"/>
          <w:divBdr>
            <w:top w:val="none" w:sz="0" w:space="0" w:color="auto"/>
            <w:left w:val="none" w:sz="0" w:space="0" w:color="auto"/>
            <w:bottom w:val="none" w:sz="0" w:space="0" w:color="auto"/>
            <w:right w:val="none" w:sz="0" w:space="0" w:color="auto"/>
          </w:divBdr>
        </w:div>
        <w:div w:id="2091350072">
          <w:marLeft w:val="0"/>
          <w:marRight w:val="0"/>
          <w:marTop w:val="0"/>
          <w:marBottom w:val="0"/>
          <w:divBdr>
            <w:top w:val="none" w:sz="0" w:space="0" w:color="auto"/>
            <w:left w:val="none" w:sz="0" w:space="0" w:color="auto"/>
            <w:bottom w:val="none" w:sz="0" w:space="0" w:color="auto"/>
            <w:right w:val="none" w:sz="0" w:space="0" w:color="auto"/>
          </w:divBdr>
        </w:div>
        <w:div w:id="461769959">
          <w:marLeft w:val="0"/>
          <w:marRight w:val="0"/>
          <w:marTop w:val="0"/>
          <w:marBottom w:val="0"/>
          <w:divBdr>
            <w:top w:val="none" w:sz="0" w:space="0" w:color="auto"/>
            <w:left w:val="none" w:sz="0" w:space="0" w:color="auto"/>
            <w:bottom w:val="none" w:sz="0" w:space="0" w:color="auto"/>
            <w:right w:val="none" w:sz="0" w:space="0" w:color="auto"/>
          </w:divBdr>
        </w:div>
        <w:div w:id="254289906">
          <w:marLeft w:val="0"/>
          <w:marRight w:val="0"/>
          <w:marTop w:val="0"/>
          <w:marBottom w:val="0"/>
          <w:divBdr>
            <w:top w:val="none" w:sz="0" w:space="0" w:color="auto"/>
            <w:left w:val="none" w:sz="0" w:space="0" w:color="auto"/>
            <w:bottom w:val="none" w:sz="0" w:space="0" w:color="auto"/>
            <w:right w:val="none" w:sz="0" w:space="0" w:color="auto"/>
          </w:divBdr>
        </w:div>
        <w:div w:id="191499735">
          <w:marLeft w:val="0"/>
          <w:marRight w:val="0"/>
          <w:marTop w:val="0"/>
          <w:marBottom w:val="0"/>
          <w:divBdr>
            <w:top w:val="none" w:sz="0" w:space="0" w:color="auto"/>
            <w:left w:val="none" w:sz="0" w:space="0" w:color="auto"/>
            <w:bottom w:val="none" w:sz="0" w:space="0" w:color="auto"/>
            <w:right w:val="none" w:sz="0" w:space="0" w:color="auto"/>
          </w:divBdr>
        </w:div>
        <w:div w:id="2104302519">
          <w:marLeft w:val="0"/>
          <w:marRight w:val="0"/>
          <w:marTop w:val="0"/>
          <w:marBottom w:val="0"/>
          <w:divBdr>
            <w:top w:val="none" w:sz="0" w:space="0" w:color="auto"/>
            <w:left w:val="none" w:sz="0" w:space="0" w:color="auto"/>
            <w:bottom w:val="none" w:sz="0" w:space="0" w:color="auto"/>
            <w:right w:val="none" w:sz="0" w:space="0" w:color="auto"/>
          </w:divBdr>
        </w:div>
        <w:div w:id="965087541">
          <w:marLeft w:val="0"/>
          <w:marRight w:val="0"/>
          <w:marTop w:val="0"/>
          <w:marBottom w:val="0"/>
          <w:divBdr>
            <w:top w:val="none" w:sz="0" w:space="0" w:color="auto"/>
            <w:left w:val="none" w:sz="0" w:space="0" w:color="auto"/>
            <w:bottom w:val="none" w:sz="0" w:space="0" w:color="auto"/>
            <w:right w:val="none" w:sz="0" w:space="0" w:color="auto"/>
          </w:divBdr>
        </w:div>
        <w:div w:id="545067066">
          <w:marLeft w:val="0"/>
          <w:marRight w:val="0"/>
          <w:marTop w:val="0"/>
          <w:marBottom w:val="0"/>
          <w:divBdr>
            <w:top w:val="none" w:sz="0" w:space="0" w:color="auto"/>
            <w:left w:val="none" w:sz="0" w:space="0" w:color="auto"/>
            <w:bottom w:val="none" w:sz="0" w:space="0" w:color="auto"/>
            <w:right w:val="none" w:sz="0" w:space="0" w:color="auto"/>
          </w:divBdr>
        </w:div>
        <w:div w:id="440806715">
          <w:marLeft w:val="0"/>
          <w:marRight w:val="0"/>
          <w:marTop w:val="0"/>
          <w:marBottom w:val="0"/>
          <w:divBdr>
            <w:top w:val="none" w:sz="0" w:space="0" w:color="auto"/>
            <w:left w:val="none" w:sz="0" w:space="0" w:color="auto"/>
            <w:bottom w:val="none" w:sz="0" w:space="0" w:color="auto"/>
            <w:right w:val="none" w:sz="0" w:space="0" w:color="auto"/>
          </w:divBdr>
        </w:div>
        <w:div w:id="909385822">
          <w:marLeft w:val="0"/>
          <w:marRight w:val="0"/>
          <w:marTop w:val="0"/>
          <w:marBottom w:val="0"/>
          <w:divBdr>
            <w:top w:val="none" w:sz="0" w:space="0" w:color="auto"/>
            <w:left w:val="none" w:sz="0" w:space="0" w:color="auto"/>
            <w:bottom w:val="none" w:sz="0" w:space="0" w:color="auto"/>
            <w:right w:val="none" w:sz="0" w:space="0" w:color="auto"/>
          </w:divBdr>
        </w:div>
        <w:div w:id="915942173">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1116408122">
          <w:marLeft w:val="0"/>
          <w:marRight w:val="0"/>
          <w:marTop w:val="0"/>
          <w:marBottom w:val="0"/>
          <w:divBdr>
            <w:top w:val="none" w:sz="0" w:space="0" w:color="auto"/>
            <w:left w:val="none" w:sz="0" w:space="0" w:color="auto"/>
            <w:bottom w:val="none" w:sz="0" w:space="0" w:color="auto"/>
            <w:right w:val="none" w:sz="0" w:space="0" w:color="auto"/>
          </w:divBdr>
        </w:div>
        <w:div w:id="2062747840">
          <w:marLeft w:val="0"/>
          <w:marRight w:val="0"/>
          <w:marTop w:val="0"/>
          <w:marBottom w:val="0"/>
          <w:divBdr>
            <w:top w:val="none" w:sz="0" w:space="0" w:color="auto"/>
            <w:left w:val="none" w:sz="0" w:space="0" w:color="auto"/>
            <w:bottom w:val="none" w:sz="0" w:space="0" w:color="auto"/>
            <w:right w:val="none" w:sz="0" w:space="0" w:color="auto"/>
          </w:divBdr>
        </w:div>
        <w:div w:id="747578691">
          <w:marLeft w:val="0"/>
          <w:marRight w:val="0"/>
          <w:marTop w:val="0"/>
          <w:marBottom w:val="0"/>
          <w:divBdr>
            <w:top w:val="none" w:sz="0" w:space="0" w:color="auto"/>
            <w:left w:val="none" w:sz="0" w:space="0" w:color="auto"/>
            <w:bottom w:val="none" w:sz="0" w:space="0" w:color="auto"/>
            <w:right w:val="none" w:sz="0" w:space="0" w:color="auto"/>
          </w:divBdr>
        </w:div>
        <w:div w:id="283998283">
          <w:marLeft w:val="0"/>
          <w:marRight w:val="0"/>
          <w:marTop w:val="0"/>
          <w:marBottom w:val="0"/>
          <w:divBdr>
            <w:top w:val="none" w:sz="0" w:space="0" w:color="auto"/>
            <w:left w:val="none" w:sz="0" w:space="0" w:color="auto"/>
            <w:bottom w:val="none" w:sz="0" w:space="0" w:color="auto"/>
            <w:right w:val="none" w:sz="0" w:space="0" w:color="auto"/>
          </w:divBdr>
        </w:div>
        <w:div w:id="2121337708">
          <w:marLeft w:val="0"/>
          <w:marRight w:val="0"/>
          <w:marTop w:val="0"/>
          <w:marBottom w:val="0"/>
          <w:divBdr>
            <w:top w:val="none" w:sz="0" w:space="0" w:color="auto"/>
            <w:left w:val="none" w:sz="0" w:space="0" w:color="auto"/>
            <w:bottom w:val="none" w:sz="0" w:space="0" w:color="auto"/>
            <w:right w:val="none" w:sz="0" w:space="0" w:color="auto"/>
          </w:divBdr>
        </w:div>
        <w:div w:id="821040429">
          <w:marLeft w:val="0"/>
          <w:marRight w:val="0"/>
          <w:marTop w:val="0"/>
          <w:marBottom w:val="0"/>
          <w:divBdr>
            <w:top w:val="none" w:sz="0" w:space="0" w:color="auto"/>
            <w:left w:val="none" w:sz="0" w:space="0" w:color="auto"/>
            <w:bottom w:val="none" w:sz="0" w:space="0" w:color="auto"/>
            <w:right w:val="none" w:sz="0" w:space="0" w:color="auto"/>
          </w:divBdr>
        </w:div>
        <w:div w:id="2143306242">
          <w:marLeft w:val="0"/>
          <w:marRight w:val="0"/>
          <w:marTop w:val="0"/>
          <w:marBottom w:val="0"/>
          <w:divBdr>
            <w:top w:val="none" w:sz="0" w:space="0" w:color="auto"/>
            <w:left w:val="none" w:sz="0" w:space="0" w:color="auto"/>
            <w:bottom w:val="none" w:sz="0" w:space="0" w:color="auto"/>
            <w:right w:val="none" w:sz="0" w:space="0" w:color="auto"/>
          </w:divBdr>
        </w:div>
        <w:div w:id="1769425822">
          <w:marLeft w:val="0"/>
          <w:marRight w:val="0"/>
          <w:marTop w:val="0"/>
          <w:marBottom w:val="0"/>
          <w:divBdr>
            <w:top w:val="none" w:sz="0" w:space="0" w:color="auto"/>
            <w:left w:val="none" w:sz="0" w:space="0" w:color="auto"/>
            <w:bottom w:val="none" w:sz="0" w:space="0" w:color="auto"/>
            <w:right w:val="none" w:sz="0" w:space="0" w:color="auto"/>
          </w:divBdr>
        </w:div>
        <w:div w:id="227611455">
          <w:marLeft w:val="0"/>
          <w:marRight w:val="0"/>
          <w:marTop w:val="0"/>
          <w:marBottom w:val="0"/>
          <w:divBdr>
            <w:top w:val="none" w:sz="0" w:space="0" w:color="auto"/>
            <w:left w:val="none" w:sz="0" w:space="0" w:color="auto"/>
            <w:bottom w:val="none" w:sz="0" w:space="0" w:color="auto"/>
            <w:right w:val="none" w:sz="0" w:space="0" w:color="auto"/>
          </w:divBdr>
        </w:div>
        <w:div w:id="1928809547">
          <w:marLeft w:val="0"/>
          <w:marRight w:val="0"/>
          <w:marTop w:val="0"/>
          <w:marBottom w:val="0"/>
          <w:divBdr>
            <w:top w:val="none" w:sz="0" w:space="0" w:color="auto"/>
            <w:left w:val="none" w:sz="0" w:space="0" w:color="auto"/>
            <w:bottom w:val="none" w:sz="0" w:space="0" w:color="auto"/>
            <w:right w:val="none" w:sz="0" w:space="0" w:color="auto"/>
          </w:divBdr>
        </w:div>
        <w:div w:id="1786002121">
          <w:marLeft w:val="0"/>
          <w:marRight w:val="0"/>
          <w:marTop w:val="0"/>
          <w:marBottom w:val="0"/>
          <w:divBdr>
            <w:top w:val="none" w:sz="0" w:space="0" w:color="auto"/>
            <w:left w:val="none" w:sz="0" w:space="0" w:color="auto"/>
            <w:bottom w:val="none" w:sz="0" w:space="0" w:color="auto"/>
            <w:right w:val="none" w:sz="0" w:space="0" w:color="auto"/>
          </w:divBdr>
        </w:div>
        <w:div w:id="1559248700">
          <w:marLeft w:val="0"/>
          <w:marRight w:val="0"/>
          <w:marTop w:val="0"/>
          <w:marBottom w:val="0"/>
          <w:divBdr>
            <w:top w:val="none" w:sz="0" w:space="0" w:color="auto"/>
            <w:left w:val="none" w:sz="0" w:space="0" w:color="auto"/>
            <w:bottom w:val="none" w:sz="0" w:space="0" w:color="auto"/>
            <w:right w:val="none" w:sz="0" w:space="0" w:color="auto"/>
          </w:divBdr>
        </w:div>
        <w:div w:id="1814515745">
          <w:marLeft w:val="0"/>
          <w:marRight w:val="0"/>
          <w:marTop w:val="0"/>
          <w:marBottom w:val="0"/>
          <w:divBdr>
            <w:top w:val="none" w:sz="0" w:space="0" w:color="auto"/>
            <w:left w:val="none" w:sz="0" w:space="0" w:color="auto"/>
            <w:bottom w:val="none" w:sz="0" w:space="0" w:color="auto"/>
            <w:right w:val="none" w:sz="0" w:space="0" w:color="auto"/>
          </w:divBdr>
        </w:div>
        <w:div w:id="282155722">
          <w:marLeft w:val="0"/>
          <w:marRight w:val="0"/>
          <w:marTop w:val="0"/>
          <w:marBottom w:val="0"/>
          <w:divBdr>
            <w:top w:val="none" w:sz="0" w:space="0" w:color="auto"/>
            <w:left w:val="none" w:sz="0" w:space="0" w:color="auto"/>
            <w:bottom w:val="none" w:sz="0" w:space="0" w:color="auto"/>
            <w:right w:val="none" w:sz="0" w:space="0" w:color="auto"/>
          </w:divBdr>
        </w:div>
        <w:div w:id="412818749">
          <w:marLeft w:val="0"/>
          <w:marRight w:val="0"/>
          <w:marTop w:val="0"/>
          <w:marBottom w:val="0"/>
          <w:divBdr>
            <w:top w:val="none" w:sz="0" w:space="0" w:color="auto"/>
            <w:left w:val="none" w:sz="0" w:space="0" w:color="auto"/>
            <w:bottom w:val="none" w:sz="0" w:space="0" w:color="auto"/>
            <w:right w:val="none" w:sz="0" w:space="0" w:color="auto"/>
          </w:divBdr>
        </w:div>
        <w:div w:id="1099376525">
          <w:marLeft w:val="0"/>
          <w:marRight w:val="0"/>
          <w:marTop w:val="0"/>
          <w:marBottom w:val="0"/>
          <w:divBdr>
            <w:top w:val="none" w:sz="0" w:space="0" w:color="auto"/>
            <w:left w:val="none" w:sz="0" w:space="0" w:color="auto"/>
            <w:bottom w:val="none" w:sz="0" w:space="0" w:color="auto"/>
            <w:right w:val="none" w:sz="0" w:space="0" w:color="auto"/>
          </w:divBdr>
        </w:div>
        <w:div w:id="1848905019">
          <w:marLeft w:val="0"/>
          <w:marRight w:val="0"/>
          <w:marTop w:val="0"/>
          <w:marBottom w:val="0"/>
          <w:divBdr>
            <w:top w:val="none" w:sz="0" w:space="0" w:color="auto"/>
            <w:left w:val="none" w:sz="0" w:space="0" w:color="auto"/>
            <w:bottom w:val="none" w:sz="0" w:space="0" w:color="auto"/>
            <w:right w:val="none" w:sz="0" w:space="0" w:color="auto"/>
          </w:divBdr>
        </w:div>
        <w:div w:id="716397757">
          <w:marLeft w:val="0"/>
          <w:marRight w:val="0"/>
          <w:marTop w:val="0"/>
          <w:marBottom w:val="0"/>
          <w:divBdr>
            <w:top w:val="none" w:sz="0" w:space="0" w:color="auto"/>
            <w:left w:val="none" w:sz="0" w:space="0" w:color="auto"/>
            <w:bottom w:val="none" w:sz="0" w:space="0" w:color="auto"/>
            <w:right w:val="none" w:sz="0" w:space="0" w:color="auto"/>
          </w:divBdr>
        </w:div>
        <w:div w:id="1362559510">
          <w:marLeft w:val="0"/>
          <w:marRight w:val="0"/>
          <w:marTop w:val="0"/>
          <w:marBottom w:val="0"/>
          <w:divBdr>
            <w:top w:val="none" w:sz="0" w:space="0" w:color="auto"/>
            <w:left w:val="none" w:sz="0" w:space="0" w:color="auto"/>
            <w:bottom w:val="none" w:sz="0" w:space="0" w:color="auto"/>
            <w:right w:val="none" w:sz="0" w:space="0" w:color="auto"/>
          </w:divBdr>
        </w:div>
        <w:div w:id="522672032">
          <w:marLeft w:val="0"/>
          <w:marRight w:val="0"/>
          <w:marTop w:val="0"/>
          <w:marBottom w:val="0"/>
          <w:divBdr>
            <w:top w:val="none" w:sz="0" w:space="0" w:color="auto"/>
            <w:left w:val="none" w:sz="0" w:space="0" w:color="auto"/>
            <w:bottom w:val="none" w:sz="0" w:space="0" w:color="auto"/>
            <w:right w:val="none" w:sz="0" w:space="0" w:color="auto"/>
          </w:divBdr>
        </w:div>
        <w:div w:id="963732352">
          <w:marLeft w:val="0"/>
          <w:marRight w:val="0"/>
          <w:marTop w:val="0"/>
          <w:marBottom w:val="0"/>
          <w:divBdr>
            <w:top w:val="none" w:sz="0" w:space="0" w:color="auto"/>
            <w:left w:val="none" w:sz="0" w:space="0" w:color="auto"/>
            <w:bottom w:val="none" w:sz="0" w:space="0" w:color="auto"/>
            <w:right w:val="none" w:sz="0" w:space="0" w:color="auto"/>
          </w:divBdr>
        </w:div>
        <w:div w:id="1108310459">
          <w:marLeft w:val="0"/>
          <w:marRight w:val="0"/>
          <w:marTop w:val="0"/>
          <w:marBottom w:val="0"/>
          <w:divBdr>
            <w:top w:val="none" w:sz="0" w:space="0" w:color="auto"/>
            <w:left w:val="none" w:sz="0" w:space="0" w:color="auto"/>
            <w:bottom w:val="none" w:sz="0" w:space="0" w:color="auto"/>
            <w:right w:val="none" w:sz="0" w:space="0" w:color="auto"/>
          </w:divBdr>
        </w:div>
        <w:div w:id="741147041">
          <w:marLeft w:val="0"/>
          <w:marRight w:val="0"/>
          <w:marTop w:val="0"/>
          <w:marBottom w:val="0"/>
          <w:divBdr>
            <w:top w:val="none" w:sz="0" w:space="0" w:color="auto"/>
            <w:left w:val="none" w:sz="0" w:space="0" w:color="auto"/>
            <w:bottom w:val="none" w:sz="0" w:space="0" w:color="auto"/>
            <w:right w:val="none" w:sz="0" w:space="0" w:color="auto"/>
          </w:divBdr>
        </w:div>
        <w:div w:id="327028670">
          <w:marLeft w:val="0"/>
          <w:marRight w:val="0"/>
          <w:marTop w:val="0"/>
          <w:marBottom w:val="0"/>
          <w:divBdr>
            <w:top w:val="none" w:sz="0" w:space="0" w:color="auto"/>
            <w:left w:val="none" w:sz="0" w:space="0" w:color="auto"/>
            <w:bottom w:val="none" w:sz="0" w:space="0" w:color="auto"/>
            <w:right w:val="none" w:sz="0" w:space="0" w:color="auto"/>
          </w:divBdr>
        </w:div>
        <w:div w:id="117340124">
          <w:marLeft w:val="0"/>
          <w:marRight w:val="0"/>
          <w:marTop w:val="0"/>
          <w:marBottom w:val="0"/>
          <w:divBdr>
            <w:top w:val="none" w:sz="0" w:space="0" w:color="auto"/>
            <w:left w:val="none" w:sz="0" w:space="0" w:color="auto"/>
            <w:bottom w:val="none" w:sz="0" w:space="0" w:color="auto"/>
            <w:right w:val="none" w:sz="0" w:space="0" w:color="auto"/>
          </w:divBdr>
        </w:div>
        <w:div w:id="1901745116">
          <w:marLeft w:val="0"/>
          <w:marRight w:val="0"/>
          <w:marTop w:val="0"/>
          <w:marBottom w:val="0"/>
          <w:divBdr>
            <w:top w:val="none" w:sz="0" w:space="0" w:color="auto"/>
            <w:left w:val="none" w:sz="0" w:space="0" w:color="auto"/>
            <w:bottom w:val="none" w:sz="0" w:space="0" w:color="auto"/>
            <w:right w:val="none" w:sz="0" w:space="0" w:color="auto"/>
          </w:divBdr>
        </w:div>
        <w:div w:id="870455649">
          <w:marLeft w:val="0"/>
          <w:marRight w:val="0"/>
          <w:marTop w:val="0"/>
          <w:marBottom w:val="0"/>
          <w:divBdr>
            <w:top w:val="none" w:sz="0" w:space="0" w:color="auto"/>
            <w:left w:val="none" w:sz="0" w:space="0" w:color="auto"/>
            <w:bottom w:val="none" w:sz="0" w:space="0" w:color="auto"/>
            <w:right w:val="none" w:sz="0" w:space="0" w:color="auto"/>
          </w:divBdr>
        </w:div>
        <w:div w:id="835414710">
          <w:marLeft w:val="0"/>
          <w:marRight w:val="0"/>
          <w:marTop w:val="0"/>
          <w:marBottom w:val="0"/>
          <w:divBdr>
            <w:top w:val="none" w:sz="0" w:space="0" w:color="auto"/>
            <w:left w:val="none" w:sz="0" w:space="0" w:color="auto"/>
            <w:bottom w:val="none" w:sz="0" w:space="0" w:color="auto"/>
            <w:right w:val="none" w:sz="0" w:space="0" w:color="auto"/>
          </w:divBdr>
        </w:div>
        <w:div w:id="1674576261">
          <w:marLeft w:val="0"/>
          <w:marRight w:val="0"/>
          <w:marTop w:val="0"/>
          <w:marBottom w:val="0"/>
          <w:divBdr>
            <w:top w:val="none" w:sz="0" w:space="0" w:color="auto"/>
            <w:left w:val="none" w:sz="0" w:space="0" w:color="auto"/>
            <w:bottom w:val="none" w:sz="0" w:space="0" w:color="auto"/>
            <w:right w:val="none" w:sz="0" w:space="0" w:color="auto"/>
          </w:divBdr>
        </w:div>
        <w:div w:id="1568414966">
          <w:marLeft w:val="0"/>
          <w:marRight w:val="0"/>
          <w:marTop w:val="0"/>
          <w:marBottom w:val="0"/>
          <w:divBdr>
            <w:top w:val="none" w:sz="0" w:space="0" w:color="auto"/>
            <w:left w:val="none" w:sz="0" w:space="0" w:color="auto"/>
            <w:bottom w:val="none" w:sz="0" w:space="0" w:color="auto"/>
            <w:right w:val="none" w:sz="0" w:space="0" w:color="auto"/>
          </w:divBdr>
        </w:div>
        <w:div w:id="393965156">
          <w:marLeft w:val="0"/>
          <w:marRight w:val="0"/>
          <w:marTop w:val="0"/>
          <w:marBottom w:val="0"/>
          <w:divBdr>
            <w:top w:val="none" w:sz="0" w:space="0" w:color="auto"/>
            <w:left w:val="none" w:sz="0" w:space="0" w:color="auto"/>
            <w:bottom w:val="none" w:sz="0" w:space="0" w:color="auto"/>
            <w:right w:val="none" w:sz="0" w:space="0" w:color="auto"/>
          </w:divBdr>
        </w:div>
        <w:div w:id="256596313">
          <w:marLeft w:val="0"/>
          <w:marRight w:val="0"/>
          <w:marTop w:val="0"/>
          <w:marBottom w:val="0"/>
          <w:divBdr>
            <w:top w:val="none" w:sz="0" w:space="0" w:color="auto"/>
            <w:left w:val="none" w:sz="0" w:space="0" w:color="auto"/>
            <w:bottom w:val="none" w:sz="0" w:space="0" w:color="auto"/>
            <w:right w:val="none" w:sz="0" w:space="0" w:color="auto"/>
          </w:divBdr>
        </w:div>
        <w:div w:id="1417627327">
          <w:marLeft w:val="0"/>
          <w:marRight w:val="0"/>
          <w:marTop w:val="0"/>
          <w:marBottom w:val="0"/>
          <w:divBdr>
            <w:top w:val="none" w:sz="0" w:space="0" w:color="auto"/>
            <w:left w:val="none" w:sz="0" w:space="0" w:color="auto"/>
            <w:bottom w:val="none" w:sz="0" w:space="0" w:color="auto"/>
            <w:right w:val="none" w:sz="0" w:space="0" w:color="auto"/>
          </w:divBdr>
        </w:div>
        <w:div w:id="708577661">
          <w:marLeft w:val="0"/>
          <w:marRight w:val="0"/>
          <w:marTop w:val="0"/>
          <w:marBottom w:val="0"/>
          <w:divBdr>
            <w:top w:val="none" w:sz="0" w:space="0" w:color="auto"/>
            <w:left w:val="none" w:sz="0" w:space="0" w:color="auto"/>
            <w:bottom w:val="none" w:sz="0" w:space="0" w:color="auto"/>
            <w:right w:val="none" w:sz="0" w:space="0" w:color="auto"/>
          </w:divBdr>
        </w:div>
        <w:div w:id="2081515671">
          <w:marLeft w:val="0"/>
          <w:marRight w:val="0"/>
          <w:marTop w:val="0"/>
          <w:marBottom w:val="0"/>
          <w:divBdr>
            <w:top w:val="none" w:sz="0" w:space="0" w:color="auto"/>
            <w:left w:val="none" w:sz="0" w:space="0" w:color="auto"/>
            <w:bottom w:val="none" w:sz="0" w:space="0" w:color="auto"/>
            <w:right w:val="none" w:sz="0" w:space="0" w:color="auto"/>
          </w:divBdr>
        </w:div>
        <w:div w:id="330256876">
          <w:marLeft w:val="0"/>
          <w:marRight w:val="0"/>
          <w:marTop w:val="0"/>
          <w:marBottom w:val="0"/>
          <w:divBdr>
            <w:top w:val="none" w:sz="0" w:space="0" w:color="auto"/>
            <w:left w:val="none" w:sz="0" w:space="0" w:color="auto"/>
            <w:bottom w:val="none" w:sz="0" w:space="0" w:color="auto"/>
            <w:right w:val="none" w:sz="0" w:space="0" w:color="auto"/>
          </w:divBdr>
        </w:div>
        <w:div w:id="1910075039">
          <w:marLeft w:val="0"/>
          <w:marRight w:val="0"/>
          <w:marTop w:val="0"/>
          <w:marBottom w:val="0"/>
          <w:divBdr>
            <w:top w:val="none" w:sz="0" w:space="0" w:color="auto"/>
            <w:left w:val="none" w:sz="0" w:space="0" w:color="auto"/>
            <w:bottom w:val="none" w:sz="0" w:space="0" w:color="auto"/>
            <w:right w:val="none" w:sz="0" w:space="0" w:color="auto"/>
          </w:divBdr>
        </w:div>
        <w:div w:id="2033454241">
          <w:marLeft w:val="0"/>
          <w:marRight w:val="0"/>
          <w:marTop w:val="0"/>
          <w:marBottom w:val="0"/>
          <w:divBdr>
            <w:top w:val="none" w:sz="0" w:space="0" w:color="auto"/>
            <w:left w:val="none" w:sz="0" w:space="0" w:color="auto"/>
            <w:bottom w:val="none" w:sz="0" w:space="0" w:color="auto"/>
            <w:right w:val="none" w:sz="0" w:space="0" w:color="auto"/>
          </w:divBdr>
        </w:div>
        <w:div w:id="2016031396">
          <w:marLeft w:val="0"/>
          <w:marRight w:val="0"/>
          <w:marTop w:val="0"/>
          <w:marBottom w:val="0"/>
          <w:divBdr>
            <w:top w:val="none" w:sz="0" w:space="0" w:color="auto"/>
            <w:left w:val="none" w:sz="0" w:space="0" w:color="auto"/>
            <w:bottom w:val="none" w:sz="0" w:space="0" w:color="auto"/>
            <w:right w:val="none" w:sz="0" w:space="0" w:color="auto"/>
          </w:divBdr>
        </w:div>
        <w:div w:id="1456489549">
          <w:marLeft w:val="0"/>
          <w:marRight w:val="0"/>
          <w:marTop w:val="0"/>
          <w:marBottom w:val="0"/>
          <w:divBdr>
            <w:top w:val="none" w:sz="0" w:space="0" w:color="auto"/>
            <w:left w:val="none" w:sz="0" w:space="0" w:color="auto"/>
            <w:bottom w:val="none" w:sz="0" w:space="0" w:color="auto"/>
            <w:right w:val="none" w:sz="0" w:space="0" w:color="auto"/>
          </w:divBdr>
        </w:div>
        <w:div w:id="1226716426">
          <w:marLeft w:val="0"/>
          <w:marRight w:val="0"/>
          <w:marTop w:val="0"/>
          <w:marBottom w:val="0"/>
          <w:divBdr>
            <w:top w:val="none" w:sz="0" w:space="0" w:color="auto"/>
            <w:left w:val="none" w:sz="0" w:space="0" w:color="auto"/>
            <w:bottom w:val="none" w:sz="0" w:space="0" w:color="auto"/>
            <w:right w:val="none" w:sz="0" w:space="0" w:color="auto"/>
          </w:divBdr>
        </w:div>
        <w:div w:id="1455752004">
          <w:marLeft w:val="0"/>
          <w:marRight w:val="0"/>
          <w:marTop w:val="0"/>
          <w:marBottom w:val="0"/>
          <w:divBdr>
            <w:top w:val="none" w:sz="0" w:space="0" w:color="auto"/>
            <w:left w:val="none" w:sz="0" w:space="0" w:color="auto"/>
            <w:bottom w:val="none" w:sz="0" w:space="0" w:color="auto"/>
            <w:right w:val="none" w:sz="0" w:space="0" w:color="auto"/>
          </w:divBdr>
        </w:div>
        <w:div w:id="1667131479">
          <w:marLeft w:val="0"/>
          <w:marRight w:val="0"/>
          <w:marTop w:val="0"/>
          <w:marBottom w:val="0"/>
          <w:divBdr>
            <w:top w:val="none" w:sz="0" w:space="0" w:color="auto"/>
            <w:left w:val="none" w:sz="0" w:space="0" w:color="auto"/>
            <w:bottom w:val="none" w:sz="0" w:space="0" w:color="auto"/>
            <w:right w:val="none" w:sz="0" w:space="0" w:color="auto"/>
          </w:divBdr>
        </w:div>
        <w:div w:id="1981110922">
          <w:marLeft w:val="0"/>
          <w:marRight w:val="0"/>
          <w:marTop w:val="0"/>
          <w:marBottom w:val="0"/>
          <w:divBdr>
            <w:top w:val="none" w:sz="0" w:space="0" w:color="auto"/>
            <w:left w:val="none" w:sz="0" w:space="0" w:color="auto"/>
            <w:bottom w:val="none" w:sz="0" w:space="0" w:color="auto"/>
            <w:right w:val="none" w:sz="0" w:space="0" w:color="auto"/>
          </w:divBdr>
        </w:div>
        <w:div w:id="2046057178">
          <w:marLeft w:val="0"/>
          <w:marRight w:val="0"/>
          <w:marTop w:val="0"/>
          <w:marBottom w:val="0"/>
          <w:divBdr>
            <w:top w:val="none" w:sz="0" w:space="0" w:color="auto"/>
            <w:left w:val="none" w:sz="0" w:space="0" w:color="auto"/>
            <w:bottom w:val="none" w:sz="0" w:space="0" w:color="auto"/>
            <w:right w:val="none" w:sz="0" w:space="0" w:color="auto"/>
          </w:divBdr>
        </w:div>
        <w:div w:id="2136243660">
          <w:marLeft w:val="0"/>
          <w:marRight w:val="0"/>
          <w:marTop w:val="0"/>
          <w:marBottom w:val="0"/>
          <w:divBdr>
            <w:top w:val="none" w:sz="0" w:space="0" w:color="auto"/>
            <w:left w:val="none" w:sz="0" w:space="0" w:color="auto"/>
            <w:bottom w:val="none" w:sz="0" w:space="0" w:color="auto"/>
            <w:right w:val="none" w:sz="0" w:space="0" w:color="auto"/>
          </w:divBdr>
        </w:div>
        <w:div w:id="872620707">
          <w:marLeft w:val="0"/>
          <w:marRight w:val="0"/>
          <w:marTop w:val="0"/>
          <w:marBottom w:val="0"/>
          <w:divBdr>
            <w:top w:val="none" w:sz="0" w:space="0" w:color="auto"/>
            <w:left w:val="none" w:sz="0" w:space="0" w:color="auto"/>
            <w:bottom w:val="none" w:sz="0" w:space="0" w:color="auto"/>
            <w:right w:val="none" w:sz="0" w:space="0" w:color="auto"/>
          </w:divBdr>
        </w:div>
        <w:div w:id="1246453530">
          <w:marLeft w:val="0"/>
          <w:marRight w:val="0"/>
          <w:marTop w:val="0"/>
          <w:marBottom w:val="0"/>
          <w:divBdr>
            <w:top w:val="none" w:sz="0" w:space="0" w:color="auto"/>
            <w:left w:val="none" w:sz="0" w:space="0" w:color="auto"/>
            <w:bottom w:val="none" w:sz="0" w:space="0" w:color="auto"/>
            <w:right w:val="none" w:sz="0" w:space="0" w:color="auto"/>
          </w:divBdr>
        </w:div>
        <w:div w:id="390230733">
          <w:marLeft w:val="0"/>
          <w:marRight w:val="0"/>
          <w:marTop w:val="0"/>
          <w:marBottom w:val="0"/>
          <w:divBdr>
            <w:top w:val="none" w:sz="0" w:space="0" w:color="auto"/>
            <w:left w:val="none" w:sz="0" w:space="0" w:color="auto"/>
            <w:bottom w:val="none" w:sz="0" w:space="0" w:color="auto"/>
            <w:right w:val="none" w:sz="0" w:space="0" w:color="auto"/>
          </w:divBdr>
        </w:div>
        <w:div w:id="1394429821">
          <w:marLeft w:val="0"/>
          <w:marRight w:val="0"/>
          <w:marTop w:val="0"/>
          <w:marBottom w:val="0"/>
          <w:divBdr>
            <w:top w:val="none" w:sz="0" w:space="0" w:color="auto"/>
            <w:left w:val="none" w:sz="0" w:space="0" w:color="auto"/>
            <w:bottom w:val="none" w:sz="0" w:space="0" w:color="auto"/>
            <w:right w:val="none" w:sz="0" w:space="0" w:color="auto"/>
          </w:divBdr>
        </w:div>
        <w:div w:id="339936538">
          <w:marLeft w:val="0"/>
          <w:marRight w:val="0"/>
          <w:marTop w:val="0"/>
          <w:marBottom w:val="0"/>
          <w:divBdr>
            <w:top w:val="none" w:sz="0" w:space="0" w:color="auto"/>
            <w:left w:val="none" w:sz="0" w:space="0" w:color="auto"/>
            <w:bottom w:val="none" w:sz="0" w:space="0" w:color="auto"/>
            <w:right w:val="none" w:sz="0" w:space="0" w:color="auto"/>
          </w:divBdr>
        </w:div>
        <w:div w:id="958028759">
          <w:marLeft w:val="0"/>
          <w:marRight w:val="0"/>
          <w:marTop w:val="0"/>
          <w:marBottom w:val="0"/>
          <w:divBdr>
            <w:top w:val="none" w:sz="0" w:space="0" w:color="auto"/>
            <w:left w:val="none" w:sz="0" w:space="0" w:color="auto"/>
            <w:bottom w:val="none" w:sz="0" w:space="0" w:color="auto"/>
            <w:right w:val="none" w:sz="0" w:space="0" w:color="auto"/>
          </w:divBdr>
        </w:div>
        <w:div w:id="1552493421">
          <w:marLeft w:val="0"/>
          <w:marRight w:val="0"/>
          <w:marTop w:val="0"/>
          <w:marBottom w:val="0"/>
          <w:divBdr>
            <w:top w:val="none" w:sz="0" w:space="0" w:color="auto"/>
            <w:left w:val="none" w:sz="0" w:space="0" w:color="auto"/>
            <w:bottom w:val="none" w:sz="0" w:space="0" w:color="auto"/>
            <w:right w:val="none" w:sz="0" w:space="0" w:color="auto"/>
          </w:divBdr>
        </w:div>
        <w:div w:id="203443834">
          <w:marLeft w:val="0"/>
          <w:marRight w:val="0"/>
          <w:marTop w:val="0"/>
          <w:marBottom w:val="0"/>
          <w:divBdr>
            <w:top w:val="none" w:sz="0" w:space="0" w:color="auto"/>
            <w:left w:val="none" w:sz="0" w:space="0" w:color="auto"/>
            <w:bottom w:val="none" w:sz="0" w:space="0" w:color="auto"/>
            <w:right w:val="none" w:sz="0" w:space="0" w:color="auto"/>
          </w:divBdr>
        </w:div>
        <w:div w:id="1319458821">
          <w:marLeft w:val="0"/>
          <w:marRight w:val="0"/>
          <w:marTop w:val="0"/>
          <w:marBottom w:val="0"/>
          <w:divBdr>
            <w:top w:val="none" w:sz="0" w:space="0" w:color="auto"/>
            <w:left w:val="none" w:sz="0" w:space="0" w:color="auto"/>
            <w:bottom w:val="none" w:sz="0" w:space="0" w:color="auto"/>
            <w:right w:val="none" w:sz="0" w:space="0" w:color="auto"/>
          </w:divBdr>
        </w:div>
        <w:div w:id="1513493509">
          <w:marLeft w:val="0"/>
          <w:marRight w:val="0"/>
          <w:marTop w:val="0"/>
          <w:marBottom w:val="0"/>
          <w:divBdr>
            <w:top w:val="none" w:sz="0" w:space="0" w:color="auto"/>
            <w:left w:val="none" w:sz="0" w:space="0" w:color="auto"/>
            <w:bottom w:val="none" w:sz="0" w:space="0" w:color="auto"/>
            <w:right w:val="none" w:sz="0" w:space="0" w:color="auto"/>
          </w:divBdr>
        </w:div>
        <w:div w:id="348144536">
          <w:marLeft w:val="0"/>
          <w:marRight w:val="0"/>
          <w:marTop w:val="0"/>
          <w:marBottom w:val="0"/>
          <w:divBdr>
            <w:top w:val="none" w:sz="0" w:space="0" w:color="auto"/>
            <w:left w:val="none" w:sz="0" w:space="0" w:color="auto"/>
            <w:bottom w:val="none" w:sz="0" w:space="0" w:color="auto"/>
            <w:right w:val="none" w:sz="0" w:space="0" w:color="auto"/>
          </w:divBdr>
        </w:div>
        <w:div w:id="1237740686">
          <w:marLeft w:val="0"/>
          <w:marRight w:val="0"/>
          <w:marTop w:val="0"/>
          <w:marBottom w:val="0"/>
          <w:divBdr>
            <w:top w:val="none" w:sz="0" w:space="0" w:color="auto"/>
            <w:left w:val="none" w:sz="0" w:space="0" w:color="auto"/>
            <w:bottom w:val="none" w:sz="0" w:space="0" w:color="auto"/>
            <w:right w:val="none" w:sz="0" w:space="0" w:color="auto"/>
          </w:divBdr>
        </w:div>
        <w:div w:id="798493033">
          <w:marLeft w:val="0"/>
          <w:marRight w:val="0"/>
          <w:marTop w:val="0"/>
          <w:marBottom w:val="0"/>
          <w:divBdr>
            <w:top w:val="none" w:sz="0" w:space="0" w:color="auto"/>
            <w:left w:val="none" w:sz="0" w:space="0" w:color="auto"/>
            <w:bottom w:val="none" w:sz="0" w:space="0" w:color="auto"/>
            <w:right w:val="none" w:sz="0" w:space="0" w:color="auto"/>
          </w:divBdr>
        </w:div>
        <w:div w:id="174465089">
          <w:marLeft w:val="0"/>
          <w:marRight w:val="0"/>
          <w:marTop w:val="0"/>
          <w:marBottom w:val="0"/>
          <w:divBdr>
            <w:top w:val="none" w:sz="0" w:space="0" w:color="auto"/>
            <w:left w:val="none" w:sz="0" w:space="0" w:color="auto"/>
            <w:bottom w:val="none" w:sz="0" w:space="0" w:color="auto"/>
            <w:right w:val="none" w:sz="0" w:space="0" w:color="auto"/>
          </w:divBdr>
        </w:div>
        <w:div w:id="3096943">
          <w:marLeft w:val="0"/>
          <w:marRight w:val="0"/>
          <w:marTop w:val="0"/>
          <w:marBottom w:val="0"/>
          <w:divBdr>
            <w:top w:val="none" w:sz="0" w:space="0" w:color="auto"/>
            <w:left w:val="none" w:sz="0" w:space="0" w:color="auto"/>
            <w:bottom w:val="none" w:sz="0" w:space="0" w:color="auto"/>
            <w:right w:val="none" w:sz="0" w:space="0" w:color="auto"/>
          </w:divBdr>
        </w:div>
        <w:div w:id="1334911557">
          <w:marLeft w:val="0"/>
          <w:marRight w:val="0"/>
          <w:marTop w:val="0"/>
          <w:marBottom w:val="0"/>
          <w:divBdr>
            <w:top w:val="none" w:sz="0" w:space="0" w:color="auto"/>
            <w:left w:val="none" w:sz="0" w:space="0" w:color="auto"/>
            <w:bottom w:val="none" w:sz="0" w:space="0" w:color="auto"/>
            <w:right w:val="none" w:sz="0" w:space="0" w:color="auto"/>
          </w:divBdr>
        </w:div>
        <w:div w:id="1260215737">
          <w:marLeft w:val="0"/>
          <w:marRight w:val="0"/>
          <w:marTop w:val="0"/>
          <w:marBottom w:val="0"/>
          <w:divBdr>
            <w:top w:val="none" w:sz="0" w:space="0" w:color="auto"/>
            <w:left w:val="none" w:sz="0" w:space="0" w:color="auto"/>
            <w:bottom w:val="none" w:sz="0" w:space="0" w:color="auto"/>
            <w:right w:val="none" w:sz="0" w:space="0" w:color="auto"/>
          </w:divBdr>
        </w:div>
        <w:div w:id="894895812">
          <w:marLeft w:val="0"/>
          <w:marRight w:val="0"/>
          <w:marTop w:val="0"/>
          <w:marBottom w:val="0"/>
          <w:divBdr>
            <w:top w:val="none" w:sz="0" w:space="0" w:color="auto"/>
            <w:left w:val="none" w:sz="0" w:space="0" w:color="auto"/>
            <w:bottom w:val="none" w:sz="0" w:space="0" w:color="auto"/>
            <w:right w:val="none" w:sz="0" w:space="0" w:color="auto"/>
          </w:divBdr>
        </w:div>
        <w:div w:id="345324364">
          <w:marLeft w:val="0"/>
          <w:marRight w:val="0"/>
          <w:marTop w:val="0"/>
          <w:marBottom w:val="0"/>
          <w:divBdr>
            <w:top w:val="none" w:sz="0" w:space="0" w:color="auto"/>
            <w:left w:val="none" w:sz="0" w:space="0" w:color="auto"/>
            <w:bottom w:val="none" w:sz="0" w:space="0" w:color="auto"/>
            <w:right w:val="none" w:sz="0" w:space="0" w:color="auto"/>
          </w:divBdr>
        </w:div>
        <w:div w:id="1991015549">
          <w:marLeft w:val="0"/>
          <w:marRight w:val="0"/>
          <w:marTop w:val="0"/>
          <w:marBottom w:val="0"/>
          <w:divBdr>
            <w:top w:val="none" w:sz="0" w:space="0" w:color="auto"/>
            <w:left w:val="none" w:sz="0" w:space="0" w:color="auto"/>
            <w:bottom w:val="none" w:sz="0" w:space="0" w:color="auto"/>
            <w:right w:val="none" w:sz="0" w:space="0" w:color="auto"/>
          </w:divBdr>
        </w:div>
        <w:div w:id="2053579680">
          <w:marLeft w:val="0"/>
          <w:marRight w:val="0"/>
          <w:marTop w:val="0"/>
          <w:marBottom w:val="0"/>
          <w:divBdr>
            <w:top w:val="none" w:sz="0" w:space="0" w:color="auto"/>
            <w:left w:val="none" w:sz="0" w:space="0" w:color="auto"/>
            <w:bottom w:val="none" w:sz="0" w:space="0" w:color="auto"/>
            <w:right w:val="none" w:sz="0" w:space="0" w:color="auto"/>
          </w:divBdr>
        </w:div>
        <w:div w:id="1301426509">
          <w:marLeft w:val="0"/>
          <w:marRight w:val="0"/>
          <w:marTop w:val="0"/>
          <w:marBottom w:val="0"/>
          <w:divBdr>
            <w:top w:val="none" w:sz="0" w:space="0" w:color="auto"/>
            <w:left w:val="none" w:sz="0" w:space="0" w:color="auto"/>
            <w:bottom w:val="none" w:sz="0" w:space="0" w:color="auto"/>
            <w:right w:val="none" w:sz="0" w:space="0" w:color="auto"/>
          </w:divBdr>
        </w:div>
        <w:div w:id="1895963837">
          <w:marLeft w:val="0"/>
          <w:marRight w:val="0"/>
          <w:marTop w:val="0"/>
          <w:marBottom w:val="0"/>
          <w:divBdr>
            <w:top w:val="none" w:sz="0" w:space="0" w:color="auto"/>
            <w:left w:val="none" w:sz="0" w:space="0" w:color="auto"/>
            <w:bottom w:val="none" w:sz="0" w:space="0" w:color="auto"/>
            <w:right w:val="none" w:sz="0" w:space="0" w:color="auto"/>
          </w:divBdr>
        </w:div>
        <w:div w:id="157045099">
          <w:marLeft w:val="0"/>
          <w:marRight w:val="0"/>
          <w:marTop w:val="0"/>
          <w:marBottom w:val="0"/>
          <w:divBdr>
            <w:top w:val="none" w:sz="0" w:space="0" w:color="auto"/>
            <w:left w:val="none" w:sz="0" w:space="0" w:color="auto"/>
            <w:bottom w:val="none" w:sz="0" w:space="0" w:color="auto"/>
            <w:right w:val="none" w:sz="0" w:space="0" w:color="auto"/>
          </w:divBdr>
        </w:div>
        <w:div w:id="658463637">
          <w:marLeft w:val="0"/>
          <w:marRight w:val="0"/>
          <w:marTop w:val="0"/>
          <w:marBottom w:val="0"/>
          <w:divBdr>
            <w:top w:val="none" w:sz="0" w:space="0" w:color="auto"/>
            <w:left w:val="none" w:sz="0" w:space="0" w:color="auto"/>
            <w:bottom w:val="none" w:sz="0" w:space="0" w:color="auto"/>
            <w:right w:val="none" w:sz="0" w:space="0" w:color="auto"/>
          </w:divBdr>
        </w:div>
        <w:div w:id="227497104">
          <w:marLeft w:val="0"/>
          <w:marRight w:val="0"/>
          <w:marTop w:val="0"/>
          <w:marBottom w:val="0"/>
          <w:divBdr>
            <w:top w:val="none" w:sz="0" w:space="0" w:color="auto"/>
            <w:left w:val="none" w:sz="0" w:space="0" w:color="auto"/>
            <w:bottom w:val="none" w:sz="0" w:space="0" w:color="auto"/>
            <w:right w:val="none" w:sz="0" w:space="0" w:color="auto"/>
          </w:divBdr>
        </w:div>
        <w:div w:id="722797410">
          <w:marLeft w:val="0"/>
          <w:marRight w:val="0"/>
          <w:marTop w:val="0"/>
          <w:marBottom w:val="0"/>
          <w:divBdr>
            <w:top w:val="none" w:sz="0" w:space="0" w:color="auto"/>
            <w:left w:val="none" w:sz="0" w:space="0" w:color="auto"/>
            <w:bottom w:val="none" w:sz="0" w:space="0" w:color="auto"/>
            <w:right w:val="none" w:sz="0" w:space="0" w:color="auto"/>
          </w:divBdr>
        </w:div>
        <w:div w:id="1069812212">
          <w:marLeft w:val="0"/>
          <w:marRight w:val="0"/>
          <w:marTop w:val="0"/>
          <w:marBottom w:val="0"/>
          <w:divBdr>
            <w:top w:val="none" w:sz="0" w:space="0" w:color="auto"/>
            <w:left w:val="none" w:sz="0" w:space="0" w:color="auto"/>
            <w:bottom w:val="none" w:sz="0" w:space="0" w:color="auto"/>
            <w:right w:val="none" w:sz="0" w:space="0" w:color="auto"/>
          </w:divBdr>
        </w:div>
        <w:div w:id="1479497897">
          <w:marLeft w:val="0"/>
          <w:marRight w:val="0"/>
          <w:marTop w:val="0"/>
          <w:marBottom w:val="0"/>
          <w:divBdr>
            <w:top w:val="none" w:sz="0" w:space="0" w:color="auto"/>
            <w:left w:val="none" w:sz="0" w:space="0" w:color="auto"/>
            <w:bottom w:val="none" w:sz="0" w:space="0" w:color="auto"/>
            <w:right w:val="none" w:sz="0" w:space="0" w:color="auto"/>
          </w:divBdr>
        </w:div>
        <w:div w:id="1959331445">
          <w:marLeft w:val="0"/>
          <w:marRight w:val="0"/>
          <w:marTop w:val="0"/>
          <w:marBottom w:val="0"/>
          <w:divBdr>
            <w:top w:val="none" w:sz="0" w:space="0" w:color="auto"/>
            <w:left w:val="none" w:sz="0" w:space="0" w:color="auto"/>
            <w:bottom w:val="none" w:sz="0" w:space="0" w:color="auto"/>
            <w:right w:val="none" w:sz="0" w:space="0" w:color="auto"/>
          </w:divBdr>
        </w:div>
        <w:div w:id="1314800449">
          <w:marLeft w:val="0"/>
          <w:marRight w:val="0"/>
          <w:marTop w:val="0"/>
          <w:marBottom w:val="0"/>
          <w:divBdr>
            <w:top w:val="none" w:sz="0" w:space="0" w:color="auto"/>
            <w:left w:val="none" w:sz="0" w:space="0" w:color="auto"/>
            <w:bottom w:val="none" w:sz="0" w:space="0" w:color="auto"/>
            <w:right w:val="none" w:sz="0" w:space="0" w:color="auto"/>
          </w:divBdr>
        </w:div>
        <w:div w:id="1007562562">
          <w:marLeft w:val="0"/>
          <w:marRight w:val="0"/>
          <w:marTop w:val="0"/>
          <w:marBottom w:val="0"/>
          <w:divBdr>
            <w:top w:val="none" w:sz="0" w:space="0" w:color="auto"/>
            <w:left w:val="none" w:sz="0" w:space="0" w:color="auto"/>
            <w:bottom w:val="none" w:sz="0" w:space="0" w:color="auto"/>
            <w:right w:val="none" w:sz="0" w:space="0" w:color="auto"/>
          </w:divBdr>
        </w:div>
        <w:div w:id="2054574167">
          <w:marLeft w:val="0"/>
          <w:marRight w:val="0"/>
          <w:marTop w:val="0"/>
          <w:marBottom w:val="0"/>
          <w:divBdr>
            <w:top w:val="none" w:sz="0" w:space="0" w:color="auto"/>
            <w:left w:val="none" w:sz="0" w:space="0" w:color="auto"/>
            <w:bottom w:val="none" w:sz="0" w:space="0" w:color="auto"/>
            <w:right w:val="none" w:sz="0" w:space="0" w:color="auto"/>
          </w:divBdr>
        </w:div>
        <w:div w:id="680157573">
          <w:marLeft w:val="0"/>
          <w:marRight w:val="0"/>
          <w:marTop w:val="0"/>
          <w:marBottom w:val="0"/>
          <w:divBdr>
            <w:top w:val="none" w:sz="0" w:space="0" w:color="auto"/>
            <w:left w:val="none" w:sz="0" w:space="0" w:color="auto"/>
            <w:bottom w:val="none" w:sz="0" w:space="0" w:color="auto"/>
            <w:right w:val="none" w:sz="0" w:space="0" w:color="auto"/>
          </w:divBdr>
        </w:div>
        <w:div w:id="1286930592">
          <w:marLeft w:val="0"/>
          <w:marRight w:val="0"/>
          <w:marTop w:val="0"/>
          <w:marBottom w:val="0"/>
          <w:divBdr>
            <w:top w:val="none" w:sz="0" w:space="0" w:color="auto"/>
            <w:left w:val="none" w:sz="0" w:space="0" w:color="auto"/>
            <w:bottom w:val="none" w:sz="0" w:space="0" w:color="auto"/>
            <w:right w:val="none" w:sz="0" w:space="0" w:color="auto"/>
          </w:divBdr>
        </w:div>
        <w:div w:id="2142920375">
          <w:marLeft w:val="0"/>
          <w:marRight w:val="0"/>
          <w:marTop w:val="0"/>
          <w:marBottom w:val="0"/>
          <w:divBdr>
            <w:top w:val="none" w:sz="0" w:space="0" w:color="auto"/>
            <w:left w:val="none" w:sz="0" w:space="0" w:color="auto"/>
            <w:bottom w:val="none" w:sz="0" w:space="0" w:color="auto"/>
            <w:right w:val="none" w:sz="0" w:space="0" w:color="auto"/>
          </w:divBdr>
        </w:div>
        <w:div w:id="683098113">
          <w:marLeft w:val="0"/>
          <w:marRight w:val="0"/>
          <w:marTop w:val="0"/>
          <w:marBottom w:val="0"/>
          <w:divBdr>
            <w:top w:val="none" w:sz="0" w:space="0" w:color="auto"/>
            <w:left w:val="none" w:sz="0" w:space="0" w:color="auto"/>
            <w:bottom w:val="none" w:sz="0" w:space="0" w:color="auto"/>
            <w:right w:val="none" w:sz="0" w:space="0" w:color="auto"/>
          </w:divBdr>
        </w:div>
        <w:div w:id="2064450966">
          <w:marLeft w:val="0"/>
          <w:marRight w:val="0"/>
          <w:marTop w:val="0"/>
          <w:marBottom w:val="0"/>
          <w:divBdr>
            <w:top w:val="none" w:sz="0" w:space="0" w:color="auto"/>
            <w:left w:val="none" w:sz="0" w:space="0" w:color="auto"/>
            <w:bottom w:val="none" w:sz="0" w:space="0" w:color="auto"/>
            <w:right w:val="none" w:sz="0" w:space="0" w:color="auto"/>
          </w:divBdr>
        </w:div>
        <w:div w:id="1709573468">
          <w:marLeft w:val="0"/>
          <w:marRight w:val="0"/>
          <w:marTop w:val="0"/>
          <w:marBottom w:val="0"/>
          <w:divBdr>
            <w:top w:val="none" w:sz="0" w:space="0" w:color="auto"/>
            <w:left w:val="none" w:sz="0" w:space="0" w:color="auto"/>
            <w:bottom w:val="none" w:sz="0" w:space="0" w:color="auto"/>
            <w:right w:val="none" w:sz="0" w:space="0" w:color="auto"/>
          </w:divBdr>
        </w:div>
        <w:div w:id="378285764">
          <w:marLeft w:val="0"/>
          <w:marRight w:val="0"/>
          <w:marTop w:val="0"/>
          <w:marBottom w:val="0"/>
          <w:divBdr>
            <w:top w:val="none" w:sz="0" w:space="0" w:color="auto"/>
            <w:left w:val="none" w:sz="0" w:space="0" w:color="auto"/>
            <w:bottom w:val="none" w:sz="0" w:space="0" w:color="auto"/>
            <w:right w:val="none" w:sz="0" w:space="0" w:color="auto"/>
          </w:divBdr>
        </w:div>
        <w:div w:id="558252872">
          <w:marLeft w:val="0"/>
          <w:marRight w:val="0"/>
          <w:marTop w:val="0"/>
          <w:marBottom w:val="0"/>
          <w:divBdr>
            <w:top w:val="none" w:sz="0" w:space="0" w:color="auto"/>
            <w:left w:val="none" w:sz="0" w:space="0" w:color="auto"/>
            <w:bottom w:val="none" w:sz="0" w:space="0" w:color="auto"/>
            <w:right w:val="none" w:sz="0" w:space="0" w:color="auto"/>
          </w:divBdr>
        </w:div>
        <w:div w:id="1006402491">
          <w:marLeft w:val="0"/>
          <w:marRight w:val="0"/>
          <w:marTop w:val="0"/>
          <w:marBottom w:val="0"/>
          <w:divBdr>
            <w:top w:val="none" w:sz="0" w:space="0" w:color="auto"/>
            <w:left w:val="none" w:sz="0" w:space="0" w:color="auto"/>
            <w:bottom w:val="none" w:sz="0" w:space="0" w:color="auto"/>
            <w:right w:val="none" w:sz="0" w:space="0" w:color="auto"/>
          </w:divBdr>
        </w:div>
        <w:div w:id="1933277356">
          <w:marLeft w:val="0"/>
          <w:marRight w:val="0"/>
          <w:marTop w:val="0"/>
          <w:marBottom w:val="0"/>
          <w:divBdr>
            <w:top w:val="none" w:sz="0" w:space="0" w:color="auto"/>
            <w:left w:val="none" w:sz="0" w:space="0" w:color="auto"/>
            <w:bottom w:val="none" w:sz="0" w:space="0" w:color="auto"/>
            <w:right w:val="none" w:sz="0" w:space="0" w:color="auto"/>
          </w:divBdr>
        </w:div>
        <w:div w:id="447894388">
          <w:marLeft w:val="0"/>
          <w:marRight w:val="0"/>
          <w:marTop w:val="0"/>
          <w:marBottom w:val="0"/>
          <w:divBdr>
            <w:top w:val="none" w:sz="0" w:space="0" w:color="auto"/>
            <w:left w:val="none" w:sz="0" w:space="0" w:color="auto"/>
            <w:bottom w:val="none" w:sz="0" w:space="0" w:color="auto"/>
            <w:right w:val="none" w:sz="0" w:space="0" w:color="auto"/>
          </w:divBdr>
        </w:div>
        <w:div w:id="755786295">
          <w:marLeft w:val="0"/>
          <w:marRight w:val="0"/>
          <w:marTop w:val="0"/>
          <w:marBottom w:val="0"/>
          <w:divBdr>
            <w:top w:val="none" w:sz="0" w:space="0" w:color="auto"/>
            <w:left w:val="none" w:sz="0" w:space="0" w:color="auto"/>
            <w:bottom w:val="none" w:sz="0" w:space="0" w:color="auto"/>
            <w:right w:val="none" w:sz="0" w:space="0" w:color="auto"/>
          </w:divBdr>
        </w:div>
        <w:div w:id="2017075736">
          <w:marLeft w:val="0"/>
          <w:marRight w:val="0"/>
          <w:marTop w:val="0"/>
          <w:marBottom w:val="0"/>
          <w:divBdr>
            <w:top w:val="none" w:sz="0" w:space="0" w:color="auto"/>
            <w:left w:val="none" w:sz="0" w:space="0" w:color="auto"/>
            <w:bottom w:val="none" w:sz="0" w:space="0" w:color="auto"/>
            <w:right w:val="none" w:sz="0" w:space="0" w:color="auto"/>
          </w:divBdr>
        </w:div>
        <w:div w:id="1177035467">
          <w:marLeft w:val="0"/>
          <w:marRight w:val="0"/>
          <w:marTop w:val="0"/>
          <w:marBottom w:val="0"/>
          <w:divBdr>
            <w:top w:val="none" w:sz="0" w:space="0" w:color="auto"/>
            <w:left w:val="none" w:sz="0" w:space="0" w:color="auto"/>
            <w:bottom w:val="none" w:sz="0" w:space="0" w:color="auto"/>
            <w:right w:val="none" w:sz="0" w:space="0" w:color="auto"/>
          </w:divBdr>
        </w:div>
        <w:div w:id="1284193059">
          <w:marLeft w:val="0"/>
          <w:marRight w:val="0"/>
          <w:marTop w:val="0"/>
          <w:marBottom w:val="0"/>
          <w:divBdr>
            <w:top w:val="none" w:sz="0" w:space="0" w:color="auto"/>
            <w:left w:val="none" w:sz="0" w:space="0" w:color="auto"/>
            <w:bottom w:val="none" w:sz="0" w:space="0" w:color="auto"/>
            <w:right w:val="none" w:sz="0" w:space="0" w:color="auto"/>
          </w:divBdr>
        </w:div>
        <w:div w:id="1466923769">
          <w:marLeft w:val="0"/>
          <w:marRight w:val="0"/>
          <w:marTop w:val="0"/>
          <w:marBottom w:val="0"/>
          <w:divBdr>
            <w:top w:val="none" w:sz="0" w:space="0" w:color="auto"/>
            <w:left w:val="none" w:sz="0" w:space="0" w:color="auto"/>
            <w:bottom w:val="none" w:sz="0" w:space="0" w:color="auto"/>
            <w:right w:val="none" w:sz="0" w:space="0" w:color="auto"/>
          </w:divBdr>
        </w:div>
        <w:div w:id="1237058279">
          <w:marLeft w:val="0"/>
          <w:marRight w:val="0"/>
          <w:marTop w:val="0"/>
          <w:marBottom w:val="0"/>
          <w:divBdr>
            <w:top w:val="none" w:sz="0" w:space="0" w:color="auto"/>
            <w:left w:val="none" w:sz="0" w:space="0" w:color="auto"/>
            <w:bottom w:val="none" w:sz="0" w:space="0" w:color="auto"/>
            <w:right w:val="none" w:sz="0" w:space="0" w:color="auto"/>
          </w:divBdr>
        </w:div>
        <w:div w:id="1876044190">
          <w:marLeft w:val="0"/>
          <w:marRight w:val="0"/>
          <w:marTop w:val="0"/>
          <w:marBottom w:val="0"/>
          <w:divBdr>
            <w:top w:val="none" w:sz="0" w:space="0" w:color="auto"/>
            <w:left w:val="none" w:sz="0" w:space="0" w:color="auto"/>
            <w:bottom w:val="none" w:sz="0" w:space="0" w:color="auto"/>
            <w:right w:val="none" w:sz="0" w:space="0" w:color="auto"/>
          </w:divBdr>
        </w:div>
        <w:div w:id="513613132">
          <w:marLeft w:val="0"/>
          <w:marRight w:val="0"/>
          <w:marTop w:val="0"/>
          <w:marBottom w:val="0"/>
          <w:divBdr>
            <w:top w:val="none" w:sz="0" w:space="0" w:color="auto"/>
            <w:left w:val="none" w:sz="0" w:space="0" w:color="auto"/>
            <w:bottom w:val="none" w:sz="0" w:space="0" w:color="auto"/>
            <w:right w:val="none" w:sz="0" w:space="0" w:color="auto"/>
          </w:divBdr>
        </w:div>
        <w:div w:id="1786078396">
          <w:marLeft w:val="0"/>
          <w:marRight w:val="0"/>
          <w:marTop w:val="0"/>
          <w:marBottom w:val="0"/>
          <w:divBdr>
            <w:top w:val="none" w:sz="0" w:space="0" w:color="auto"/>
            <w:left w:val="none" w:sz="0" w:space="0" w:color="auto"/>
            <w:bottom w:val="none" w:sz="0" w:space="0" w:color="auto"/>
            <w:right w:val="none" w:sz="0" w:space="0" w:color="auto"/>
          </w:divBdr>
        </w:div>
        <w:div w:id="659189321">
          <w:marLeft w:val="0"/>
          <w:marRight w:val="0"/>
          <w:marTop w:val="0"/>
          <w:marBottom w:val="0"/>
          <w:divBdr>
            <w:top w:val="none" w:sz="0" w:space="0" w:color="auto"/>
            <w:left w:val="none" w:sz="0" w:space="0" w:color="auto"/>
            <w:bottom w:val="none" w:sz="0" w:space="0" w:color="auto"/>
            <w:right w:val="none" w:sz="0" w:space="0" w:color="auto"/>
          </w:divBdr>
        </w:div>
        <w:div w:id="164368076">
          <w:marLeft w:val="0"/>
          <w:marRight w:val="0"/>
          <w:marTop w:val="0"/>
          <w:marBottom w:val="0"/>
          <w:divBdr>
            <w:top w:val="none" w:sz="0" w:space="0" w:color="auto"/>
            <w:left w:val="none" w:sz="0" w:space="0" w:color="auto"/>
            <w:bottom w:val="none" w:sz="0" w:space="0" w:color="auto"/>
            <w:right w:val="none" w:sz="0" w:space="0" w:color="auto"/>
          </w:divBdr>
        </w:div>
        <w:div w:id="1048644362">
          <w:marLeft w:val="0"/>
          <w:marRight w:val="0"/>
          <w:marTop w:val="0"/>
          <w:marBottom w:val="0"/>
          <w:divBdr>
            <w:top w:val="none" w:sz="0" w:space="0" w:color="auto"/>
            <w:left w:val="none" w:sz="0" w:space="0" w:color="auto"/>
            <w:bottom w:val="none" w:sz="0" w:space="0" w:color="auto"/>
            <w:right w:val="none" w:sz="0" w:space="0" w:color="auto"/>
          </w:divBdr>
        </w:div>
        <w:div w:id="220989579">
          <w:marLeft w:val="0"/>
          <w:marRight w:val="0"/>
          <w:marTop w:val="0"/>
          <w:marBottom w:val="0"/>
          <w:divBdr>
            <w:top w:val="none" w:sz="0" w:space="0" w:color="auto"/>
            <w:left w:val="none" w:sz="0" w:space="0" w:color="auto"/>
            <w:bottom w:val="none" w:sz="0" w:space="0" w:color="auto"/>
            <w:right w:val="none" w:sz="0" w:space="0" w:color="auto"/>
          </w:divBdr>
        </w:div>
        <w:div w:id="869218012">
          <w:marLeft w:val="0"/>
          <w:marRight w:val="0"/>
          <w:marTop w:val="0"/>
          <w:marBottom w:val="0"/>
          <w:divBdr>
            <w:top w:val="none" w:sz="0" w:space="0" w:color="auto"/>
            <w:left w:val="none" w:sz="0" w:space="0" w:color="auto"/>
            <w:bottom w:val="none" w:sz="0" w:space="0" w:color="auto"/>
            <w:right w:val="none" w:sz="0" w:space="0" w:color="auto"/>
          </w:divBdr>
        </w:div>
        <w:div w:id="928923468">
          <w:marLeft w:val="0"/>
          <w:marRight w:val="0"/>
          <w:marTop w:val="0"/>
          <w:marBottom w:val="0"/>
          <w:divBdr>
            <w:top w:val="none" w:sz="0" w:space="0" w:color="auto"/>
            <w:left w:val="none" w:sz="0" w:space="0" w:color="auto"/>
            <w:bottom w:val="none" w:sz="0" w:space="0" w:color="auto"/>
            <w:right w:val="none" w:sz="0" w:space="0" w:color="auto"/>
          </w:divBdr>
        </w:div>
        <w:div w:id="1750611546">
          <w:marLeft w:val="0"/>
          <w:marRight w:val="0"/>
          <w:marTop w:val="0"/>
          <w:marBottom w:val="0"/>
          <w:divBdr>
            <w:top w:val="none" w:sz="0" w:space="0" w:color="auto"/>
            <w:left w:val="none" w:sz="0" w:space="0" w:color="auto"/>
            <w:bottom w:val="none" w:sz="0" w:space="0" w:color="auto"/>
            <w:right w:val="none" w:sz="0" w:space="0" w:color="auto"/>
          </w:divBdr>
        </w:div>
        <w:div w:id="560793232">
          <w:marLeft w:val="0"/>
          <w:marRight w:val="0"/>
          <w:marTop w:val="0"/>
          <w:marBottom w:val="0"/>
          <w:divBdr>
            <w:top w:val="none" w:sz="0" w:space="0" w:color="auto"/>
            <w:left w:val="none" w:sz="0" w:space="0" w:color="auto"/>
            <w:bottom w:val="none" w:sz="0" w:space="0" w:color="auto"/>
            <w:right w:val="none" w:sz="0" w:space="0" w:color="auto"/>
          </w:divBdr>
        </w:div>
        <w:div w:id="1241132387">
          <w:marLeft w:val="0"/>
          <w:marRight w:val="0"/>
          <w:marTop w:val="0"/>
          <w:marBottom w:val="0"/>
          <w:divBdr>
            <w:top w:val="none" w:sz="0" w:space="0" w:color="auto"/>
            <w:left w:val="none" w:sz="0" w:space="0" w:color="auto"/>
            <w:bottom w:val="none" w:sz="0" w:space="0" w:color="auto"/>
            <w:right w:val="none" w:sz="0" w:space="0" w:color="auto"/>
          </w:divBdr>
        </w:div>
        <w:div w:id="1138500510">
          <w:marLeft w:val="0"/>
          <w:marRight w:val="0"/>
          <w:marTop w:val="0"/>
          <w:marBottom w:val="0"/>
          <w:divBdr>
            <w:top w:val="none" w:sz="0" w:space="0" w:color="auto"/>
            <w:left w:val="none" w:sz="0" w:space="0" w:color="auto"/>
            <w:bottom w:val="none" w:sz="0" w:space="0" w:color="auto"/>
            <w:right w:val="none" w:sz="0" w:space="0" w:color="auto"/>
          </w:divBdr>
        </w:div>
        <w:div w:id="31276125">
          <w:marLeft w:val="0"/>
          <w:marRight w:val="0"/>
          <w:marTop w:val="0"/>
          <w:marBottom w:val="0"/>
          <w:divBdr>
            <w:top w:val="none" w:sz="0" w:space="0" w:color="auto"/>
            <w:left w:val="none" w:sz="0" w:space="0" w:color="auto"/>
            <w:bottom w:val="none" w:sz="0" w:space="0" w:color="auto"/>
            <w:right w:val="none" w:sz="0" w:space="0" w:color="auto"/>
          </w:divBdr>
        </w:div>
        <w:div w:id="1367947161">
          <w:marLeft w:val="0"/>
          <w:marRight w:val="0"/>
          <w:marTop w:val="0"/>
          <w:marBottom w:val="0"/>
          <w:divBdr>
            <w:top w:val="none" w:sz="0" w:space="0" w:color="auto"/>
            <w:left w:val="none" w:sz="0" w:space="0" w:color="auto"/>
            <w:bottom w:val="none" w:sz="0" w:space="0" w:color="auto"/>
            <w:right w:val="none" w:sz="0" w:space="0" w:color="auto"/>
          </w:divBdr>
        </w:div>
        <w:div w:id="1863283861">
          <w:marLeft w:val="0"/>
          <w:marRight w:val="0"/>
          <w:marTop w:val="0"/>
          <w:marBottom w:val="0"/>
          <w:divBdr>
            <w:top w:val="none" w:sz="0" w:space="0" w:color="auto"/>
            <w:left w:val="none" w:sz="0" w:space="0" w:color="auto"/>
            <w:bottom w:val="none" w:sz="0" w:space="0" w:color="auto"/>
            <w:right w:val="none" w:sz="0" w:space="0" w:color="auto"/>
          </w:divBdr>
        </w:div>
        <w:div w:id="632057374">
          <w:marLeft w:val="0"/>
          <w:marRight w:val="0"/>
          <w:marTop w:val="0"/>
          <w:marBottom w:val="0"/>
          <w:divBdr>
            <w:top w:val="none" w:sz="0" w:space="0" w:color="auto"/>
            <w:left w:val="none" w:sz="0" w:space="0" w:color="auto"/>
            <w:bottom w:val="none" w:sz="0" w:space="0" w:color="auto"/>
            <w:right w:val="none" w:sz="0" w:space="0" w:color="auto"/>
          </w:divBdr>
        </w:div>
        <w:div w:id="595987531">
          <w:marLeft w:val="0"/>
          <w:marRight w:val="0"/>
          <w:marTop w:val="0"/>
          <w:marBottom w:val="0"/>
          <w:divBdr>
            <w:top w:val="none" w:sz="0" w:space="0" w:color="auto"/>
            <w:left w:val="none" w:sz="0" w:space="0" w:color="auto"/>
            <w:bottom w:val="none" w:sz="0" w:space="0" w:color="auto"/>
            <w:right w:val="none" w:sz="0" w:space="0" w:color="auto"/>
          </w:divBdr>
        </w:div>
        <w:div w:id="932318204">
          <w:marLeft w:val="0"/>
          <w:marRight w:val="0"/>
          <w:marTop w:val="0"/>
          <w:marBottom w:val="0"/>
          <w:divBdr>
            <w:top w:val="none" w:sz="0" w:space="0" w:color="auto"/>
            <w:left w:val="none" w:sz="0" w:space="0" w:color="auto"/>
            <w:bottom w:val="none" w:sz="0" w:space="0" w:color="auto"/>
            <w:right w:val="none" w:sz="0" w:space="0" w:color="auto"/>
          </w:divBdr>
        </w:div>
        <w:div w:id="1032146302">
          <w:marLeft w:val="0"/>
          <w:marRight w:val="0"/>
          <w:marTop w:val="0"/>
          <w:marBottom w:val="0"/>
          <w:divBdr>
            <w:top w:val="none" w:sz="0" w:space="0" w:color="auto"/>
            <w:left w:val="none" w:sz="0" w:space="0" w:color="auto"/>
            <w:bottom w:val="none" w:sz="0" w:space="0" w:color="auto"/>
            <w:right w:val="none" w:sz="0" w:space="0" w:color="auto"/>
          </w:divBdr>
        </w:div>
        <w:div w:id="1906600749">
          <w:marLeft w:val="0"/>
          <w:marRight w:val="0"/>
          <w:marTop w:val="0"/>
          <w:marBottom w:val="0"/>
          <w:divBdr>
            <w:top w:val="none" w:sz="0" w:space="0" w:color="auto"/>
            <w:left w:val="none" w:sz="0" w:space="0" w:color="auto"/>
            <w:bottom w:val="none" w:sz="0" w:space="0" w:color="auto"/>
            <w:right w:val="none" w:sz="0" w:space="0" w:color="auto"/>
          </w:divBdr>
        </w:div>
        <w:div w:id="1196961286">
          <w:marLeft w:val="0"/>
          <w:marRight w:val="0"/>
          <w:marTop w:val="0"/>
          <w:marBottom w:val="0"/>
          <w:divBdr>
            <w:top w:val="none" w:sz="0" w:space="0" w:color="auto"/>
            <w:left w:val="none" w:sz="0" w:space="0" w:color="auto"/>
            <w:bottom w:val="none" w:sz="0" w:space="0" w:color="auto"/>
            <w:right w:val="none" w:sz="0" w:space="0" w:color="auto"/>
          </w:divBdr>
        </w:div>
        <w:div w:id="846215026">
          <w:marLeft w:val="0"/>
          <w:marRight w:val="0"/>
          <w:marTop w:val="0"/>
          <w:marBottom w:val="0"/>
          <w:divBdr>
            <w:top w:val="none" w:sz="0" w:space="0" w:color="auto"/>
            <w:left w:val="none" w:sz="0" w:space="0" w:color="auto"/>
            <w:bottom w:val="none" w:sz="0" w:space="0" w:color="auto"/>
            <w:right w:val="none" w:sz="0" w:space="0" w:color="auto"/>
          </w:divBdr>
        </w:div>
        <w:div w:id="508912730">
          <w:marLeft w:val="0"/>
          <w:marRight w:val="0"/>
          <w:marTop w:val="0"/>
          <w:marBottom w:val="0"/>
          <w:divBdr>
            <w:top w:val="none" w:sz="0" w:space="0" w:color="auto"/>
            <w:left w:val="none" w:sz="0" w:space="0" w:color="auto"/>
            <w:bottom w:val="none" w:sz="0" w:space="0" w:color="auto"/>
            <w:right w:val="none" w:sz="0" w:space="0" w:color="auto"/>
          </w:divBdr>
        </w:div>
        <w:div w:id="17631257">
          <w:marLeft w:val="0"/>
          <w:marRight w:val="0"/>
          <w:marTop w:val="0"/>
          <w:marBottom w:val="0"/>
          <w:divBdr>
            <w:top w:val="none" w:sz="0" w:space="0" w:color="auto"/>
            <w:left w:val="none" w:sz="0" w:space="0" w:color="auto"/>
            <w:bottom w:val="none" w:sz="0" w:space="0" w:color="auto"/>
            <w:right w:val="none" w:sz="0" w:space="0" w:color="auto"/>
          </w:divBdr>
        </w:div>
        <w:div w:id="684862666">
          <w:marLeft w:val="0"/>
          <w:marRight w:val="0"/>
          <w:marTop w:val="0"/>
          <w:marBottom w:val="0"/>
          <w:divBdr>
            <w:top w:val="none" w:sz="0" w:space="0" w:color="auto"/>
            <w:left w:val="none" w:sz="0" w:space="0" w:color="auto"/>
            <w:bottom w:val="none" w:sz="0" w:space="0" w:color="auto"/>
            <w:right w:val="none" w:sz="0" w:space="0" w:color="auto"/>
          </w:divBdr>
        </w:div>
        <w:div w:id="1356033343">
          <w:marLeft w:val="0"/>
          <w:marRight w:val="0"/>
          <w:marTop w:val="0"/>
          <w:marBottom w:val="0"/>
          <w:divBdr>
            <w:top w:val="none" w:sz="0" w:space="0" w:color="auto"/>
            <w:left w:val="none" w:sz="0" w:space="0" w:color="auto"/>
            <w:bottom w:val="none" w:sz="0" w:space="0" w:color="auto"/>
            <w:right w:val="none" w:sz="0" w:space="0" w:color="auto"/>
          </w:divBdr>
        </w:div>
        <w:div w:id="529151457">
          <w:marLeft w:val="0"/>
          <w:marRight w:val="0"/>
          <w:marTop w:val="0"/>
          <w:marBottom w:val="0"/>
          <w:divBdr>
            <w:top w:val="none" w:sz="0" w:space="0" w:color="auto"/>
            <w:left w:val="none" w:sz="0" w:space="0" w:color="auto"/>
            <w:bottom w:val="none" w:sz="0" w:space="0" w:color="auto"/>
            <w:right w:val="none" w:sz="0" w:space="0" w:color="auto"/>
          </w:divBdr>
        </w:div>
        <w:div w:id="291788164">
          <w:marLeft w:val="0"/>
          <w:marRight w:val="0"/>
          <w:marTop w:val="0"/>
          <w:marBottom w:val="0"/>
          <w:divBdr>
            <w:top w:val="none" w:sz="0" w:space="0" w:color="auto"/>
            <w:left w:val="none" w:sz="0" w:space="0" w:color="auto"/>
            <w:bottom w:val="none" w:sz="0" w:space="0" w:color="auto"/>
            <w:right w:val="none" w:sz="0" w:space="0" w:color="auto"/>
          </w:divBdr>
        </w:div>
        <w:div w:id="1287618015">
          <w:marLeft w:val="0"/>
          <w:marRight w:val="0"/>
          <w:marTop w:val="0"/>
          <w:marBottom w:val="0"/>
          <w:divBdr>
            <w:top w:val="none" w:sz="0" w:space="0" w:color="auto"/>
            <w:left w:val="none" w:sz="0" w:space="0" w:color="auto"/>
            <w:bottom w:val="none" w:sz="0" w:space="0" w:color="auto"/>
            <w:right w:val="none" w:sz="0" w:space="0" w:color="auto"/>
          </w:divBdr>
        </w:div>
        <w:div w:id="2143959700">
          <w:marLeft w:val="0"/>
          <w:marRight w:val="0"/>
          <w:marTop w:val="0"/>
          <w:marBottom w:val="0"/>
          <w:divBdr>
            <w:top w:val="none" w:sz="0" w:space="0" w:color="auto"/>
            <w:left w:val="none" w:sz="0" w:space="0" w:color="auto"/>
            <w:bottom w:val="none" w:sz="0" w:space="0" w:color="auto"/>
            <w:right w:val="none" w:sz="0" w:space="0" w:color="auto"/>
          </w:divBdr>
        </w:div>
        <w:div w:id="1230767901">
          <w:marLeft w:val="0"/>
          <w:marRight w:val="0"/>
          <w:marTop w:val="0"/>
          <w:marBottom w:val="0"/>
          <w:divBdr>
            <w:top w:val="none" w:sz="0" w:space="0" w:color="auto"/>
            <w:left w:val="none" w:sz="0" w:space="0" w:color="auto"/>
            <w:bottom w:val="none" w:sz="0" w:space="0" w:color="auto"/>
            <w:right w:val="none" w:sz="0" w:space="0" w:color="auto"/>
          </w:divBdr>
        </w:div>
        <w:div w:id="1803495508">
          <w:marLeft w:val="0"/>
          <w:marRight w:val="0"/>
          <w:marTop w:val="0"/>
          <w:marBottom w:val="0"/>
          <w:divBdr>
            <w:top w:val="none" w:sz="0" w:space="0" w:color="auto"/>
            <w:left w:val="none" w:sz="0" w:space="0" w:color="auto"/>
            <w:bottom w:val="none" w:sz="0" w:space="0" w:color="auto"/>
            <w:right w:val="none" w:sz="0" w:space="0" w:color="auto"/>
          </w:divBdr>
        </w:div>
        <w:div w:id="538510417">
          <w:marLeft w:val="0"/>
          <w:marRight w:val="0"/>
          <w:marTop w:val="0"/>
          <w:marBottom w:val="0"/>
          <w:divBdr>
            <w:top w:val="none" w:sz="0" w:space="0" w:color="auto"/>
            <w:left w:val="none" w:sz="0" w:space="0" w:color="auto"/>
            <w:bottom w:val="none" w:sz="0" w:space="0" w:color="auto"/>
            <w:right w:val="none" w:sz="0" w:space="0" w:color="auto"/>
          </w:divBdr>
        </w:div>
        <w:div w:id="778721779">
          <w:marLeft w:val="0"/>
          <w:marRight w:val="0"/>
          <w:marTop w:val="0"/>
          <w:marBottom w:val="0"/>
          <w:divBdr>
            <w:top w:val="none" w:sz="0" w:space="0" w:color="auto"/>
            <w:left w:val="none" w:sz="0" w:space="0" w:color="auto"/>
            <w:bottom w:val="none" w:sz="0" w:space="0" w:color="auto"/>
            <w:right w:val="none" w:sz="0" w:space="0" w:color="auto"/>
          </w:divBdr>
        </w:div>
        <w:div w:id="1464424488">
          <w:marLeft w:val="0"/>
          <w:marRight w:val="0"/>
          <w:marTop w:val="0"/>
          <w:marBottom w:val="0"/>
          <w:divBdr>
            <w:top w:val="none" w:sz="0" w:space="0" w:color="auto"/>
            <w:left w:val="none" w:sz="0" w:space="0" w:color="auto"/>
            <w:bottom w:val="none" w:sz="0" w:space="0" w:color="auto"/>
            <w:right w:val="none" w:sz="0" w:space="0" w:color="auto"/>
          </w:divBdr>
        </w:div>
        <w:div w:id="734013224">
          <w:marLeft w:val="0"/>
          <w:marRight w:val="0"/>
          <w:marTop w:val="0"/>
          <w:marBottom w:val="0"/>
          <w:divBdr>
            <w:top w:val="none" w:sz="0" w:space="0" w:color="auto"/>
            <w:left w:val="none" w:sz="0" w:space="0" w:color="auto"/>
            <w:bottom w:val="none" w:sz="0" w:space="0" w:color="auto"/>
            <w:right w:val="none" w:sz="0" w:space="0" w:color="auto"/>
          </w:divBdr>
        </w:div>
        <w:div w:id="1086026875">
          <w:marLeft w:val="0"/>
          <w:marRight w:val="0"/>
          <w:marTop w:val="0"/>
          <w:marBottom w:val="0"/>
          <w:divBdr>
            <w:top w:val="none" w:sz="0" w:space="0" w:color="auto"/>
            <w:left w:val="none" w:sz="0" w:space="0" w:color="auto"/>
            <w:bottom w:val="none" w:sz="0" w:space="0" w:color="auto"/>
            <w:right w:val="none" w:sz="0" w:space="0" w:color="auto"/>
          </w:divBdr>
        </w:div>
        <w:div w:id="1293092178">
          <w:marLeft w:val="0"/>
          <w:marRight w:val="0"/>
          <w:marTop w:val="0"/>
          <w:marBottom w:val="0"/>
          <w:divBdr>
            <w:top w:val="none" w:sz="0" w:space="0" w:color="auto"/>
            <w:left w:val="none" w:sz="0" w:space="0" w:color="auto"/>
            <w:bottom w:val="none" w:sz="0" w:space="0" w:color="auto"/>
            <w:right w:val="none" w:sz="0" w:space="0" w:color="auto"/>
          </w:divBdr>
        </w:div>
        <w:div w:id="810901252">
          <w:marLeft w:val="0"/>
          <w:marRight w:val="0"/>
          <w:marTop w:val="0"/>
          <w:marBottom w:val="0"/>
          <w:divBdr>
            <w:top w:val="none" w:sz="0" w:space="0" w:color="auto"/>
            <w:left w:val="none" w:sz="0" w:space="0" w:color="auto"/>
            <w:bottom w:val="none" w:sz="0" w:space="0" w:color="auto"/>
            <w:right w:val="none" w:sz="0" w:space="0" w:color="auto"/>
          </w:divBdr>
        </w:div>
        <w:div w:id="1158107253">
          <w:marLeft w:val="0"/>
          <w:marRight w:val="0"/>
          <w:marTop w:val="0"/>
          <w:marBottom w:val="0"/>
          <w:divBdr>
            <w:top w:val="none" w:sz="0" w:space="0" w:color="auto"/>
            <w:left w:val="none" w:sz="0" w:space="0" w:color="auto"/>
            <w:bottom w:val="none" w:sz="0" w:space="0" w:color="auto"/>
            <w:right w:val="none" w:sz="0" w:space="0" w:color="auto"/>
          </w:divBdr>
        </w:div>
        <w:div w:id="876813219">
          <w:marLeft w:val="0"/>
          <w:marRight w:val="0"/>
          <w:marTop w:val="0"/>
          <w:marBottom w:val="0"/>
          <w:divBdr>
            <w:top w:val="none" w:sz="0" w:space="0" w:color="auto"/>
            <w:left w:val="none" w:sz="0" w:space="0" w:color="auto"/>
            <w:bottom w:val="none" w:sz="0" w:space="0" w:color="auto"/>
            <w:right w:val="none" w:sz="0" w:space="0" w:color="auto"/>
          </w:divBdr>
        </w:div>
        <w:div w:id="1471631685">
          <w:marLeft w:val="0"/>
          <w:marRight w:val="0"/>
          <w:marTop w:val="0"/>
          <w:marBottom w:val="0"/>
          <w:divBdr>
            <w:top w:val="none" w:sz="0" w:space="0" w:color="auto"/>
            <w:left w:val="none" w:sz="0" w:space="0" w:color="auto"/>
            <w:bottom w:val="none" w:sz="0" w:space="0" w:color="auto"/>
            <w:right w:val="none" w:sz="0" w:space="0" w:color="auto"/>
          </w:divBdr>
        </w:div>
        <w:div w:id="1850362448">
          <w:marLeft w:val="0"/>
          <w:marRight w:val="0"/>
          <w:marTop w:val="0"/>
          <w:marBottom w:val="0"/>
          <w:divBdr>
            <w:top w:val="none" w:sz="0" w:space="0" w:color="auto"/>
            <w:left w:val="none" w:sz="0" w:space="0" w:color="auto"/>
            <w:bottom w:val="none" w:sz="0" w:space="0" w:color="auto"/>
            <w:right w:val="none" w:sz="0" w:space="0" w:color="auto"/>
          </w:divBdr>
        </w:div>
        <w:div w:id="174926687">
          <w:marLeft w:val="0"/>
          <w:marRight w:val="0"/>
          <w:marTop w:val="0"/>
          <w:marBottom w:val="0"/>
          <w:divBdr>
            <w:top w:val="none" w:sz="0" w:space="0" w:color="auto"/>
            <w:left w:val="none" w:sz="0" w:space="0" w:color="auto"/>
            <w:bottom w:val="none" w:sz="0" w:space="0" w:color="auto"/>
            <w:right w:val="none" w:sz="0" w:space="0" w:color="auto"/>
          </w:divBdr>
        </w:div>
        <w:div w:id="1663580248">
          <w:marLeft w:val="0"/>
          <w:marRight w:val="0"/>
          <w:marTop w:val="0"/>
          <w:marBottom w:val="0"/>
          <w:divBdr>
            <w:top w:val="none" w:sz="0" w:space="0" w:color="auto"/>
            <w:left w:val="none" w:sz="0" w:space="0" w:color="auto"/>
            <w:bottom w:val="none" w:sz="0" w:space="0" w:color="auto"/>
            <w:right w:val="none" w:sz="0" w:space="0" w:color="auto"/>
          </w:divBdr>
        </w:div>
        <w:div w:id="631713298">
          <w:marLeft w:val="0"/>
          <w:marRight w:val="0"/>
          <w:marTop w:val="0"/>
          <w:marBottom w:val="0"/>
          <w:divBdr>
            <w:top w:val="none" w:sz="0" w:space="0" w:color="auto"/>
            <w:left w:val="none" w:sz="0" w:space="0" w:color="auto"/>
            <w:bottom w:val="none" w:sz="0" w:space="0" w:color="auto"/>
            <w:right w:val="none" w:sz="0" w:space="0" w:color="auto"/>
          </w:divBdr>
        </w:div>
        <w:div w:id="260647475">
          <w:marLeft w:val="0"/>
          <w:marRight w:val="0"/>
          <w:marTop w:val="0"/>
          <w:marBottom w:val="0"/>
          <w:divBdr>
            <w:top w:val="none" w:sz="0" w:space="0" w:color="auto"/>
            <w:left w:val="none" w:sz="0" w:space="0" w:color="auto"/>
            <w:bottom w:val="none" w:sz="0" w:space="0" w:color="auto"/>
            <w:right w:val="none" w:sz="0" w:space="0" w:color="auto"/>
          </w:divBdr>
        </w:div>
        <w:div w:id="1917977805">
          <w:marLeft w:val="0"/>
          <w:marRight w:val="0"/>
          <w:marTop w:val="0"/>
          <w:marBottom w:val="0"/>
          <w:divBdr>
            <w:top w:val="none" w:sz="0" w:space="0" w:color="auto"/>
            <w:left w:val="none" w:sz="0" w:space="0" w:color="auto"/>
            <w:bottom w:val="none" w:sz="0" w:space="0" w:color="auto"/>
            <w:right w:val="none" w:sz="0" w:space="0" w:color="auto"/>
          </w:divBdr>
        </w:div>
        <w:div w:id="989402769">
          <w:marLeft w:val="0"/>
          <w:marRight w:val="0"/>
          <w:marTop w:val="0"/>
          <w:marBottom w:val="0"/>
          <w:divBdr>
            <w:top w:val="none" w:sz="0" w:space="0" w:color="auto"/>
            <w:left w:val="none" w:sz="0" w:space="0" w:color="auto"/>
            <w:bottom w:val="none" w:sz="0" w:space="0" w:color="auto"/>
            <w:right w:val="none" w:sz="0" w:space="0" w:color="auto"/>
          </w:divBdr>
        </w:div>
        <w:div w:id="1152677043">
          <w:marLeft w:val="0"/>
          <w:marRight w:val="0"/>
          <w:marTop w:val="0"/>
          <w:marBottom w:val="0"/>
          <w:divBdr>
            <w:top w:val="none" w:sz="0" w:space="0" w:color="auto"/>
            <w:left w:val="none" w:sz="0" w:space="0" w:color="auto"/>
            <w:bottom w:val="none" w:sz="0" w:space="0" w:color="auto"/>
            <w:right w:val="none" w:sz="0" w:space="0" w:color="auto"/>
          </w:divBdr>
        </w:div>
        <w:div w:id="335233232">
          <w:marLeft w:val="0"/>
          <w:marRight w:val="0"/>
          <w:marTop w:val="0"/>
          <w:marBottom w:val="0"/>
          <w:divBdr>
            <w:top w:val="none" w:sz="0" w:space="0" w:color="auto"/>
            <w:left w:val="none" w:sz="0" w:space="0" w:color="auto"/>
            <w:bottom w:val="none" w:sz="0" w:space="0" w:color="auto"/>
            <w:right w:val="none" w:sz="0" w:space="0" w:color="auto"/>
          </w:divBdr>
        </w:div>
        <w:div w:id="1964146278">
          <w:marLeft w:val="0"/>
          <w:marRight w:val="0"/>
          <w:marTop w:val="0"/>
          <w:marBottom w:val="0"/>
          <w:divBdr>
            <w:top w:val="none" w:sz="0" w:space="0" w:color="auto"/>
            <w:left w:val="none" w:sz="0" w:space="0" w:color="auto"/>
            <w:bottom w:val="none" w:sz="0" w:space="0" w:color="auto"/>
            <w:right w:val="none" w:sz="0" w:space="0" w:color="auto"/>
          </w:divBdr>
        </w:div>
        <w:div w:id="726949388">
          <w:marLeft w:val="0"/>
          <w:marRight w:val="0"/>
          <w:marTop w:val="0"/>
          <w:marBottom w:val="0"/>
          <w:divBdr>
            <w:top w:val="none" w:sz="0" w:space="0" w:color="auto"/>
            <w:left w:val="none" w:sz="0" w:space="0" w:color="auto"/>
            <w:bottom w:val="none" w:sz="0" w:space="0" w:color="auto"/>
            <w:right w:val="none" w:sz="0" w:space="0" w:color="auto"/>
          </w:divBdr>
        </w:div>
        <w:div w:id="559707847">
          <w:marLeft w:val="0"/>
          <w:marRight w:val="0"/>
          <w:marTop w:val="0"/>
          <w:marBottom w:val="0"/>
          <w:divBdr>
            <w:top w:val="none" w:sz="0" w:space="0" w:color="auto"/>
            <w:left w:val="none" w:sz="0" w:space="0" w:color="auto"/>
            <w:bottom w:val="none" w:sz="0" w:space="0" w:color="auto"/>
            <w:right w:val="none" w:sz="0" w:space="0" w:color="auto"/>
          </w:divBdr>
        </w:div>
        <w:div w:id="1824662594">
          <w:marLeft w:val="0"/>
          <w:marRight w:val="0"/>
          <w:marTop w:val="0"/>
          <w:marBottom w:val="0"/>
          <w:divBdr>
            <w:top w:val="none" w:sz="0" w:space="0" w:color="auto"/>
            <w:left w:val="none" w:sz="0" w:space="0" w:color="auto"/>
            <w:bottom w:val="none" w:sz="0" w:space="0" w:color="auto"/>
            <w:right w:val="none" w:sz="0" w:space="0" w:color="auto"/>
          </w:divBdr>
        </w:div>
        <w:div w:id="2100901195">
          <w:marLeft w:val="0"/>
          <w:marRight w:val="0"/>
          <w:marTop w:val="0"/>
          <w:marBottom w:val="0"/>
          <w:divBdr>
            <w:top w:val="none" w:sz="0" w:space="0" w:color="auto"/>
            <w:left w:val="none" w:sz="0" w:space="0" w:color="auto"/>
            <w:bottom w:val="none" w:sz="0" w:space="0" w:color="auto"/>
            <w:right w:val="none" w:sz="0" w:space="0" w:color="auto"/>
          </w:divBdr>
        </w:div>
        <w:div w:id="189531222">
          <w:marLeft w:val="0"/>
          <w:marRight w:val="0"/>
          <w:marTop w:val="0"/>
          <w:marBottom w:val="0"/>
          <w:divBdr>
            <w:top w:val="none" w:sz="0" w:space="0" w:color="auto"/>
            <w:left w:val="none" w:sz="0" w:space="0" w:color="auto"/>
            <w:bottom w:val="none" w:sz="0" w:space="0" w:color="auto"/>
            <w:right w:val="none" w:sz="0" w:space="0" w:color="auto"/>
          </w:divBdr>
        </w:div>
        <w:div w:id="1454010308">
          <w:marLeft w:val="0"/>
          <w:marRight w:val="0"/>
          <w:marTop w:val="0"/>
          <w:marBottom w:val="0"/>
          <w:divBdr>
            <w:top w:val="none" w:sz="0" w:space="0" w:color="auto"/>
            <w:left w:val="none" w:sz="0" w:space="0" w:color="auto"/>
            <w:bottom w:val="none" w:sz="0" w:space="0" w:color="auto"/>
            <w:right w:val="none" w:sz="0" w:space="0" w:color="auto"/>
          </w:divBdr>
        </w:div>
        <w:div w:id="1312099865">
          <w:marLeft w:val="0"/>
          <w:marRight w:val="0"/>
          <w:marTop w:val="0"/>
          <w:marBottom w:val="0"/>
          <w:divBdr>
            <w:top w:val="none" w:sz="0" w:space="0" w:color="auto"/>
            <w:left w:val="none" w:sz="0" w:space="0" w:color="auto"/>
            <w:bottom w:val="none" w:sz="0" w:space="0" w:color="auto"/>
            <w:right w:val="none" w:sz="0" w:space="0" w:color="auto"/>
          </w:divBdr>
        </w:div>
        <w:div w:id="1881241034">
          <w:marLeft w:val="0"/>
          <w:marRight w:val="0"/>
          <w:marTop w:val="0"/>
          <w:marBottom w:val="0"/>
          <w:divBdr>
            <w:top w:val="none" w:sz="0" w:space="0" w:color="auto"/>
            <w:left w:val="none" w:sz="0" w:space="0" w:color="auto"/>
            <w:bottom w:val="none" w:sz="0" w:space="0" w:color="auto"/>
            <w:right w:val="none" w:sz="0" w:space="0" w:color="auto"/>
          </w:divBdr>
        </w:div>
        <w:div w:id="1898857027">
          <w:marLeft w:val="0"/>
          <w:marRight w:val="0"/>
          <w:marTop w:val="0"/>
          <w:marBottom w:val="0"/>
          <w:divBdr>
            <w:top w:val="none" w:sz="0" w:space="0" w:color="auto"/>
            <w:left w:val="none" w:sz="0" w:space="0" w:color="auto"/>
            <w:bottom w:val="none" w:sz="0" w:space="0" w:color="auto"/>
            <w:right w:val="none" w:sz="0" w:space="0" w:color="auto"/>
          </w:divBdr>
        </w:div>
        <w:div w:id="506680071">
          <w:marLeft w:val="0"/>
          <w:marRight w:val="0"/>
          <w:marTop w:val="0"/>
          <w:marBottom w:val="0"/>
          <w:divBdr>
            <w:top w:val="none" w:sz="0" w:space="0" w:color="auto"/>
            <w:left w:val="none" w:sz="0" w:space="0" w:color="auto"/>
            <w:bottom w:val="none" w:sz="0" w:space="0" w:color="auto"/>
            <w:right w:val="none" w:sz="0" w:space="0" w:color="auto"/>
          </w:divBdr>
        </w:div>
        <w:div w:id="1477259323">
          <w:marLeft w:val="0"/>
          <w:marRight w:val="0"/>
          <w:marTop w:val="0"/>
          <w:marBottom w:val="0"/>
          <w:divBdr>
            <w:top w:val="none" w:sz="0" w:space="0" w:color="auto"/>
            <w:left w:val="none" w:sz="0" w:space="0" w:color="auto"/>
            <w:bottom w:val="none" w:sz="0" w:space="0" w:color="auto"/>
            <w:right w:val="none" w:sz="0" w:space="0" w:color="auto"/>
          </w:divBdr>
        </w:div>
        <w:div w:id="1696034665">
          <w:marLeft w:val="0"/>
          <w:marRight w:val="0"/>
          <w:marTop w:val="0"/>
          <w:marBottom w:val="0"/>
          <w:divBdr>
            <w:top w:val="none" w:sz="0" w:space="0" w:color="auto"/>
            <w:left w:val="none" w:sz="0" w:space="0" w:color="auto"/>
            <w:bottom w:val="none" w:sz="0" w:space="0" w:color="auto"/>
            <w:right w:val="none" w:sz="0" w:space="0" w:color="auto"/>
          </w:divBdr>
        </w:div>
        <w:div w:id="655956205">
          <w:marLeft w:val="0"/>
          <w:marRight w:val="0"/>
          <w:marTop w:val="0"/>
          <w:marBottom w:val="0"/>
          <w:divBdr>
            <w:top w:val="none" w:sz="0" w:space="0" w:color="auto"/>
            <w:left w:val="none" w:sz="0" w:space="0" w:color="auto"/>
            <w:bottom w:val="none" w:sz="0" w:space="0" w:color="auto"/>
            <w:right w:val="none" w:sz="0" w:space="0" w:color="auto"/>
          </w:divBdr>
        </w:div>
        <w:div w:id="1421486324">
          <w:marLeft w:val="0"/>
          <w:marRight w:val="0"/>
          <w:marTop w:val="0"/>
          <w:marBottom w:val="0"/>
          <w:divBdr>
            <w:top w:val="none" w:sz="0" w:space="0" w:color="auto"/>
            <w:left w:val="none" w:sz="0" w:space="0" w:color="auto"/>
            <w:bottom w:val="none" w:sz="0" w:space="0" w:color="auto"/>
            <w:right w:val="none" w:sz="0" w:space="0" w:color="auto"/>
          </w:divBdr>
        </w:div>
        <w:div w:id="513571988">
          <w:marLeft w:val="0"/>
          <w:marRight w:val="0"/>
          <w:marTop w:val="0"/>
          <w:marBottom w:val="0"/>
          <w:divBdr>
            <w:top w:val="none" w:sz="0" w:space="0" w:color="auto"/>
            <w:left w:val="none" w:sz="0" w:space="0" w:color="auto"/>
            <w:bottom w:val="none" w:sz="0" w:space="0" w:color="auto"/>
            <w:right w:val="none" w:sz="0" w:space="0" w:color="auto"/>
          </w:divBdr>
        </w:div>
        <w:div w:id="1407724092">
          <w:marLeft w:val="0"/>
          <w:marRight w:val="0"/>
          <w:marTop w:val="0"/>
          <w:marBottom w:val="0"/>
          <w:divBdr>
            <w:top w:val="none" w:sz="0" w:space="0" w:color="auto"/>
            <w:left w:val="none" w:sz="0" w:space="0" w:color="auto"/>
            <w:bottom w:val="none" w:sz="0" w:space="0" w:color="auto"/>
            <w:right w:val="none" w:sz="0" w:space="0" w:color="auto"/>
          </w:divBdr>
        </w:div>
        <w:div w:id="1703945162">
          <w:marLeft w:val="0"/>
          <w:marRight w:val="0"/>
          <w:marTop w:val="0"/>
          <w:marBottom w:val="0"/>
          <w:divBdr>
            <w:top w:val="none" w:sz="0" w:space="0" w:color="auto"/>
            <w:left w:val="none" w:sz="0" w:space="0" w:color="auto"/>
            <w:bottom w:val="none" w:sz="0" w:space="0" w:color="auto"/>
            <w:right w:val="none" w:sz="0" w:space="0" w:color="auto"/>
          </w:divBdr>
        </w:div>
        <w:div w:id="424771213">
          <w:marLeft w:val="0"/>
          <w:marRight w:val="0"/>
          <w:marTop w:val="0"/>
          <w:marBottom w:val="0"/>
          <w:divBdr>
            <w:top w:val="none" w:sz="0" w:space="0" w:color="auto"/>
            <w:left w:val="none" w:sz="0" w:space="0" w:color="auto"/>
            <w:bottom w:val="none" w:sz="0" w:space="0" w:color="auto"/>
            <w:right w:val="none" w:sz="0" w:space="0" w:color="auto"/>
          </w:divBdr>
        </w:div>
        <w:div w:id="276370348">
          <w:marLeft w:val="0"/>
          <w:marRight w:val="0"/>
          <w:marTop w:val="0"/>
          <w:marBottom w:val="0"/>
          <w:divBdr>
            <w:top w:val="none" w:sz="0" w:space="0" w:color="auto"/>
            <w:left w:val="none" w:sz="0" w:space="0" w:color="auto"/>
            <w:bottom w:val="none" w:sz="0" w:space="0" w:color="auto"/>
            <w:right w:val="none" w:sz="0" w:space="0" w:color="auto"/>
          </w:divBdr>
        </w:div>
        <w:div w:id="1020666534">
          <w:marLeft w:val="0"/>
          <w:marRight w:val="0"/>
          <w:marTop w:val="0"/>
          <w:marBottom w:val="0"/>
          <w:divBdr>
            <w:top w:val="none" w:sz="0" w:space="0" w:color="auto"/>
            <w:left w:val="none" w:sz="0" w:space="0" w:color="auto"/>
            <w:bottom w:val="none" w:sz="0" w:space="0" w:color="auto"/>
            <w:right w:val="none" w:sz="0" w:space="0" w:color="auto"/>
          </w:divBdr>
        </w:div>
        <w:div w:id="1567571549">
          <w:marLeft w:val="0"/>
          <w:marRight w:val="0"/>
          <w:marTop w:val="0"/>
          <w:marBottom w:val="0"/>
          <w:divBdr>
            <w:top w:val="none" w:sz="0" w:space="0" w:color="auto"/>
            <w:left w:val="none" w:sz="0" w:space="0" w:color="auto"/>
            <w:bottom w:val="none" w:sz="0" w:space="0" w:color="auto"/>
            <w:right w:val="none" w:sz="0" w:space="0" w:color="auto"/>
          </w:divBdr>
        </w:div>
        <w:div w:id="31852133">
          <w:marLeft w:val="0"/>
          <w:marRight w:val="0"/>
          <w:marTop w:val="0"/>
          <w:marBottom w:val="0"/>
          <w:divBdr>
            <w:top w:val="none" w:sz="0" w:space="0" w:color="auto"/>
            <w:left w:val="none" w:sz="0" w:space="0" w:color="auto"/>
            <w:bottom w:val="none" w:sz="0" w:space="0" w:color="auto"/>
            <w:right w:val="none" w:sz="0" w:space="0" w:color="auto"/>
          </w:divBdr>
        </w:div>
        <w:div w:id="1433472510">
          <w:marLeft w:val="0"/>
          <w:marRight w:val="0"/>
          <w:marTop w:val="0"/>
          <w:marBottom w:val="0"/>
          <w:divBdr>
            <w:top w:val="none" w:sz="0" w:space="0" w:color="auto"/>
            <w:left w:val="none" w:sz="0" w:space="0" w:color="auto"/>
            <w:bottom w:val="none" w:sz="0" w:space="0" w:color="auto"/>
            <w:right w:val="none" w:sz="0" w:space="0" w:color="auto"/>
          </w:divBdr>
        </w:div>
        <w:div w:id="1178083359">
          <w:marLeft w:val="0"/>
          <w:marRight w:val="0"/>
          <w:marTop w:val="0"/>
          <w:marBottom w:val="0"/>
          <w:divBdr>
            <w:top w:val="none" w:sz="0" w:space="0" w:color="auto"/>
            <w:left w:val="none" w:sz="0" w:space="0" w:color="auto"/>
            <w:bottom w:val="none" w:sz="0" w:space="0" w:color="auto"/>
            <w:right w:val="none" w:sz="0" w:space="0" w:color="auto"/>
          </w:divBdr>
        </w:div>
        <w:div w:id="1343317250">
          <w:marLeft w:val="0"/>
          <w:marRight w:val="0"/>
          <w:marTop w:val="0"/>
          <w:marBottom w:val="0"/>
          <w:divBdr>
            <w:top w:val="none" w:sz="0" w:space="0" w:color="auto"/>
            <w:left w:val="none" w:sz="0" w:space="0" w:color="auto"/>
            <w:bottom w:val="none" w:sz="0" w:space="0" w:color="auto"/>
            <w:right w:val="none" w:sz="0" w:space="0" w:color="auto"/>
          </w:divBdr>
        </w:div>
        <w:div w:id="877474463">
          <w:marLeft w:val="0"/>
          <w:marRight w:val="0"/>
          <w:marTop w:val="0"/>
          <w:marBottom w:val="0"/>
          <w:divBdr>
            <w:top w:val="none" w:sz="0" w:space="0" w:color="auto"/>
            <w:left w:val="none" w:sz="0" w:space="0" w:color="auto"/>
            <w:bottom w:val="none" w:sz="0" w:space="0" w:color="auto"/>
            <w:right w:val="none" w:sz="0" w:space="0" w:color="auto"/>
          </w:divBdr>
        </w:div>
        <w:div w:id="337971735">
          <w:marLeft w:val="0"/>
          <w:marRight w:val="0"/>
          <w:marTop w:val="0"/>
          <w:marBottom w:val="0"/>
          <w:divBdr>
            <w:top w:val="none" w:sz="0" w:space="0" w:color="auto"/>
            <w:left w:val="none" w:sz="0" w:space="0" w:color="auto"/>
            <w:bottom w:val="none" w:sz="0" w:space="0" w:color="auto"/>
            <w:right w:val="none" w:sz="0" w:space="0" w:color="auto"/>
          </w:divBdr>
        </w:div>
        <w:div w:id="798958698">
          <w:marLeft w:val="0"/>
          <w:marRight w:val="0"/>
          <w:marTop w:val="0"/>
          <w:marBottom w:val="0"/>
          <w:divBdr>
            <w:top w:val="none" w:sz="0" w:space="0" w:color="auto"/>
            <w:left w:val="none" w:sz="0" w:space="0" w:color="auto"/>
            <w:bottom w:val="none" w:sz="0" w:space="0" w:color="auto"/>
            <w:right w:val="none" w:sz="0" w:space="0" w:color="auto"/>
          </w:divBdr>
        </w:div>
        <w:div w:id="375862454">
          <w:marLeft w:val="0"/>
          <w:marRight w:val="0"/>
          <w:marTop w:val="0"/>
          <w:marBottom w:val="0"/>
          <w:divBdr>
            <w:top w:val="none" w:sz="0" w:space="0" w:color="auto"/>
            <w:left w:val="none" w:sz="0" w:space="0" w:color="auto"/>
            <w:bottom w:val="none" w:sz="0" w:space="0" w:color="auto"/>
            <w:right w:val="none" w:sz="0" w:space="0" w:color="auto"/>
          </w:divBdr>
        </w:div>
        <w:div w:id="1249344894">
          <w:marLeft w:val="0"/>
          <w:marRight w:val="0"/>
          <w:marTop w:val="0"/>
          <w:marBottom w:val="0"/>
          <w:divBdr>
            <w:top w:val="none" w:sz="0" w:space="0" w:color="auto"/>
            <w:left w:val="none" w:sz="0" w:space="0" w:color="auto"/>
            <w:bottom w:val="none" w:sz="0" w:space="0" w:color="auto"/>
            <w:right w:val="none" w:sz="0" w:space="0" w:color="auto"/>
          </w:divBdr>
        </w:div>
        <w:div w:id="23601772">
          <w:marLeft w:val="0"/>
          <w:marRight w:val="0"/>
          <w:marTop w:val="0"/>
          <w:marBottom w:val="0"/>
          <w:divBdr>
            <w:top w:val="none" w:sz="0" w:space="0" w:color="auto"/>
            <w:left w:val="none" w:sz="0" w:space="0" w:color="auto"/>
            <w:bottom w:val="none" w:sz="0" w:space="0" w:color="auto"/>
            <w:right w:val="none" w:sz="0" w:space="0" w:color="auto"/>
          </w:divBdr>
        </w:div>
        <w:div w:id="405307167">
          <w:marLeft w:val="0"/>
          <w:marRight w:val="0"/>
          <w:marTop w:val="0"/>
          <w:marBottom w:val="0"/>
          <w:divBdr>
            <w:top w:val="none" w:sz="0" w:space="0" w:color="auto"/>
            <w:left w:val="none" w:sz="0" w:space="0" w:color="auto"/>
            <w:bottom w:val="none" w:sz="0" w:space="0" w:color="auto"/>
            <w:right w:val="none" w:sz="0" w:space="0" w:color="auto"/>
          </w:divBdr>
        </w:div>
        <w:div w:id="1794443989">
          <w:marLeft w:val="0"/>
          <w:marRight w:val="0"/>
          <w:marTop w:val="0"/>
          <w:marBottom w:val="0"/>
          <w:divBdr>
            <w:top w:val="none" w:sz="0" w:space="0" w:color="auto"/>
            <w:left w:val="none" w:sz="0" w:space="0" w:color="auto"/>
            <w:bottom w:val="none" w:sz="0" w:space="0" w:color="auto"/>
            <w:right w:val="none" w:sz="0" w:space="0" w:color="auto"/>
          </w:divBdr>
        </w:div>
        <w:div w:id="397241318">
          <w:marLeft w:val="0"/>
          <w:marRight w:val="0"/>
          <w:marTop w:val="0"/>
          <w:marBottom w:val="0"/>
          <w:divBdr>
            <w:top w:val="none" w:sz="0" w:space="0" w:color="auto"/>
            <w:left w:val="none" w:sz="0" w:space="0" w:color="auto"/>
            <w:bottom w:val="none" w:sz="0" w:space="0" w:color="auto"/>
            <w:right w:val="none" w:sz="0" w:space="0" w:color="auto"/>
          </w:divBdr>
        </w:div>
        <w:div w:id="1907108268">
          <w:marLeft w:val="0"/>
          <w:marRight w:val="0"/>
          <w:marTop w:val="0"/>
          <w:marBottom w:val="0"/>
          <w:divBdr>
            <w:top w:val="none" w:sz="0" w:space="0" w:color="auto"/>
            <w:left w:val="none" w:sz="0" w:space="0" w:color="auto"/>
            <w:bottom w:val="none" w:sz="0" w:space="0" w:color="auto"/>
            <w:right w:val="none" w:sz="0" w:space="0" w:color="auto"/>
          </w:divBdr>
        </w:div>
        <w:div w:id="771901664">
          <w:marLeft w:val="0"/>
          <w:marRight w:val="0"/>
          <w:marTop w:val="0"/>
          <w:marBottom w:val="0"/>
          <w:divBdr>
            <w:top w:val="none" w:sz="0" w:space="0" w:color="auto"/>
            <w:left w:val="none" w:sz="0" w:space="0" w:color="auto"/>
            <w:bottom w:val="none" w:sz="0" w:space="0" w:color="auto"/>
            <w:right w:val="none" w:sz="0" w:space="0" w:color="auto"/>
          </w:divBdr>
        </w:div>
        <w:div w:id="1383212894">
          <w:marLeft w:val="0"/>
          <w:marRight w:val="0"/>
          <w:marTop w:val="0"/>
          <w:marBottom w:val="0"/>
          <w:divBdr>
            <w:top w:val="none" w:sz="0" w:space="0" w:color="auto"/>
            <w:left w:val="none" w:sz="0" w:space="0" w:color="auto"/>
            <w:bottom w:val="none" w:sz="0" w:space="0" w:color="auto"/>
            <w:right w:val="none" w:sz="0" w:space="0" w:color="auto"/>
          </w:divBdr>
        </w:div>
        <w:div w:id="1657683717">
          <w:marLeft w:val="0"/>
          <w:marRight w:val="0"/>
          <w:marTop w:val="0"/>
          <w:marBottom w:val="0"/>
          <w:divBdr>
            <w:top w:val="none" w:sz="0" w:space="0" w:color="auto"/>
            <w:left w:val="none" w:sz="0" w:space="0" w:color="auto"/>
            <w:bottom w:val="none" w:sz="0" w:space="0" w:color="auto"/>
            <w:right w:val="none" w:sz="0" w:space="0" w:color="auto"/>
          </w:divBdr>
        </w:div>
        <w:div w:id="1207982527">
          <w:marLeft w:val="0"/>
          <w:marRight w:val="0"/>
          <w:marTop w:val="0"/>
          <w:marBottom w:val="0"/>
          <w:divBdr>
            <w:top w:val="none" w:sz="0" w:space="0" w:color="auto"/>
            <w:left w:val="none" w:sz="0" w:space="0" w:color="auto"/>
            <w:bottom w:val="none" w:sz="0" w:space="0" w:color="auto"/>
            <w:right w:val="none" w:sz="0" w:space="0" w:color="auto"/>
          </w:divBdr>
        </w:div>
        <w:div w:id="490603770">
          <w:marLeft w:val="0"/>
          <w:marRight w:val="0"/>
          <w:marTop w:val="0"/>
          <w:marBottom w:val="0"/>
          <w:divBdr>
            <w:top w:val="none" w:sz="0" w:space="0" w:color="auto"/>
            <w:left w:val="none" w:sz="0" w:space="0" w:color="auto"/>
            <w:bottom w:val="none" w:sz="0" w:space="0" w:color="auto"/>
            <w:right w:val="none" w:sz="0" w:space="0" w:color="auto"/>
          </w:divBdr>
        </w:div>
        <w:div w:id="2044793438">
          <w:marLeft w:val="0"/>
          <w:marRight w:val="0"/>
          <w:marTop w:val="0"/>
          <w:marBottom w:val="0"/>
          <w:divBdr>
            <w:top w:val="none" w:sz="0" w:space="0" w:color="auto"/>
            <w:left w:val="none" w:sz="0" w:space="0" w:color="auto"/>
            <w:bottom w:val="none" w:sz="0" w:space="0" w:color="auto"/>
            <w:right w:val="none" w:sz="0" w:space="0" w:color="auto"/>
          </w:divBdr>
        </w:div>
        <w:div w:id="712075872">
          <w:marLeft w:val="0"/>
          <w:marRight w:val="0"/>
          <w:marTop w:val="0"/>
          <w:marBottom w:val="0"/>
          <w:divBdr>
            <w:top w:val="none" w:sz="0" w:space="0" w:color="auto"/>
            <w:left w:val="none" w:sz="0" w:space="0" w:color="auto"/>
            <w:bottom w:val="none" w:sz="0" w:space="0" w:color="auto"/>
            <w:right w:val="none" w:sz="0" w:space="0" w:color="auto"/>
          </w:divBdr>
        </w:div>
        <w:div w:id="12080079">
          <w:marLeft w:val="0"/>
          <w:marRight w:val="0"/>
          <w:marTop w:val="0"/>
          <w:marBottom w:val="0"/>
          <w:divBdr>
            <w:top w:val="none" w:sz="0" w:space="0" w:color="auto"/>
            <w:left w:val="none" w:sz="0" w:space="0" w:color="auto"/>
            <w:bottom w:val="none" w:sz="0" w:space="0" w:color="auto"/>
            <w:right w:val="none" w:sz="0" w:space="0" w:color="auto"/>
          </w:divBdr>
        </w:div>
        <w:div w:id="1536456445">
          <w:marLeft w:val="0"/>
          <w:marRight w:val="0"/>
          <w:marTop w:val="0"/>
          <w:marBottom w:val="0"/>
          <w:divBdr>
            <w:top w:val="none" w:sz="0" w:space="0" w:color="auto"/>
            <w:left w:val="none" w:sz="0" w:space="0" w:color="auto"/>
            <w:bottom w:val="none" w:sz="0" w:space="0" w:color="auto"/>
            <w:right w:val="none" w:sz="0" w:space="0" w:color="auto"/>
          </w:divBdr>
        </w:div>
        <w:div w:id="108402558">
          <w:marLeft w:val="0"/>
          <w:marRight w:val="0"/>
          <w:marTop w:val="0"/>
          <w:marBottom w:val="0"/>
          <w:divBdr>
            <w:top w:val="none" w:sz="0" w:space="0" w:color="auto"/>
            <w:left w:val="none" w:sz="0" w:space="0" w:color="auto"/>
            <w:bottom w:val="none" w:sz="0" w:space="0" w:color="auto"/>
            <w:right w:val="none" w:sz="0" w:space="0" w:color="auto"/>
          </w:divBdr>
        </w:div>
        <w:div w:id="972710678">
          <w:marLeft w:val="0"/>
          <w:marRight w:val="0"/>
          <w:marTop w:val="0"/>
          <w:marBottom w:val="0"/>
          <w:divBdr>
            <w:top w:val="none" w:sz="0" w:space="0" w:color="auto"/>
            <w:left w:val="none" w:sz="0" w:space="0" w:color="auto"/>
            <w:bottom w:val="none" w:sz="0" w:space="0" w:color="auto"/>
            <w:right w:val="none" w:sz="0" w:space="0" w:color="auto"/>
          </w:divBdr>
        </w:div>
        <w:div w:id="1769958888">
          <w:marLeft w:val="0"/>
          <w:marRight w:val="0"/>
          <w:marTop w:val="0"/>
          <w:marBottom w:val="0"/>
          <w:divBdr>
            <w:top w:val="none" w:sz="0" w:space="0" w:color="auto"/>
            <w:left w:val="none" w:sz="0" w:space="0" w:color="auto"/>
            <w:bottom w:val="none" w:sz="0" w:space="0" w:color="auto"/>
            <w:right w:val="none" w:sz="0" w:space="0" w:color="auto"/>
          </w:divBdr>
        </w:div>
        <w:div w:id="304165755">
          <w:marLeft w:val="0"/>
          <w:marRight w:val="0"/>
          <w:marTop w:val="0"/>
          <w:marBottom w:val="0"/>
          <w:divBdr>
            <w:top w:val="none" w:sz="0" w:space="0" w:color="auto"/>
            <w:left w:val="none" w:sz="0" w:space="0" w:color="auto"/>
            <w:bottom w:val="none" w:sz="0" w:space="0" w:color="auto"/>
            <w:right w:val="none" w:sz="0" w:space="0" w:color="auto"/>
          </w:divBdr>
        </w:div>
        <w:div w:id="271210872">
          <w:marLeft w:val="0"/>
          <w:marRight w:val="0"/>
          <w:marTop w:val="0"/>
          <w:marBottom w:val="0"/>
          <w:divBdr>
            <w:top w:val="none" w:sz="0" w:space="0" w:color="auto"/>
            <w:left w:val="none" w:sz="0" w:space="0" w:color="auto"/>
            <w:bottom w:val="none" w:sz="0" w:space="0" w:color="auto"/>
            <w:right w:val="none" w:sz="0" w:space="0" w:color="auto"/>
          </w:divBdr>
        </w:div>
        <w:div w:id="1742406089">
          <w:marLeft w:val="0"/>
          <w:marRight w:val="0"/>
          <w:marTop w:val="0"/>
          <w:marBottom w:val="0"/>
          <w:divBdr>
            <w:top w:val="none" w:sz="0" w:space="0" w:color="auto"/>
            <w:left w:val="none" w:sz="0" w:space="0" w:color="auto"/>
            <w:bottom w:val="none" w:sz="0" w:space="0" w:color="auto"/>
            <w:right w:val="none" w:sz="0" w:space="0" w:color="auto"/>
          </w:divBdr>
        </w:div>
        <w:div w:id="101192029">
          <w:marLeft w:val="0"/>
          <w:marRight w:val="0"/>
          <w:marTop w:val="0"/>
          <w:marBottom w:val="0"/>
          <w:divBdr>
            <w:top w:val="none" w:sz="0" w:space="0" w:color="auto"/>
            <w:left w:val="none" w:sz="0" w:space="0" w:color="auto"/>
            <w:bottom w:val="none" w:sz="0" w:space="0" w:color="auto"/>
            <w:right w:val="none" w:sz="0" w:space="0" w:color="auto"/>
          </w:divBdr>
        </w:div>
        <w:div w:id="818575693">
          <w:marLeft w:val="0"/>
          <w:marRight w:val="0"/>
          <w:marTop w:val="0"/>
          <w:marBottom w:val="0"/>
          <w:divBdr>
            <w:top w:val="none" w:sz="0" w:space="0" w:color="auto"/>
            <w:left w:val="none" w:sz="0" w:space="0" w:color="auto"/>
            <w:bottom w:val="none" w:sz="0" w:space="0" w:color="auto"/>
            <w:right w:val="none" w:sz="0" w:space="0" w:color="auto"/>
          </w:divBdr>
        </w:div>
        <w:div w:id="462389069">
          <w:marLeft w:val="0"/>
          <w:marRight w:val="0"/>
          <w:marTop w:val="0"/>
          <w:marBottom w:val="0"/>
          <w:divBdr>
            <w:top w:val="none" w:sz="0" w:space="0" w:color="auto"/>
            <w:left w:val="none" w:sz="0" w:space="0" w:color="auto"/>
            <w:bottom w:val="none" w:sz="0" w:space="0" w:color="auto"/>
            <w:right w:val="none" w:sz="0" w:space="0" w:color="auto"/>
          </w:divBdr>
        </w:div>
        <w:div w:id="1427656623">
          <w:marLeft w:val="0"/>
          <w:marRight w:val="0"/>
          <w:marTop w:val="0"/>
          <w:marBottom w:val="0"/>
          <w:divBdr>
            <w:top w:val="none" w:sz="0" w:space="0" w:color="auto"/>
            <w:left w:val="none" w:sz="0" w:space="0" w:color="auto"/>
            <w:bottom w:val="none" w:sz="0" w:space="0" w:color="auto"/>
            <w:right w:val="none" w:sz="0" w:space="0" w:color="auto"/>
          </w:divBdr>
        </w:div>
        <w:div w:id="228924569">
          <w:marLeft w:val="0"/>
          <w:marRight w:val="0"/>
          <w:marTop w:val="0"/>
          <w:marBottom w:val="0"/>
          <w:divBdr>
            <w:top w:val="none" w:sz="0" w:space="0" w:color="auto"/>
            <w:left w:val="none" w:sz="0" w:space="0" w:color="auto"/>
            <w:bottom w:val="none" w:sz="0" w:space="0" w:color="auto"/>
            <w:right w:val="none" w:sz="0" w:space="0" w:color="auto"/>
          </w:divBdr>
        </w:div>
        <w:div w:id="446700482">
          <w:marLeft w:val="0"/>
          <w:marRight w:val="0"/>
          <w:marTop w:val="0"/>
          <w:marBottom w:val="0"/>
          <w:divBdr>
            <w:top w:val="none" w:sz="0" w:space="0" w:color="auto"/>
            <w:left w:val="none" w:sz="0" w:space="0" w:color="auto"/>
            <w:bottom w:val="none" w:sz="0" w:space="0" w:color="auto"/>
            <w:right w:val="none" w:sz="0" w:space="0" w:color="auto"/>
          </w:divBdr>
        </w:div>
        <w:div w:id="1599219564">
          <w:marLeft w:val="0"/>
          <w:marRight w:val="0"/>
          <w:marTop w:val="0"/>
          <w:marBottom w:val="0"/>
          <w:divBdr>
            <w:top w:val="none" w:sz="0" w:space="0" w:color="auto"/>
            <w:left w:val="none" w:sz="0" w:space="0" w:color="auto"/>
            <w:bottom w:val="none" w:sz="0" w:space="0" w:color="auto"/>
            <w:right w:val="none" w:sz="0" w:space="0" w:color="auto"/>
          </w:divBdr>
        </w:div>
        <w:div w:id="1738741696">
          <w:marLeft w:val="0"/>
          <w:marRight w:val="0"/>
          <w:marTop w:val="0"/>
          <w:marBottom w:val="0"/>
          <w:divBdr>
            <w:top w:val="none" w:sz="0" w:space="0" w:color="auto"/>
            <w:left w:val="none" w:sz="0" w:space="0" w:color="auto"/>
            <w:bottom w:val="none" w:sz="0" w:space="0" w:color="auto"/>
            <w:right w:val="none" w:sz="0" w:space="0" w:color="auto"/>
          </w:divBdr>
        </w:div>
        <w:div w:id="986520001">
          <w:marLeft w:val="0"/>
          <w:marRight w:val="0"/>
          <w:marTop w:val="0"/>
          <w:marBottom w:val="0"/>
          <w:divBdr>
            <w:top w:val="none" w:sz="0" w:space="0" w:color="auto"/>
            <w:left w:val="none" w:sz="0" w:space="0" w:color="auto"/>
            <w:bottom w:val="none" w:sz="0" w:space="0" w:color="auto"/>
            <w:right w:val="none" w:sz="0" w:space="0" w:color="auto"/>
          </w:divBdr>
        </w:div>
        <w:div w:id="2132631282">
          <w:marLeft w:val="0"/>
          <w:marRight w:val="0"/>
          <w:marTop w:val="0"/>
          <w:marBottom w:val="0"/>
          <w:divBdr>
            <w:top w:val="none" w:sz="0" w:space="0" w:color="auto"/>
            <w:left w:val="none" w:sz="0" w:space="0" w:color="auto"/>
            <w:bottom w:val="none" w:sz="0" w:space="0" w:color="auto"/>
            <w:right w:val="none" w:sz="0" w:space="0" w:color="auto"/>
          </w:divBdr>
        </w:div>
        <w:div w:id="379014254">
          <w:marLeft w:val="0"/>
          <w:marRight w:val="0"/>
          <w:marTop w:val="0"/>
          <w:marBottom w:val="0"/>
          <w:divBdr>
            <w:top w:val="none" w:sz="0" w:space="0" w:color="auto"/>
            <w:left w:val="none" w:sz="0" w:space="0" w:color="auto"/>
            <w:bottom w:val="none" w:sz="0" w:space="0" w:color="auto"/>
            <w:right w:val="none" w:sz="0" w:space="0" w:color="auto"/>
          </w:divBdr>
        </w:div>
        <w:div w:id="1234584297">
          <w:marLeft w:val="0"/>
          <w:marRight w:val="0"/>
          <w:marTop w:val="0"/>
          <w:marBottom w:val="0"/>
          <w:divBdr>
            <w:top w:val="none" w:sz="0" w:space="0" w:color="auto"/>
            <w:left w:val="none" w:sz="0" w:space="0" w:color="auto"/>
            <w:bottom w:val="none" w:sz="0" w:space="0" w:color="auto"/>
            <w:right w:val="none" w:sz="0" w:space="0" w:color="auto"/>
          </w:divBdr>
        </w:div>
        <w:div w:id="329404124">
          <w:marLeft w:val="0"/>
          <w:marRight w:val="0"/>
          <w:marTop w:val="0"/>
          <w:marBottom w:val="0"/>
          <w:divBdr>
            <w:top w:val="none" w:sz="0" w:space="0" w:color="auto"/>
            <w:left w:val="none" w:sz="0" w:space="0" w:color="auto"/>
            <w:bottom w:val="none" w:sz="0" w:space="0" w:color="auto"/>
            <w:right w:val="none" w:sz="0" w:space="0" w:color="auto"/>
          </w:divBdr>
        </w:div>
        <w:div w:id="1674067371">
          <w:marLeft w:val="0"/>
          <w:marRight w:val="0"/>
          <w:marTop w:val="0"/>
          <w:marBottom w:val="0"/>
          <w:divBdr>
            <w:top w:val="none" w:sz="0" w:space="0" w:color="auto"/>
            <w:left w:val="none" w:sz="0" w:space="0" w:color="auto"/>
            <w:bottom w:val="none" w:sz="0" w:space="0" w:color="auto"/>
            <w:right w:val="none" w:sz="0" w:space="0" w:color="auto"/>
          </w:divBdr>
        </w:div>
        <w:div w:id="1627731547">
          <w:marLeft w:val="0"/>
          <w:marRight w:val="0"/>
          <w:marTop w:val="0"/>
          <w:marBottom w:val="0"/>
          <w:divBdr>
            <w:top w:val="none" w:sz="0" w:space="0" w:color="auto"/>
            <w:left w:val="none" w:sz="0" w:space="0" w:color="auto"/>
            <w:bottom w:val="none" w:sz="0" w:space="0" w:color="auto"/>
            <w:right w:val="none" w:sz="0" w:space="0" w:color="auto"/>
          </w:divBdr>
        </w:div>
        <w:div w:id="1300379056">
          <w:marLeft w:val="0"/>
          <w:marRight w:val="0"/>
          <w:marTop w:val="0"/>
          <w:marBottom w:val="0"/>
          <w:divBdr>
            <w:top w:val="none" w:sz="0" w:space="0" w:color="auto"/>
            <w:left w:val="none" w:sz="0" w:space="0" w:color="auto"/>
            <w:bottom w:val="none" w:sz="0" w:space="0" w:color="auto"/>
            <w:right w:val="none" w:sz="0" w:space="0" w:color="auto"/>
          </w:divBdr>
        </w:div>
        <w:div w:id="945427401">
          <w:marLeft w:val="0"/>
          <w:marRight w:val="0"/>
          <w:marTop w:val="0"/>
          <w:marBottom w:val="0"/>
          <w:divBdr>
            <w:top w:val="none" w:sz="0" w:space="0" w:color="auto"/>
            <w:left w:val="none" w:sz="0" w:space="0" w:color="auto"/>
            <w:bottom w:val="none" w:sz="0" w:space="0" w:color="auto"/>
            <w:right w:val="none" w:sz="0" w:space="0" w:color="auto"/>
          </w:divBdr>
        </w:div>
        <w:div w:id="486014999">
          <w:marLeft w:val="0"/>
          <w:marRight w:val="0"/>
          <w:marTop w:val="0"/>
          <w:marBottom w:val="0"/>
          <w:divBdr>
            <w:top w:val="none" w:sz="0" w:space="0" w:color="auto"/>
            <w:left w:val="none" w:sz="0" w:space="0" w:color="auto"/>
            <w:bottom w:val="none" w:sz="0" w:space="0" w:color="auto"/>
            <w:right w:val="none" w:sz="0" w:space="0" w:color="auto"/>
          </w:divBdr>
        </w:div>
        <w:div w:id="215625691">
          <w:marLeft w:val="0"/>
          <w:marRight w:val="0"/>
          <w:marTop w:val="0"/>
          <w:marBottom w:val="0"/>
          <w:divBdr>
            <w:top w:val="none" w:sz="0" w:space="0" w:color="auto"/>
            <w:left w:val="none" w:sz="0" w:space="0" w:color="auto"/>
            <w:bottom w:val="none" w:sz="0" w:space="0" w:color="auto"/>
            <w:right w:val="none" w:sz="0" w:space="0" w:color="auto"/>
          </w:divBdr>
        </w:div>
        <w:div w:id="1878272501">
          <w:marLeft w:val="0"/>
          <w:marRight w:val="0"/>
          <w:marTop w:val="0"/>
          <w:marBottom w:val="0"/>
          <w:divBdr>
            <w:top w:val="none" w:sz="0" w:space="0" w:color="auto"/>
            <w:left w:val="none" w:sz="0" w:space="0" w:color="auto"/>
            <w:bottom w:val="none" w:sz="0" w:space="0" w:color="auto"/>
            <w:right w:val="none" w:sz="0" w:space="0" w:color="auto"/>
          </w:divBdr>
        </w:div>
        <w:div w:id="714083760">
          <w:marLeft w:val="0"/>
          <w:marRight w:val="0"/>
          <w:marTop w:val="0"/>
          <w:marBottom w:val="0"/>
          <w:divBdr>
            <w:top w:val="none" w:sz="0" w:space="0" w:color="auto"/>
            <w:left w:val="none" w:sz="0" w:space="0" w:color="auto"/>
            <w:bottom w:val="none" w:sz="0" w:space="0" w:color="auto"/>
            <w:right w:val="none" w:sz="0" w:space="0" w:color="auto"/>
          </w:divBdr>
        </w:div>
        <w:div w:id="918250078">
          <w:marLeft w:val="0"/>
          <w:marRight w:val="0"/>
          <w:marTop w:val="0"/>
          <w:marBottom w:val="0"/>
          <w:divBdr>
            <w:top w:val="none" w:sz="0" w:space="0" w:color="auto"/>
            <w:left w:val="none" w:sz="0" w:space="0" w:color="auto"/>
            <w:bottom w:val="none" w:sz="0" w:space="0" w:color="auto"/>
            <w:right w:val="none" w:sz="0" w:space="0" w:color="auto"/>
          </w:divBdr>
        </w:div>
        <w:div w:id="1340304845">
          <w:marLeft w:val="0"/>
          <w:marRight w:val="0"/>
          <w:marTop w:val="0"/>
          <w:marBottom w:val="0"/>
          <w:divBdr>
            <w:top w:val="none" w:sz="0" w:space="0" w:color="auto"/>
            <w:left w:val="none" w:sz="0" w:space="0" w:color="auto"/>
            <w:bottom w:val="none" w:sz="0" w:space="0" w:color="auto"/>
            <w:right w:val="none" w:sz="0" w:space="0" w:color="auto"/>
          </w:divBdr>
        </w:div>
        <w:div w:id="117841458">
          <w:marLeft w:val="0"/>
          <w:marRight w:val="0"/>
          <w:marTop w:val="0"/>
          <w:marBottom w:val="0"/>
          <w:divBdr>
            <w:top w:val="none" w:sz="0" w:space="0" w:color="auto"/>
            <w:left w:val="none" w:sz="0" w:space="0" w:color="auto"/>
            <w:bottom w:val="none" w:sz="0" w:space="0" w:color="auto"/>
            <w:right w:val="none" w:sz="0" w:space="0" w:color="auto"/>
          </w:divBdr>
        </w:div>
        <w:div w:id="2071614146">
          <w:marLeft w:val="0"/>
          <w:marRight w:val="0"/>
          <w:marTop w:val="0"/>
          <w:marBottom w:val="0"/>
          <w:divBdr>
            <w:top w:val="none" w:sz="0" w:space="0" w:color="auto"/>
            <w:left w:val="none" w:sz="0" w:space="0" w:color="auto"/>
            <w:bottom w:val="none" w:sz="0" w:space="0" w:color="auto"/>
            <w:right w:val="none" w:sz="0" w:space="0" w:color="auto"/>
          </w:divBdr>
        </w:div>
        <w:div w:id="1920677689">
          <w:marLeft w:val="0"/>
          <w:marRight w:val="0"/>
          <w:marTop w:val="0"/>
          <w:marBottom w:val="0"/>
          <w:divBdr>
            <w:top w:val="none" w:sz="0" w:space="0" w:color="auto"/>
            <w:left w:val="none" w:sz="0" w:space="0" w:color="auto"/>
            <w:bottom w:val="none" w:sz="0" w:space="0" w:color="auto"/>
            <w:right w:val="none" w:sz="0" w:space="0" w:color="auto"/>
          </w:divBdr>
        </w:div>
        <w:div w:id="267977675">
          <w:marLeft w:val="0"/>
          <w:marRight w:val="0"/>
          <w:marTop w:val="0"/>
          <w:marBottom w:val="0"/>
          <w:divBdr>
            <w:top w:val="none" w:sz="0" w:space="0" w:color="auto"/>
            <w:left w:val="none" w:sz="0" w:space="0" w:color="auto"/>
            <w:bottom w:val="none" w:sz="0" w:space="0" w:color="auto"/>
            <w:right w:val="none" w:sz="0" w:space="0" w:color="auto"/>
          </w:divBdr>
        </w:div>
        <w:div w:id="41251913">
          <w:marLeft w:val="0"/>
          <w:marRight w:val="0"/>
          <w:marTop w:val="0"/>
          <w:marBottom w:val="0"/>
          <w:divBdr>
            <w:top w:val="none" w:sz="0" w:space="0" w:color="auto"/>
            <w:left w:val="none" w:sz="0" w:space="0" w:color="auto"/>
            <w:bottom w:val="none" w:sz="0" w:space="0" w:color="auto"/>
            <w:right w:val="none" w:sz="0" w:space="0" w:color="auto"/>
          </w:divBdr>
        </w:div>
        <w:div w:id="1011370033">
          <w:marLeft w:val="0"/>
          <w:marRight w:val="0"/>
          <w:marTop w:val="0"/>
          <w:marBottom w:val="0"/>
          <w:divBdr>
            <w:top w:val="none" w:sz="0" w:space="0" w:color="auto"/>
            <w:left w:val="none" w:sz="0" w:space="0" w:color="auto"/>
            <w:bottom w:val="none" w:sz="0" w:space="0" w:color="auto"/>
            <w:right w:val="none" w:sz="0" w:space="0" w:color="auto"/>
          </w:divBdr>
        </w:div>
        <w:div w:id="791510362">
          <w:marLeft w:val="0"/>
          <w:marRight w:val="0"/>
          <w:marTop w:val="0"/>
          <w:marBottom w:val="0"/>
          <w:divBdr>
            <w:top w:val="none" w:sz="0" w:space="0" w:color="auto"/>
            <w:left w:val="none" w:sz="0" w:space="0" w:color="auto"/>
            <w:bottom w:val="none" w:sz="0" w:space="0" w:color="auto"/>
            <w:right w:val="none" w:sz="0" w:space="0" w:color="auto"/>
          </w:divBdr>
        </w:div>
        <w:div w:id="412437611">
          <w:marLeft w:val="0"/>
          <w:marRight w:val="0"/>
          <w:marTop w:val="0"/>
          <w:marBottom w:val="0"/>
          <w:divBdr>
            <w:top w:val="none" w:sz="0" w:space="0" w:color="auto"/>
            <w:left w:val="none" w:sz="0" w:space="0" w:color="auto"/>
            <w:bottom w:val="none" w:sz="0" w:space="0" w:color="auto"/>
            <w:right w:val="none" w:sz="0" w:space="0" w:color="auto"/>
          </w:divBdr>
        </w:div>
        <w:div w:id="936641502">
          <w:marLeft w:val="0"/>
          <w:marRight w:val="0"/>
          <w:marTop w:val="0"/>
          <w:marBottom w:val="0"/>
          <w:divBdr>
            <w:top w:val="none" w:sz="0" w:space="0" w:color="auto"/>
            <w:left w:val="none" w:sz="0" w:space="0" w:color="auto"/>
            <w:bottom w:val="none" w:sz="0" w:space="0" w:color="auto"/>
            <w:right w:val="none" w:sz="0" w:space="0" w:color="auto"/>
          </w:divBdr>
        </w:div>
        <w:div w:id="1775511652">
          <w:marLeft w:val="0"/>
          <w:marRight w:val="0"/>
          <w:marTop w:val="0"/>
          <w:marBottom w:val="0"/>
          <w:divBdr>
            <w:top w:val="none" w:sz="0" w:space="0" w:color="auto"/>
            <w:left w:val="none" w:sz="0" w:space="0" w:color="auto"/>
            <w:bottom w:val="none" w:sz="0" w:space="0" w:color="auto"/>
            <w:right w:val="none" w:sz="0" w:space="0" w:color="auto"/>
          </w:divBdr>
        </w:div>
        <w:div w:id="238907490">
          <w:marLeft w:val="0"/>
          <w:marRight w:val="0"/>
          <w:marTop w:val="0"/>
          <w:marBottom w:val="0"/>
          <w:divBdr>
            <w:top w:val="none" w:sz="0" w:space="0" w:color="auto"/>
            <w:left w:val="none" w:sz="0" w:space="0" w:color="auto"/>
            <w:bottom w:val="none" w:sz="0" w:space="0" w:color="auto"/>
            <w:right w:val="none" w:sz="0" w:space="0" w:color="auto"/>
          </w:divBdr>
        </w:div>
        <w:div w:id="27919849">
          <w:marLeft w:val="0"/>
          <w:marRight w:val="0"/>
          <w:marTop w:val="0"/>
          <w:marBottom w:val="0"/>
          <w:divBdr>
            <w:top w:val="none" w:sz="0" w:space="0" w:color="auto"/>
            <w:left w:val="none" w:sz="0" w:space="0" w:color="auto"/>
            <w:bottom w:val="none" w:sz="0" w:space="0" w:color="auto"/>
            <w:right w:val="none" w:sz="0" w:space="0" w:color="auto"/>
          </w:divBdr>
        </w:div>
        <w:div w:id="1082483165">
          <w:marLeft w:val="0"/>
          <w:marRight w:val="0"/>
          <w:marTop w:val="0"/>
          <w:marBottom w:val="0"/>
          <w:divBdr>
            <w:top w:val="none" w:sz="0" w:space="0" w:color="auto"/>
            <w:left w:val="none" w:sz="0" w:space="0" w:color="auto"/>
            <w:bottom w:val="none" w:sz="0" w:space="0" w:color="auto"/>
            <w:right w:val="none" w:sz="0" w:space="0" w:color="auto"/>
          </w:divBdr>
        </w:div>
        <w:div w:id="1955864391">
          <w:marLeft w:val="0"/>
          <w:marRight w:val="0"/>
          <w:marTop w:val="0"/>
          <w:marBottom w:val="0"/>
          <w:divBdr>
            <w:top w:val="none" w:sz="0" w:space="0" w:color="auto"/>
            <w:left w:val="none" w:sz="0" w:space="0" w:color="auto"/>
            <w:bottom w:val="none" w:sz="0" w:space="0" w:color="auto"/>
            <w:right w:val="none" w:sz="0" w:space="0" w:color="auto"/>
          </w:divBdr>
        </w:div>
        <w:div w:id="1888906039">
          <w:marLeft w:val="0"/>
          <w:marRight w:val="0"/>
          <w:marTop w:val="0"/>
          <w:marBottom w:val="0"/>
          <w:divBdr>
            <w:top w:val="none" w:sz="0" w:space="0" w:color="auto"/>
            <w:left w:val="none" w:sz="0" w:space="0" w:color="auto"/>
            <w:bottom w:val="none" w:sz="0" w:space="0" w:color="auto"/>
            <w:right w:val="none" w:sz="0" w:space="0" w:color="auto"/>
          </w:divBdr>
        </w:div>
        <w:div w:id="853374316">
          <w:marLeft w:val="0"/>
          <w:marRight w:val="0"/>
          <w:marTop w:val="0"/>
          <w:marBottom w:val="0"/>
          <w:divBdr>
            <w:top w:val="none" w:sz="0" w:space="0" w:color="auto"/>
            <w:left w:val="none" w:sz="0" w:space="0" w:color="auto"/>
            <w:bottom w:val="none" w:sz="0" w:space="0" w:color="auto"/>
            <w:right w:val="none" w:sz="0" w:space="0" w:color="auto"/>
          </w:divBdr>
        </w:div>
        <w:div w:id="1611352605">
          <w:marLeft w:val="0"/>
          <w:marRight w:val="0"/>
          <w:marTop w:val="0"/>
          <w:marBottom w:val="0"/>
          <w:divBdr>
            <w:top w:val="none" w:sz="0" w:space="0" w:color="auto"/>
            <w:left w:val="none" w:sz="0" w:space="0" w:color="auto"/>
            <w:bottom w:val="none" w:sz="0" w:space="0" w:color="auto"/>
            <w:right w:val="none" w:sz="0" w:space="0" w:color="auto"/>
          </w:divBdr>
        </w:div>
        <w:div w:id="1565293692">
          <w:marLeft w:val="0"/>
          <w:marRight w:val="0"/>
          <w:marTop w:val="0"/>
          <w:marBottom w:val="0"/>
          <w:divBdr>
            <w:top w:val="none" w:sz="0" w:space="0" w:color="auto"/>
            <w:left w:val="none" w:sz="0" w:space="0" w:color="auto"/>
            <w:bottom w:val="none" w:sz="0" w:space="0" w:color="auto"/>
            <w:right w:val="none" w:sz="0" w:space="0" w:color="auto"/>
          </w:divBdr>
        </w:div>
        <w:div w:id="1166896146">
          <w:marLeft w:val="0"/>
          <w:marRight w:val="0"/>
          <w:marTop w:val="0"/>
          <w:marBottom w:val="0"/>
          <w:divBdr>
            <w:top w:val="none" w:sz="0" w:space="0" w:color="auto"/>
            <w:left w:val="none" w:sz="0" w:space="0" w:color="auto"/>
            <w:bottom w:val="none" w:sz="0" w:space="0" w:color="auto"/>
            <w:right w:val="none" w:sz="0" w:space="0" w:color="auto"/>
          </w:divBdr>
        </w:div>
        <w:div w:id="285504998">
          <w:marLeft w:val="0"/>
          <w:marRight w:val="0"/>
          <w:marTop w:val="0"/>
          <w:marBottom w:val="0"/>
          <w:divBdr>
            <w:top w:val="none" w:sz="0" w:space="0" w:color="auto"/>
            <w:left w:val="none" w:sz="0" w:space="0" w:color="auto"/>
            <w:bottom w:val="none" w:sz="0" w:space="0" w:color="auto"/>
            <w:right w:val="none" w:sz="0" w:space="0" w:color="auto"/>
          </w:divBdr>
        </w:div>
        <w:div w:id="459688388">
          <w:marLeft w:val="0"/>
          <w:marRight w:val="0"/>
          <w:marTop w:val="0"/>
          <w:marBottom w:val="0"/>
          <w:divBdr>
            <w:top w:val="none" w:sz="0" w:space="0" w:color="auto"/>
            <w:left w:val="none" w:sz="0" w:space="0" w:color="auto"/>
            <w:bottom w:val="none" w:sz="0" w:space="0" w:color="auto"/>
            <w:right w:val="none" w:sz="0" w:space="0" w:color="auto"/>
          </w:divBdr>
        </w:div>
        <w:div w:id="1882474360">
          <w:marLeft w:val="0"/>
          <w:marRight w:val="0"/>
          <w:marTop w:val="0"/>
          <w:marBottom w:val="0"/>
          <w:divBdr>
            <w:top w:val="none" w:sz="0" w:space="0" w:color="auto"/>
            <w:left w:val="none" w:sz="0" w:space="0" w:color="auto"/>
            <w:bottom w:val="none" w:sz="0" w:space="0" w:color="auto"/>
            <w:right w:val="none" w:sz="0" w:space="0" w:color="auto"/>
          </w:divBdr>
        </w:div>
        <w:div w:id="1489862639">
          <w:marLeft w:val="0"/>
          <w:marRight w:val="0"/>
          <w:marTop w:val="0"/>
          <w:marBottom w:val="0"/>
          <w:divBdr>
            <w:top w:val="none" w:sz="0" w:space="0" w:color="auto"/>
            <w:left w:val="none" w:sz="0" w:space="0" w:color="auto"/>
            <w:bottom w:val="none" w:sz="0" w:space="0" w:color="auto"/>
            <w:right w:val="none" w:sz="0" w:space="0" w:color="auto"/>
          </w:divBdr>
        </w:div>
        <w:div w:id="673150285">
          <w:marLeft w:val="0"/>
          <w:marRight w:val="0"/>
          <w:marTop w:val="0"/>
          <w:marBottom w:val="0"/>
          <w:divBdr>
            <w:top w:val="none" w:sz="0" w:space="0" w:color="auto"/>
            <w:left w:val="none" w:sz="0" w:space="0" w:color="auto"/>
            <w:bottom w:val="none" w:sz="0" w:space="0" w:color="auto"/>
            <w:right w:val="none" w:sz="0" w:space="0" w:color="auto"/>
          </w:divBdr>
        </w:div>
        <w:div w:id="625963121">
          <w:marLeft w:val="0"/>
          <w:marRight w:val="0"/>
          <w:marTop w:val="0"/>
          <w:marBottom w:val="0"/>
          <w:divBdr>
            <w:top w:val="none" w:sz="0" w:space="0" w:color="auto"/>
            <w:left w:val="none" w:sz="0" w:space="0" w:color="auto"/>
            <w:bottom w:val="none" w:sz="0" w:space="0" w:color="auto"/>
            <w:right w:val="none" w:sz="0" w:space="0" w:color="auto"/>
          </w:divBdr>
        </w:div>
        <w:div w:id="1283030119">
          <w:marLeft w:val="0"/>
          <w:marRight w:val="0"/>
          <w:marTop w:val="0"/>
          <w:marBottom w:val="0"/>
          <w:divBdr>
            <w:top w:val="none" w:sz="0" w:space="0" w:color="auto"/>
            <w:left w:val="none" w:sz="0" w:space="0" w:color="auto"/>
            <w:bottom w:val="none" w:sz="0" w:space="0" w:color="auto"/>
            <w:right w:val="none" w:sz="0" w:space="0" w:color="auto"/>
          </w:divBdr>
        </w:div>
        <w:div w:id="402338297">
          <w:marLeft w:val="0"/>
          <w:marRight w:val="0"/>
          <w:marTop w:val="0"/>
          <w:marBottom w:val="0"/>
          <w:divBdr>
            <w:top w:val="none" w:sz="0" w:space="0" w:color="auto"/>
            <w:left w:val="none" w:sz="0" w:space="0" w:color="auto"/>
            <w:bottom w:val="none" w:sz="0" w:space="0" w:color="auto"/>
            <w:right w:val="none" w:sz="0" w:space="0" w:color="auto"/>
          </w:divBdr>
        </w:div>
        <w:div w:id="558520121">
          <w:marLeft w:val="0"/>
          <w:marRight w:val="0"/>
          <w:marTop w:val="0"/>
          <w:marBottom w:val="0"/>
          <w:divBdr>
            <w:top w:val="none" w:sz="0" w:space="0" w:color="auto"/>
            <w:left w:val="none" w:sz="0" w:space="0" w:color="auto"/>
            <w:bottom w:val="none" w:sz="0" w:space="0" w:color="auto"/>
            <w:right w:val="none" w:sz="0" w:space="0" w:color="auto"/>
          </w:divBdr>
        </w:div>
        <w:div w:id="1080904695">
          <w:marLeft w:val="0"/>
          <w:marRight w:val="0"/>
          <w:marTop w:val="0"/>
          <w:marBottom w:val="0"/>
          <w:divBdr>
            <w:top w:val="none" w:sz="0" w:space="0" w:color="auto"/>
            <w:left w:val="none" w:sz="0" w:space="0" w:color="auto"/>
            <w:bottom w:val="none" w:sz="0" w:space="0" w:color="auto"/>
            <w:right w:val="none" w:sz="0" w:space="0" w:color="auto"/>
          </w:divBdr>
        </w:div>
        <w:div w:id="1392191282">
          <w:marLeft w:val="0"/>
          <w:marRight w:val="0"/>
          <w:marTop w:val="0"/>
          <w:marBottom w:val="0"/>
          <w:divBdr>
            <w:top w:val="none" w:sz="0" w:space="0" w:color="auto"/>
            <w:left w:val="none" w:sz="0" w:space="0" w:color="auto"/>
            <w:bottom w:val="none" w:sz="0" w:space="0" w:color="auto"/>
            <w:right w:val="none" w:sz="0" w:space="0" w:color="auto"/>
          </w:divBdr>
        </w:div>
        <w:div w:id="952638470">
          <w:marLeft w:val="0"/>
          <w:marRight w:val="0"/>
          <w:marTop w:val="0"/>
          <w:marBottom w:val="0"/>
          <w:divBdr>
            <w:top w:val="none" w:sz="0" w:space="0" w:color="auto"/>
            <w:left w:val="none" w:sz="0" w:space="0" w:color="auto"/>
            <w:bottom w:val="none" w:sz="0" w:space="0" w:color="auto"/>
            <w:right w:val="none" w:sz="0" w:space="0" w:color="auto"/>
          </w:divBdr>
        </w:div>
        <w:div w:id="470754602">
          <w:marLeft w:val="0"/>
          <w:marRight w:val="0"/>
          <w:marTop w:val="0"/>
          <w:marBottom w:val="0"/>
          <w:divBdr>
            <w:top w:val="none" w:sz="0" w:space="0" w:color="auto"/>
            <w:left w:val="none" w:sz="0" w:space="0" w:color="auto"/>
            <w:bottom w:val="none" w:sz="0" w:space="0" w:color="auto"/>
            <w:right w:val="none" w:sz="0" w:space="0" w:color="auto"/>
          </w:divBdr>
        </w:div>
        <w:div w:id="1196849648">
          <w:marLeft w:val="0"/>
          <w:marRight w:val="0"/>
          <w:marTop w:val="0"/>
          <w:marBottom w:val="0"/>
          <w:divBdr>
            <w:top w:val="none" w:sz="0" w:space="0" w:color="auto"/>
            <w:left w:val="none" w:sz="0" w:space="0" w:color="auto"/>
            <w:bottom w:val="none" w:sz="0" w:space="0" w:color="auto"/>
            <w:right w:val="none" w:sz="0" w:space="0" w:color="auto"/>
          </w:divBdr>
        </w:div>
        <w:div w:id="535966341">
          <w:marLeft w:val="0"/>
          <w:marRight w:val="0"/>
          <w:marTop w:val="0"/>
          <w:marBottom w:val="0"/>
          <w:divBdr>
            <w:top w:val="none" w:sz="0" w:space="0" w:color="auto"/>
            <w:left w:val="none" w:sz="0" w:space="0" w:color="auto"/>
            <w:bottom w:val="none" w:sz="0" w:space="0" w:color="auto"/>
            <w:right w:val="none" w:sz="0" w:space="0" w:color="auto"/>
          </w:divBdr>
        </w:div>
        <w:div w:id="1069421901">
          <w:marLeft w:val="0"/>
          <w:marRight w:val="0"/>
          <w:marTop w:val="0"/>
          <w:marBottom w:val="0"/>
          <w:divBdr>
            <w:top w:val="none" w:sz="0" w:space="0" w:color="auto"/>
            <w:left w:val="none" w:sz="0" w:space="0" w:color="auto"/>
            <w:bottom w:val="none" w:sz="0" w:space="0" w:color="auto"/>
            <w:right w:val="none" w:sz="0" w:space="0" w:color="auto"/>
          </w:divBdr>
        </w:div>
        <w:div w:id="804589414">
          <w:marLeft w:val="0"/>
          <w:marRight w:val="0"/>
          <w:marTop w:val="0"/>
          <w:marBottom w:val="0"/>
          <w:divBdr>
            <w:top w:val="none" w:sz="0" w:space="0" w:color="auto"/>
            <w:left w:val="none" w:sz="0" w:space="0" w:color="auto"/>
            <w:bottom w:val="none" w:sz="0" w:space="0" w:color="auto"/>
            <w:right w:val="none" w:sz="0" w:space="0" w:color="auto"/>
          </w:divBdr>
        </w:div>
        <w:div w:id="1287813882">
          <w:marLeft w:val="0"/>
          <w:marRight w:val="0"/>
          <w:marTop w:val="0"/>
          <w:marBottom w:val="0"/>
          <w:divBdr>
            <w:top w:val="none" w:sz="0" w:space="0" w:color="auto"/>
            <w:left w:val="none" w:sz="0" w:space="0" w:color="auto"/>
            <w:bottom w:val="none" w:sz="0" w:space="0" w:color="auto"/>
            <w:right w:val="none" w:sz="0" w:space="0" w:color="auto"/>
          </w:divBdr>
        </w:div>
        <w:div w:id="1787893871">
          <w:marLeft w:val="0"/>
          <w:marRight w:val="0"/>
          <w:marTop w:val="0"/>
          <w:marBottom w:val="0"/>
          <w:divBdr>
            <w:top w:val="none" w:sz="0" w:space="0" w:color="auto"/>
            <w:left w:val="none" w:sz="0" w:space="0" w:color="auto"/>
            <w:bottom w:val="none" w:sz="0" w:space="0" w:color="auto"/>
            <w:right w:val="none" w:sz="0" w:space="0" w:color="auto"/>
          </w:divBdr>
        </w:div>
        <w:div w:id="1789395701">
          <w:marLeft w:val="0"/>
          <w:marRight w:val="0"/>
          <w:marTop w:val="0"/>
          <w:marBottom w:val="0"/>
          <w:divBdr>
            <w:top w:val="none" w:sz="0" w:space="0" w:color="auto"/>
            <w:left w:val="none" w:sz="0" w:space="0" w:color="auto"/>
            <w:bottom w:val="none" w:sz="0" w:space="0" w:color="auto"/>
            <w:right w:val="none" w:sz="0" w:space="0" w:color="auto"/>
          </w:divBdr>
        </w:div>
        <w:div w:id="1905722576">
          <w:marLeft w:val="0"/>
          <w:marRight w:val="0"/>
          <w:marTop w:val="0"/>
          <w:marBottom w:val="0"/>
          <w:divBdr>
            <w:top w:val="none" w:sz="0" w:space="0" w:color="auto"/>
            <w:left w:val="none" w:sz="0" w:space="0" w:color="auto"/>
            <w:bottom w:val="none" w:sz="0" w:space="0" w:color="auto"/>
            <w:right w:val="none" w:sz="0" w:space="0" w:color="auto"/>
          </w:divBdr>
        </w:div>
        <w:div w:id="604268879">
          <w:marLeft w:val="0"/>
          <w:marRight w:val="0"/>
          <w:marTop w:val="0"/>
          <w:marBottom w:val="0"/>
          <w:divBdr>
            <w:top w:val="none" w:sz="0" w:space="0" w:color="auto"/>
            <w:left w:val="none" w:sz="0" w:space="0" w:color="auto"/>
            <w:bottom w:val="none" w:sz="0" w:space="0" w:color="auto"/>
            <w:right w:val="none" w:sz="0" w:space="0" w:color="auto"/>
          </w:divBdr>
        </w:div>
        <w:div w:id="555287002">
          <w:marLeft w:val="0"/>
          <w:marRight w:val="0"/>
          <w:marTop w:val="0"/>
          <w:marBottom w:val="0"/>
          <w:divBdr>
            <w:top w:val="none" w:sz="0" w:space="0" w:color="auto"/>
            <w:left w:val="none" w:sz="0" w:space="0" w:color="auto"/>
            <w:bottom w:val="none" w:sz="0" w:space="0" w:color="auto"/>
            <w:right w:val="none" w:sz="0" w:space="0" w:color="auto"/>
          </w:divBdr>
        </w:div>
        <w:div w:id="288437642">
          <w:marLeft w:val="0"/>
          <w:marRight w:val="0"/>
          <w:marTop w:val="0"/>
          <w:marBottom w:val="0"/>
          <w:divBdr>
            <w:top w:val="none" w:sz="0" w:space="0" w:color="auto"/>
            <w:left w:val="none" w:sz="0" w:space="0" w:color="auto"/>
            <w:bottom w:val="none" w:sz="0" w:space="0" w:color="auto"/>
            <w:right w:val="none" w:sz="0" w:space="0" w:color="auto"/>
          </w:divBdr>
        </w:div>
        <w:div w:id="130635444">
          <w:marLeft w:val="0"/>
          <w:marRight w:val="0"/>
          <w:marTop w:val="0"/>
          <w:marBottom w:val="0"/>
          <w:divBdr>
            <w:top w:val="none" w:sz="0" w:space="0" w:color="auto"/>
            <w:left w:val="none" w:sz="0" w:space="0" w:color="auto"/>
            <w:bottom w:val="none" w:sz="0" w:space="0" w:color="auto"/>
            <w:right w:val="none" w:sz="0" w:space="0" w:color="auto"/>
          </w:divBdr>
        </w:div>
        <w:div w:id="1193690870">
          <w:marLeft w:val="0"/>
          <w:marRight w:val="0"/>
          <w:marTop w:val="0"/>
          <w:marBottom w:val="0"/>
          <w:divBdr>
            <w:top w:val="none" w:sz="0" w:space="0" w:color="auto"/>
            <w:left w:val="none" w:sz="0" w:space="0" w:color="auto"/>
            <w:bottom w:val="none" w:sz="0" w:space="0" w:color="auto"/>
            <w:right w:val="none" w:sz="0" w:space="0" w:color="auto"/>
          </w:divBdr>
        </w:div>
        <w:div w:id="1860465576">
          <w:marLeft w:val="0"/>
          <w:marRight w:val="0"/>
          <w:marTop w:val="0"/>
          <w:marBottom w:val="0"/>
          <w:divBdr>
            <w:top w:val="none" w:sz="0" w:space="0" w:color="auto"/>
            <w:left w:val="none" w:sz="0" w:space="0" w:color="auto"/>
            <w:bottom w:val="none" w:sz="0" w:space="0" w:color="auto"/>
            <w:right w:val="none" w:sz="0" w:space="0" w:color="auto"/>
          </w:divBdr>
        </w:div>
        <w:div w:id="281693975">
          <w:marLeft w:val="0"/>
          <w:marRight w:val="0"/>
          <w:marTop w:val="0"/>
          <w:marBottom w:val="0"/>
          <w:divBdr>
            <w:top w:val="none" w:sz="0" w:space="0" w:color="auto"/>
            <w:left w:val="none" w:sz="0" w:space="0" w:color="auto"/>
            <w:bottom w:val="none" w:sz="0" w:space="0" w:color="auto"/>
            <w:right w:val="none" w:sz="0" w:space="0" w:color="auto"/>
          </w:divBdr>
        </w:div>
        <w:div w:id="1224607666">
          <w:marLeft w:val="0"/>
          <w:marRight w:val="0"/>
          <w:marTop w:val="0"/>
          <w:marBottom w:val="0"/>
          <w:divBdr>
            <w:top w:val="none" w:sz="0" w:space="0" w:color="auto"/>
            <w:left w:val="none" w:sz="0" w:space="0" w:color="auto"/>
            <w:bottom w:val="none" w:sz="0" w:space="0" w:color="auto"/>
            <w:right w:val="none" w:sz="0" w:space="0" w:color="auto"/>
          </w:divBdr>
        </w:div>
        <w:div w:id="1319455904">
          <w:marLeft w:val="0"/>
          <w:marRight w:val="0"/>
          <w:marTop w:val="0"/>
          <w:marBottom w:val="0"/>
          <w:divBdr>
            <w:top w:val="none" w:sz="0" w:space="0" w:color="auto"/>
            <w:left w:val="none" w:sz="0" w:space="0" w:color="auto"/>
            <w:bottom w:val="none" w:sz="0" w:space="0" w:color="auto"/>
            <w:right w:val="none" w:sz="0" w:space="0" w:color="auto"/>
          </w:divBdr>
        </w:div>
        <w:div w:id="639574796">
          <w:marLeft w:val="0"/>
          <w:marRight w:val="0"/>
          <w:marTop w:val="0"/>
          <w:marBottom w:val="0"/>
          <w:divBdr>
            <w:top w:val="none" w:sz="0" w:space="0" w:color="auto"/>
            <w:left w:val="none" w:sz="0" w:space="0" w:color="auto"/>
            <w:bottom w:val="none" w:sz="0" w:space="0" w:color="auto"/>
            <w:right w:val="none" w:sz="0" w:space="0" w:color="auto"/>
          </w:divBdr>
        </w:div>
        <w:div w:id="588542146">
          <w:marLeft w:val="0"/>
          <w:marRight w:val="0"/>
          <w:marTop w:val="0"/>
          <w:marBottom w:val="0"/>
          <w:divBdr>
            <w:top w:val="none" w:sz="0" w:space="0" w:color="auto"/>
            <w:left w:val="none" w:sz="0" w:space="0" w:color="auto"/>
            <w:bottom w:val="none" w:sz="0" w:space="0" w:color="auto"/>
            <w:right w:val="none" w:sz="0" w:space="0" w:color="auto"/>
          </w:divBdr>
        </w:div>
        <w:div w:id="1735662880">
          <w:marLeft w:val="0"/>
          <w:marRight w:val="0"/>
          <w:marTop w:val="0"/>
          <w:marBottom w:val="0"/>
          <w:divBdr>
            <w:top w:val="none" w:sz="0" w:space="0" w:color="auto"/>
            <w:left w:val="none" w:sz="0" w:space="0" w:color="auto"/>
            <w:bottom w:val="none" w:sz="0" w:space="0" w:color="auto"/>
            <w:right w:val="none" w:sz="0" w:space="0" w:color="auto"/>
          </w:divBdr>
        </w:div>
        <w:div w:id="1778481491">
          <w:marLeft w:val="0"/>
          <w:marRight w:val="0"/>
          <w:marTop w:val="0"/>
          <w:marBottom w:val="0"/>
          <w:divBdr>
            <w:top w:val="none" w:sz="0" w:space="0" w:color="auto"/>
            <w:left w:val="none" w:sz="0" w:space="0" w:color="auto"/>
            <w:bottom w:val="none" w:sz="0" w:space="0" w:color="auto"/>
            <w:right w:val="none" w:sz="0" w:space="0" w:color="auto"/>
          </w:divBdr>
        </w:div>
        <w:div w:id="297880482">
          <w:marLeft w:val="0"/>
          <w:marRight w:val="0"/>
          <w:marTop w:val="0"/>
          <w:marBottom w:val="0"/>
          <w:divBdr>
            <w:top w:val="none" w:sz="0" w:space="0" w:color="auto"/>
            <w:left w:val="none" w:sz="0" w:space="0" w:color="auto"/>
            <w:bottom w:val="none" w:sz="0" w:space="0" w:color="auto"/>
            <w:right w:val="none" w:sz="0" w:space="0" w:color="auto"/>
          </w:divBdr>
        </w:div>
        <w:div w:id="896282159">
          <w:marLeft w:val="0"/>
          <w:marRight w:val="0"/>
          <w:marTop w:val="0"/>
          <w:marBottom w:val="0"/>
          <w:divBdr>
            <w:top w:val="none" w:sz="0" w:space="0" w:color="auto"/>
            <w:left w:val="none" w:sz="0" w:space="0" w:color="auto"/>
            <w:bottom w:val="none" w:sz="0" w:space="0" w:color="auto"/>
            <w:right w:val="none" w:sz="0" w:space="0" w:color="auto"/>
          </w:divBdr>
        </w:div>
        <w:div w:id="1554808640">
          <w:marLeft w:val="0"/>
          <w:marRight w:val="0"/>
          <w:marTop w:val="0"/>
          <w:marBottom w:val="0"/>
          <w:divBdr>
            <w:top w:val="none" w:sz="0" w:space="0" w:color="auto"/>
            <w:left w:val="none" w:sz="0" w:space="0" w:color="auto"/>
            <w:bottom w:val="none" w:sz="0" w:space="0" w:color="auto"/>
            <w:right w:val="none" w:sz="0" w:space="0" w:color="auto"/>
          </w:divBdr>
        </w:div>
        <w:div w:id="1503008696">
          <w:marLeft w:val="0"/>
          <w:marRight w:val="0"/>
          <w:marTop w:val="0"/>
          <w:marBottom w:val="0"/>
          <w:divBdr>
            <w:top w:val="none" w:sz="0" w:space="0" w:color="auto"/>
            <w:left w:val="none" w:sz="0" w:space="0" w:color="auto"/>
            <w:bottom w:val="none" w:sz="0" w:space="0" w:color="auto"/>
            <w:right w:val="none" w:sz="0" w:space="0" w:color="auto"/>
          </w:divBdr>
        </w:div>
        <w:div w:id="1838836896">
          <w:marLeft w:val="0"/>
          <w:marRight w:val="0"/>
          <w:marTop w:val="0"/>
          <w:marBottom w:val="0"/>
          <w:divBdr>
            <w:top w:val="none" w:sz="0" w:space="0" w:color="auto"/>
            <w:left w:val="none" w:sz="0" w:space="0" w:color="auto"/>
            <w:bottom w:val="none" w:sz="0" w:space="0" w:color="auto"/>
            <w:right w:val="none" w:sz="0" w:space="0" w:color="auto"/>
          </w:divBdr>
        </w:div>
        <w:div w:id="1599409534">
          <w:marLeft w:val="0"/>
          <w:marRight w:val="0"/>
          <w:marTop w:val="0"/>
          <w:marBottom w:val="0"/>
          <w:divBdr>
            <w:top w:val="none" w:sz="0" w:space="0" w:color="auto"/>
            <w:left w:val="none" w:sz="0" w:space="0" w:color="auto"/>
            <w:bottom w:val="none" w:sz="0" w:space="0" w:color="auto"/>
            <w:right w:val="none" w:sz="0" w:space="0" w:color="auto"/>
          </w:divBdr>
        </w:div>
        <w:div w:id="794444430">
          <w:marLeft w:val="0"/>
          <w:marRight w:val="0"/>
          <w:marTop w:val="0"/>
          <w:marBottom w:val="0"/>
          <w:divBdr>
            <w:top w:val="none" w:sz="0" w:space="0" w:color="auto"/>
            <w:left w:val="none" w:sz="0" w:space="0" w:color="auto"/>
            <w:bottom w:val="none" w:sz="0" w:space="0" w:color="auto"/>
            <w:right w:val="none" w:sz="0" w:space="0" w:color="auto"/>
          </w:divBdr>
        </w:div>
        <w:div w:id="1644847586">
          <w:marLeft w:val="0"/>
          <w:marRight w:val="0"/>
          <w:marTop w:val="0"/>
          <w:marBottom w:val="0"/>
          <w:divBdr>
            <w:top w:val="none" w:sz="0" w:space="0" w:color="auto"/>
            <w:left w:val="none" w:sz="0" w:space="0" w:color="auto"/>
            <w:bottom w:val="none" w:sz="0" w:space="0" w:color="auto"/>
            <w:right w:val="none" w:sz="0" w:space="0" w:color="auto"/>
          </w:divBdr>
        </w:div>
        <w:div w:id="845943436">
          <w:marLeft w:val="0"/>
          <w:marRight w:val="0"/>
          <w:marTop w:val="0"/>
          <w:marBottom w:val="0"/>
          <w:divBdr>
            <w:top w:val="none" w:sz="0" w:space="0" w:color="auto"/>
            <w:left w:val="none" w:sz="0" w:space="0" w:color="auto"/>
            <w:bottom w:val="none" w:sz="0" w:space="0" w:color="auto"/>
            <w:right w:val="none" w:sz="0" w:space="0" w:color="auto"/>
          </w:divBdr>
        </w:div>
        <w:div w:id="343485154">
          <w:marLeft w:val="0"/>
          <w:marRight w:val="0"/>
          <w:marTop w:val="0"/>
          <w:marBottom w:val="0"/>
          <w:divBdr>
            <w:top w:val="none" w:sz="0" w:space="0" w:color="auto"/>
            <w:left w:val="none" w:sz="0" w:space="0" w:color="auto"/>
            <w:bottom w:val="none" w:sz="0" w:space="0" w:color="auto"/>
            <w:right w:val="none" w:sz="0" w:space="0" w:color="auto"/>
          </w:divBdr>
        </w:div>
        <w:div w:id="1197086778">
          <w:marLeft w:val="0"/>
          <w:marRight w:val="0"/>
          <w:marTop w:val="0"/>
          <w:marBottom w:val="0"/>
          <w:divBdr>
            <w:top w:val="none" w:sz="0" w:space="0" w:color="auto"/>
            <w:left w:val="none" w:sz="0" w:space="0" w:color="auto"/>
            <w:bottom w:val="none" w:sz="0" w:space="0" w:color="auto"/>
            <w:right w:val="none" w:sz="0" w:space="0" w:color="auto"/>
          </w:divBdr>
        </w:div>
        <w:div w:id="1925917668">
          <w:marLeft w:val="0"/>
          <w:marRight w:val="0"/>
          <w:marTop w:val="0"/>
          <w:marBottom w:val="0"/>
          <w:divBdr>
            <w:top w:val="none" w:sz="0" w:space="0" w:color="auto"/>
            <w:left w:val="none" w:sz="0" w:space="0" w:color="auto"/>
            <w:bottom w:val="none" w:sz="0" w:space="0" w:color="auto"/>
            <w:right w:val="none" w:sz="0" w:space="0" w:color="auto"/>
          </w:divBdr>
        </w:div>
        <w:div w:id="1592278993">
          <w:marLeft w:val="0"/>
          <w:marRight w:val="0"/>
          <w:marTop w:val="0"/>
          <w:marBottom w:val="0"/>
          <w:divBdr>
            <w:top w:val="none" w:sz="0" w:space="0" w:color="auto"/>
            <w:left w:val="none" w:sz="0" w:space="0" w:color="auto"/>
            <w:bottom w:val="none" w:sz="0" w:space="0" w:color="auto"/>
            <w:right w:val="none" w:sz="0" w:space="0" w:color="auto"/>
          </w:divBdr>
        </w:div>
        <w:div w:id="1360014014">
          <w:marLeft w:val="0"/>
          <w:marRight w:val="0"/>
          <w:marTop w:val="0"/>
          <w:marBottom w:val="0"/>
          <w:divBdr>
            <w:top w:val="none" w:sz="0" w:space="0" w:color="auto"/>
            <w:left w:val="none" w:sz="0" w:space="0" w:color="auto"/>
            <w:bottom w:val="none" w:sz="0" w:space="0" w:color="auto"/>
            <w:right w:val="none" w:sz="0" w:space="0" w:color="auto"/>
          </w:divBdr>
        </w:div>
        <w:div w:id="1313556783">
          <w:marLeft w:val="0"/>
          <w:marRight w:val="0"/>
          <w:marTop w:val="0"/>
          <w:marBottom w:val="0"/>
          <w:divBdr>
            <w:top w:val="none" w:sz="0" w:space="0" w:color="auto"/>
            <w:left w:val="none" w:sz="0" w:space="0" w:color="auto"/>
            <w:bottom w:val="none" w:sz="0" w:space="0" w:color="auto"/>
            <w:right w:val="none" w:sz="0" w:space="0" w:color="auto"/>
          </w:divBdr>
        </w:div>
        <w:div w:id="778792846">
          <w:marLeft w:val="0"/>
          <w:marRight w:val="0"/>
          <w:marTop w:val="0"/>
          <w:marBottom w:val="0"/>
          <w:divBdr>
            <w:top w:val="none" w:sz="0" w:space="0" w:color="auto"/>
            <w:left w:val="none" w:sz="0" w:space="0" w:color="auto"/>
            <w:bottom w:val="none" w:sz="0" w:space="0" w:color="auto"/>
            <w:right w:val="none" w:sz="0" w:space="0" w:color="auto"/>
          </w:divBdr>
        </w:div>
        <w:div w:id="819736251">
          <w:marLeft w:val="0"/>
          <w:marRight w:val="0"/>
          <w:marTop w:val="0"/>
          <w:marBottom w:val="0"/>
          <w:divBdr>
            <w:top w:val="none" w:sz="0" w:space="0" w:color="auto"/>
            <w:left w:val="none" w:sz="0" w:space="0" w:color="auto"/>
            <w:bottom w:val="none" w:sz="0" w:space="0" w:color="auto"/>
            <w:right w:val="none" w:sz="0" w:space="0" w:color="auto"/>
          </w:divBdr>
        </w:div>
        <w:div w:id="1161197063">
          <w:marLeft w:val="0"/>
          <w:marRight w:val="0"/>
          <w:marTop w:val="0"/>
          <w:marBottom w:val="0"/>
          <w:divBdr>
            <w:top w:val="none" w:sz="0" w:space="0" w:color="auto"/>
            <w:left w:val="none" w:sz="0" w:space="0" w:color="auto"/>
            <w:bottom w:val="none" w:sz="0" w:space="0" w:color="auto"/>
            <w:right w:val="none" w:sz="0" w:space="0" w:color="auto"/>
          </w:divBdr>
        </w:div>
        <w:div w:id="576985371">
          <w:marLeft w:val="0"/>
          <w:marRight w:val="0"/>
          <w:marTop w:val="0"/>
          <w:marBottom w:val="0"/>
          <w:divBdr>
            <w:top w:val="none" w:sz="0" w:space="0" w:color="auto"/>
            <w:left w:val="none" w:sz="0" w:space="0" w:color="auto"/>
            <w:bottom w:val="none" w:sz="0" w:space="0" w:color="auto"/>
            <w:right w:val="none" w:sz="0" w:space="0" w:color="auto"/>
          </w:divBdr>
        </w:div>
        <w:div w:id="787431784">
          <w:marLeft w:val="0"/>
          <w:marRight w:val="0"/>
          <w:marTop w:val="0"/>
          <w:marBottom w:val="0"/>
          <w:divBdr>
            <w:top w:val="none" w:sz="0" w:space="0" w:color="auto"/>
            <w:left w:val="none" w:sz="0" w:space="0" w:color="auto"/>
            <w:bottom w:val="none" w:sz="0" w:space="0" w:color="auto"/>
            <w:right w:val="none" w:sz="0" w:space="0" w:color="auto"/>
          </w:divBdr>
        </w:div>
        <w:div w:id="1394425028">
          <w:marLeft w:val="0"/>
          <w:marRight w:val="0"/>
          <w:marTop w:val="0"/>
          <w:marBottom w:val="0"/>
          <w:divBdr>
            <w:top w:val="none" w:sz="0" w:space="0" w:color="auto"/>
            <w:left w:val="none" w:sz="0" w:space="0" w:color="auto"/>
            <w:bottom w:val="none" w:sz="0" w:space="0" w:color="auto"/>
            <w:right w:val="none" w:sz="0" w:space="0" w:color="auto"/>
          </w:divBdr>
        </w:div>
        <w:div w:id="1117138676">
          <w:marLeft w:val="0"/>
          <w:marRight w:val="0"/>
          <w:marTop w:val="0"/>
          <w:marBottom w:val="0"/>
          <w:divBdr>
            <w:top w:val="none" w:sz="0" w:space="0" w:color="auto"/>
            <w:left w:val="none" w:sz="0" w:space="0" w:color="auto"/>
            <w:bottom w:val="none" w:sz="0" w:space="0" w:color="auto"/>
            <w:right w:val="none" w:sz="0" w:space="0" w:color="auto"/>
          </w:divBdr>
        </w:div>
        <w:div w:id="1661034922">
          <w:marLeft w:val="0"/>
          <w:marRight w:val="0"/>
          <w:marTop w:val="0"/>
          <w:marBottom w:val="0"/>
          <w:divBdr>
            <w:top w:val="none" w:sz="0" w:space="0" w:color="auto"/>
            <w:left w:val="none" w:sz="0" w:space="0" w:color="auto"/>
            <w:bottom w:val="none" w:sz="0" w:space="0" w:color="auto"/>
            <w:right w:val="none" w:sz="0" w:space="0" w:color="auto"/>
          </w:divBdr>
        </w:div>
        <w:div w:id="1821380054">
          <w:marLeft w:val="0"/>
          <w:marRight w:val="0"/>
          <w:marTop w:val="0"/>
          <w:marBottom w:val="0"/>
          <w:divBdr>
            <w:top w:val="none" w:sz="0" w:space="0" w:color="auto"/>
            <w:left w:val="none" w:sz="0" w:space="0" w:color="auto"/>
            <w:bottom w:val="none" w:sz="0" w:space="0" w:color="auto"/>
            <w:right w:val="none" w:sz="0" w:space="0" w:color="auto"/>
          </w:divBdr>
        </w:div>
        <w:div w:id="1286237595">
          <w:marLeft w:val="0"/>
          <w:marRight w:val="0"/>
          <w:marTop w:val="0"/>
          <w:marBottom w:val="0"/>
          <w:divBdr>
            <w:top w:val="none" w:sz="0" w:space="0" w:color="auto"/>
            <w:left w:val="none" w:sz="0" w:space="0" w:color="auto"/>
            <w:bottom w:val="none" w:sz="0" w:space="0" w:color="auto"/>
            <w:right w:val="none" w:sz="0" w:space="0" w:color="auto"/>
          </w:divBdr>
        </w:div>
        <w:div w:id="2144538366">
          <w:marLeft w:val="0"/>
          <w:marRight w:val="0"/>
          <w:marTop w:val="0"/>
          <w:marBottom w:val="0"/>
          <w:divBdr>
            <w:top w:val="none" w:sz="0" w:space="0" w:color="auto"/>
            <w:left w:val="none" w:sz="0" w:space="0" w:color="auto"/>
            <w:bottom w:val="none" w:sz="0" w:space="0" w:color="auto"/>
            <w:right w:val="none" w:sz="0" w:space="0" w:color="auto"/>
          </w:divBdr>
        </w:div>
        <w:div w:id="726296964">
          <w:marLeft w:val="0"/>
          <w:marRight w:val="0"/>
          <w:marTop w:val="0"/>
          <w:marBottom w:val="0"/>
          <w:divBdr>
            <w:top w:val="none" w:sz="0" w:space="0" w:color="auto"/>
            <w:left w:val="none" w:sz="0" w:space="0" w:color="auto"/>
            <w:bottom w:val="none" w:sz="0" w:space="0" w:color="auto"/>
            <w:right w:val="none" w:sz="0" w:space="0" w:color="auto"/>
          </w:divBdr>
        </w:div>
        <w:div w:id="35474643">
          <w:marLeft w:val="0"/>
          <w:marRight w:val="0"/>
          <w:marTop w:val="0"/>
          <w:marBottom w:val="0"/>
          <w:divBdr>
            <w:top w:val="none" w:sz="0" w:space="0" w:color="auto"/>
            <w:left w:val="none" w:sz="0" w:space="0" w:color="auto"/>
            <w:bottom w:val="none" w:sz="0" w:space="0" w:color="auto"/>
            <w:right w:val="none" w:sz="0" w:space="0" w:color="auto"/>
          </w:divBdr>
        </w:div>
        <w:div w:id="1282371884">
          <w:marLeft w:val="0"/>
          <w:marRight w:val="0"/>
          <w:marTop w:val="0"/>
          <w:marBottom w:val="0"/>
          <w:divBdr>
            <w:top w:val="none" w:sz="0" w:space="0" w:color="auto"/>
            <w:left w:val="none" w:sz="0" w:space="0" w:color="auto"/>
            <w:bottom w:val="none" w:sz="0" w:space="0" w:color="auto"/>
            <w:right w:val="none" w:sz="0" w:space="0" w:color="auto"/>
          </w:divBdr>
        </w:div>
        <w:div w:id="1022166914">
          <w:marLeft w:val="0"/>
          <w:marRight w:val="0"/>
          <w:marTop w:val="0"/>
          <w:marBottom w:val="0"/>
          <w:divBdr>
            <w:top w:val="none" w:sz="0" w:space="0" w:color="auto"/>
            <w:left w:val="none" w:sz="0" w:space="0" w:color="auto"/>
            <w:bottom w:val="none" w:sz="0" w:space="0" w:color="auto"/>
            <w:right w:val="none" w:sz="0" w:space="0" w:color="auto"/>
          </w:divBdr>
        </w:div>
        <w:div w:id="303589072">
          <w:marLeft w:val="0"/>
          <w:marRight w:val="0"/>
          <w:marTop w:val="0"/>
          <w:marBottom w:val="0"/>
          <w:divBdr>
            <w:top w:val="none" w:sz="0" w:space="0" w:color="auto"/>
            <w:left w:val="none" w:sz="0" w:space="0" w:color="auto"/>
            <w:bottom w:val="none" w:sz="0" w:space="0" w:color="auto"/>
            <w:right w:val="none" w:sz="0" w:space="0" w:color="auto"/>
          </w:divBdr>
        </w:div>
        <w:div w:id="1313410133">
          <w:marLeft w:val="0"/>
          <w:marRight w:val="0"/>
          <w:marTop w:val="0"/>
          <w:marBottom w:val="0"/>
          <w:divBdr>
            <w:top w:val="none" w:sz="0" w:space="0" w:color="auto"/>
            <w:left w:val="none" w:sz="0" w:space="0" w:color="auto"/>
            <w:bottom w:val="none" w:sz="0" w:space="0" w:color="auto"/>
            <w:right w:val="none" w:sz="0" w:space="0" w:color="auto"/>
          </w:divBdr>
        </w:div>
        <w:div w:id="662972641">
          <w:marLeft w:val="0"/>
          <w:marRight w:val="0"/>
          <w:marTop w:val="0"/>
          <w:marBottom w:val="0"/>
          <w:divBdr>
            <w:top w:val="none" w:sz="0" w:space="0" w:color="auto"/>
            <w:left w:val="none" w:sz="0" w:space="0" w:color="auto"/>
            <w:bottom w:val="none" w:sz="0" w:space="0" w:color="auto"/>
            <w:right w:val="none" w:sz="0" w:space="0" w:color="auto"/>
          </w:divBdr>
        </w:div>
        <w:div w:id="1678802681">
          <w:marLeft w:val="0"/>
          <w:marRight w:val="0"/>
          <w:marTop w:val="0"/>
          <w:marBottom w:val="0"/>
          <w:divBdr>
            <w:top w:val="none" w:sz="0" w:space="0" w:color="auto"/>
            <w:left w:val="none" w:sz="0" w:space="0" w:color="auto"/>
            <w:bottom w:val="none" w:sz="0" w:space="0" w:color="auto"/>
            <w:right w:val="none" w:sz="0" w:space="0" w:color="auto"/>
          </w:divBdr>
        </w:div>
        <w:div w:id="1204096369">
          <w:marLeft w:val="0"/>
          <w:marRight w:val="0"/>
          <w:marTop w:val="0"/>
          <w:marBottom w:val="0"/>
          <w:divBdr>
            <w:top w:val="none" w:sz="0" w:space="0" w:color="auto"/>
            <w:left w:val="none" w:sz="0" w:space="0" w:color="auto"/>
            <w:bottom w:val="none" w:sz="0" w:space="0" w:color="auto"/>
            <w:right w:val="none" w:sz="0" w:space="0" w:color="auto"/>
          </w:divBdr>
        </w:div>
        <w:div w:id="976954829">
          <w:marLeft w:val="0"/>
          <w:marRight w:val="0"/>
          <w:marTop w:val="0"/>
          <w:marBottom w:val="0"/>
          <w:divBdr>
            <w:top w:val="none" w:sz="0" w:space="0" w:color="auto"/>
            <w:left w:val="none" w:sz="0" w:space="0" w:color="auto"/>
            <w:bottom w:val="none" w:sz="0" w:space="0" w:color="auto"/>
            <w:right w:val="none" w:sz="0" w:space="0" w:color="auto"/>
          </w:divBdr>
        </w:div>
        <w:div w:id="972176688">
          <w:marLeft w:val="0"/>
          <w:marRight w:val="0"/>
          <w:marTop w:val="0"/>
          <w:marBottom w:val="0"/>
          <w:divBdr>
            <w:top w:val="none" w:sz="0" w:space="0" w:color="auto"/>
            <w:left w:val="none" w:sz="0" w:space="0" w:color="auto"/>
            <w:bottom w:val="none" w:sz="0" w:space="0" w:color="auto"/>
            <w:right w:val="none" w:sz="0" w:space="0" w:color="auto"/>
          </w:divBdr>
        </w:div>
        <w:div w:id="67266191">
          <w:marLeft w:val="0"/>
          <w:marRight w:val="0"/>
          <w:marTop w:val="0"/>
          <w:marBottom w:val="0"/>
          <w:divBdr>
            <w:top w:val="none" w:sz="0" w:space="0" w:color="auto"/>
            <w:left w:val="none" w:sz="0" w:space="0" w:color="auto"/>
            <w:bottom w:val="none" w:sz="0" w:space="0" w:color="auto"/>
            <w:right w:val="none" w:sz="0" w:space="0" w:color="auto"/>
          </w:divBdr>
        </w:div>
        <w:div w:id="371880904">
          <w:marLeft w:val="0"/>
          <w:marRight w:val="0"/>
          <w:marTop w:val="0"/>
          <w:marBottom w:val="0"/>
          <w:divBdr>
            <w:top w:val="none" w:sz="0" w:space="0" w:color="auto"/>
            <w:left w:val="none" w:sz="0" w:space="0" w:color="auto"/>
            <w:bottom w:val="none" w:sz="0" w:space="0" w:color="auto"/>
            <w:right w:val="none" w:sz="0" w:space="0" w:color="auto"/>
          </w:divBdr>
        </w:div>
        <w:div w:id="1782187917">
          <w:marLeft w:val="0"/>
          <w:marRight w:val="0"/>
          <w:marTop w:val="0"/>
          <w:marBottom w:val="0"/>
          <w:divBdr>
            <w:top w:val="none" w:sz="0" w:space="0" w:color="auto"/>
            <w:left w:val="none" w:sz="0" w:space="0" w:color="auto"/>
            <w:bottom w:val="none" w:sz="0" w:space="0" w:color="auto"/>
            <w:right w:val="none" w:sz="0" w:space="0" w:color="auto"/>
          </w:divBdr>
        </w:div>
        <w:div w:id="889879626">
          <w:marLeft w:val="0"/>
          <w:marRight w:val="0"/>
          <w:marTop w:val="0"/>
          <w:marBottom w:val="0"/>
          <w:divBdr>
            <w:top w:val="none" w:sz="0" w:space="0" w:color="auto"/>
            <w:left w:val="none" w:sz="0" w:space="0" w:color="auto"/>
            <w:bottom w:val="none" w:sz="0" w:space="0" w:color="auto"/>
            <w:right w:val="none" w:sz="0" w:space="0" w:color="auto"/>
          </w:divBdr>
        </w:div>
        <w:div w:id="1500463627">
          <w:marLeft w:val="0"/>
          <w:marRight w:val="0"/>
          <w:marTop w:val="0"/>
          <w:marBottom w:val="0"/>
          <w:divBdr>
            <w:top w:val="none" w:sz="0" w:space="0" w:color="auto"/>
            <w:left w:val="none" w:sz="0" w:space="0" w:color="auto"/>
            <w:bottom w:val="none" w:sz="0" w:space="0" w:color="auto"/>
            <w:right w:val="none" w:sz="0" w:space="0" w:color="auto"/>
          </w:divBdr>
        </w:div>
        <w:div w:id="885219614">
          <w:marLeft w:val="0"/>
          <w:marRight w:val="0"/>
          <w:marTop w:val="0"/>
          <w:marBottom w:val="0"/>
          <w:divBdr>
            <w:top w:val="none" w:sz="0" w:space="0" w:color="auto"/>
            <w:left w:val="none" w:sz="0" w:space="0" w:color="auto"/>
            <w:bottom w:val="none" w:sz="0" w:space="0" w:color="auto"/>
            <w:right w:val="none" w:sz="0" w:space="0" w:color="auto"/>
          </w:divBdr>
        </w:div>
        <w:div w:id="1464880552">
          <w:marLeft w:val="0"/>
          <w:marRight w:val="0"/>
          <w:marTop w:val="0"/>
          <w:marBottom w:val="0"/>
          <w:divBdr>
            <w:top w:val="none" w:sz="0" w:space="0" w:color="auto"/>
            <w:left w:val="none" w:sz="0" w:space="0" w:color="auto"/>
            <w:bottom w:val="none" w:sz="0" w:space="0" w:color="auto"/>
            <w:right w:val="none" w:sz="0" w:space="0" w:color="auto"/>
          </w:divBdr>
        </w:div>
        <w:div w:id="947811803">
          <w:marLeft w:val="0"/>
          <w:marRight w:val="0"/>
          <w:marTop w:val="0"/>
          <w:marBottom w:val="0"/>
          <w:divBdr>
            <w:top w:val="none" w:sz="0" w:space="0" w:color="auto"/>
            <w:left w:val="none" w:sz="0" w:space="0" w:color="auto"/>
            <w:bottom w:val="none" w:sz="0" w:space="0" w:color="auto"/>
            <w:right w:val="none" w:sz="0" w:space="0" w:color="auto"/>
          </w:divBdr>
        </w:div>
        <w:div w:id="1977560180">
          <w:marLeft w:val="0"/>
          <w:marRight w:val="0"/>
          <w:marTop w:val="0"/>
          <w:marBottom w:val="0"/>
          <w:divBdr>
            <w:top w:val="none" w:sz="0" w:space="0" w:color="auto"/>
            <w:left w:val="none" w:sz="0" w:space="0" w:color="auto"/>
            <w:bottom w:val="none" w:sz="0" w:space="0" w:color="auto"/>
            <w:right w:val="none" w:sz="0" w:space="0" w:color="auto"/>
          </w:divBdr>
        </w:div>
        <w:div w:id="1920940730">
          <w:marLeft w:val="0"/>
          <w:marRight w:val="0"/>
          <w:marTop w:val="0"/>
          <w:marBottom w:val="0"/>
          <w:divBdr>
            <w:top w:val="none" w:sz="0" w:space="0" w:color="auto"/>
            <w:left w:val="none" w:sz="0" w:space="0" w:color="auto"/>
            <w:bottom w:val="none" w:sz="0" w:space="0" w:color="auto"/>
            <w:right w:val="none" w:sz="0" w:space="0" w:color="auto"/>
          </w:divBdr>
        </w:div>
        <w:div w:id="160242942">
          <w:marLeft w:val="0"/>
          <w:marRight w:val="0"/>
          <w:marTop w:val="0"/>
          <w:marBottom w:val="0"/>
          <w:divBdr>
            <w:top w:val="none" w:sz="0" w:space="0" w:color="auto"/>
            <w:left w:val="none" w:sz="0" w:space="0" w:color="auto"/>
            <w:bottom w:val="none" w:sz="0" w:space="0" w:color="auto"/>
            <w:right w:val="none" w:sz="0" w:space="0" w:color="auto"/>
          </w:divBdr>
        </w:div>
        <w:div w:id="1302922392">
          <w:marLeft w:val="0"/>
          <w:marRight w:val="0"/>
          <w:marTop w:val="0"/>
          <w:marBottom w:val="0"/>
          <w:divBdr>
            <w:top w:val="none" w:sz="0" w:space="0" w:color="auto"/>
            <w:left w:val="none" w:sz="0" w:space="0" w:color="auto"/>
            <w:bottom w:val="none" w:sz="0" w:space="0" w:color="auto"/>
            <w:right w:val="none" w:sz="0" w:space="0" w:color="auto"/>
          </w:divBdr>
        </w:div>
        <w:div w:id="1391885395">
          <w:marLeft w:val="0"/>
          <w:marRight w:val="0"/>
          <w:marTop w:val="0"/>
          <w:marBottom w:val="0"/>
          <w:divBdr>
            <w:top w:val="none" w:sz="0" w:space="0" w:color="auto"/>
            <w:left w:val="none" w:sz="0" w:space="0" w:color="auto"/>
            <w:bottom w:val="none" w:sz="0" w:space="0" w:color="auto"/>
            <w:right w:val="none" w:sz="0" w:space="0" w:color="auto"/>
          </w:divBdr>
        </w:div>
        <w:div w:id="502284994">
          <w:marLeft w:val="0"/>
          <w:marRight w:val="0"/>
          <w:marTop w:val="0"/>
          <w:marBottom w:val="0"/>
          <w:divBdr>
            <w:top w:val="none" w:sz="0" w:space="0" w:color="auto"/>
            <w:left w:val="none" w:sz="0" w:space="0" w:color="auto"/>
            <w:bottom w:val="none" w:sz="0" w:space="0" w:color="auto"/>
            <w:right w:val="none" w:sz="0" w:space="0" w:color="auto"/>
          </w:divBdr>
        </w:div>
        <w:div w:id="804200217">
          <w:marLeft w:val="0"/>
          <w:marRight w:val="0"/>
          <w:marTop w:val="0"/>
          <w:marBottom w:val="0"/>
          <w:divBdr>
            <w:top w:val="none" w:sz="0" w:space="0" w:color="auto"/>
            <w:left w:val="none" w:sz="0" w:space="0" w:color="auto"/>
            <w:bottom w:val="none" w:sz="0" w:space="0" w:color="auto"/>
            <w:right w:val="none" w:sz="0" w:space="0" w:color="auto"/>
          </w:divBdr>
        </w:div>
        <w:div w:id="454173963">
          <w:marLeft w:val="0"/>
          <w:marRight w:val="0"/>
          <w:marTop w:val="0"/>
          <w:marBottom w:val="0"/>
          <w:divBdr>
            <w:top w:val="none" w:sz="0" w:space="0" w:color="auto"/>
            <w:left w:val="none" w:sz="0" w:space="0" w:color="auto"/>
            <w:bottom w:val="none" w:sz="0" w:space="0" w:color="auto"/>
            <w:right w:val="none" w:sz="0" w:space="0" w:color="auto"/>
          </w:divBdr>
        </w:div>
        <w:div w:id="474834339">
          <w:marLeft w:val="0"/>
          <w:marRight w:val="0"/>
          <w:marTop w:val="0"/>
          <w:marBottom w:val="0"/>
          <w:divBdr>
            <w:top w:val="none" w:sz="0" w:space="0" w:color="auto"/>
            <w:left w:val="none" w:sz="0" w:space="0" w:color="auto"/>
            <w:bottom w:val="none" w:sz="0" w:space="0" w:color="auto"/>
            <w:right w:val="none" w:sz="0" w:space="0" w:color="auto"/>
          </w:divBdr>
        </w:div>
        <w:div w:id="913324014">
          <w:marLeft w:val="0"/>
          <w:marRight w:val="0"/>
          <w:marTop w:val="0"/>
          <w:marBottom w:val="0"/>
          <w:divBdr>
            <w:top w:val="none" w:sz="0" w:space="0" w:color="auto"/>
            <w:left w:val="none" w:sz="0" w:space="0" w:color="auto"/>
            <w:bottom w:val="none" w:sz="0" w:space="0" w:color="auto"/>
            <w:right w:val="none" w:sz="0" w:space="0" w:color="auto"/>
          </w:divBdr>
        </w:div>
        <w:div w:id="1191916980">
          <w:marLeft w:val="0"/>
          <w:marRight w:val="0"/>
          <w:marTop w:val="0"/>
          <w:marBottom w:val="0"/>
          <w:divBdr>
            <w:top w:val="none" w:sz="0" w:space="0" w:color="auto"/>
            <w:left w:val="none" w:sz="0" w:space="0" w:color="auto"/>
            <w:bottom w:val="none" w:sz="0" w:space="0" w:color="auto"/>
            <w:right w:val="none" w:sz="0" w:space="0" w:color="auto"/>
          </w:divBdr>
        </w:div>
        <w:div w:id="1433160673">
          <w:marLeft w:val="0"/>
          <w:marRight w:val="0"/>
          <w:marTop w:val="0"/>
          <w:marBottom w:val="0"/>
          <w:divBdr>
            <w:top w:val="none" w:sz="0" w:space="0" w:color="auto"/>
            <w:left w:val="none" w:sz="0" w:space="0" w:color="auto"/>
            <w:bottom w:val="none" w:sz="0" w:space="0" w:color="auto"/>
            <w:right w:val="none" w:sz="0" w:space="0" w:color="auto"/>
          </w:divBdr>
        </w:div>
        <w:div w:id="74132344">
          <w:marLeft w:val="0"/>
          <w:marRight w:val="0"/>
          <w:marTop w:val="0"/>
          <w:marBottom w:val="0"/>
          <w:divBdr>
            <w:top w:val="none" w:sz="0" w:space="0" w:color="auto"/>
            <w:left w:val="none" w:sz="0" w:space="0" w:color="auto"/>
            <w:bottom w:val="none" w:sz="0" w:space="0" w:color="auto"/>
            <w:right w:val="none" w:sz="0" w:space="0" w:color="auto"/>
          </w:divBdr>
        </w:div>
        <w:div w:id="539898099">
          <w:marLeft w:val="0"/>
          <w:marRight w:val="0"/>
          <w:marTop w:val="0"/>
          <w:marBottom w:val="0"/>
          <w:divBdr>
            <w:top w:val="none" w:sz="0" w:space="0" w:color="auto"/>
            <w:left w:val="none" w:sz="0" w:space="0" w:color="auto"/>
            <w:bottom w:val="none" w:sz="0" w:space="0" w:color="auto"/>
            <w:right w:val="none" w:sz="0" w:space="0" w:color="auto"/>
          </w:divBdr>
        </w:div>
        <w:div w:id="1684477904">
          <w:marLeft w:val="0"/>
          <w:marRight w:val="0"/>
          <w:marTop w:val="0"/>
          <w:marBottom w:val="0"/>
          <w:divBdr>
            <w:top w:val="none" w:sz="0" w:space="0" w:color="auto"/>
            <w:left w:val="none" w:sz="0" w:space="0" w:color="auto"/>
            <w:bottom w:val="none" w:sz="0" w:space="0" w:color="auto"/>
            <w:right w:val="none" w:sz="0" w:space="0" w:color="auto"/>
          </w:divBdr>
        </w:div>
        <w:div w:id="496768329">
          <w:marLeft w:val="0"/>
          <w:marRight w:val="0"/>
          <w:marTop w:val="0"/>
          <w:marBottom w:val="0"/>
          <w:divBdr>
            <w:top w:val="none" w:sz="0" w:space="0" w:color="auto"/>
            <w:left w:val="none" w:sz="0" w:space="0" w:color="auto"/>
            <w:bottom w:val="none" w:sz="0" w:space="0" w:color="auto"/>
            <w:right w:val="none" w:sz="0" w:space="0" w:color="auto"/>
          </w:divBdr>
        </w:div>
        <w:div w:id="675614875">
          <w:marLeft w:val="0"/>
          <w:marRight w:val="0"/>
          <w:marTop w:val="0"/>
          <w:marBottom w:val="0"/>
          <w:divBdr>
            <w:top w:val="none" w:sz="0" w:space="0" w:color="auto"/>
            <w:left w:val="none" w:sz="0" w:space="0" w:color="auto"/>
            <w:bottom w:val="none" w:sz="0" w:space="0" w:color="auto"/>
            <w:right w:val="none" w:sz="0" w:space="0" w:color="auto"/>
          </w:divBdr>
        </w:div>
        <w:div w:id="335230427">
          <w:marLeft w:val="0"/>
          <w:marRight w:val="0"/>
          <w:marTop w:val="0"/>
          <w:marBottom w:val="0"/>
          <w:divBdr>
            <w:top w:val="none" w:sz="0" w:space="0" w:color="auto"/>
            <w:left w:val="none" w:sz="0" w:space="0" w:color="auto"/>
            <w:bottom w:val="none" w:sz="0" w:space="0" w:color="auto"/>
            <w:right w:val="none" w:sz="0" w:space="0" w:color="auto"/>
          </w:divBdr>
        </w:div>
        <w:div w:id="715816298">
          <w:marLeft w:val="0"/>
          <w:marRight w:val="0"/>
          <w:marTop w:val="0"/>
          <w:marBottom w:val="0"/>
          <w:divBdr>
            <w:top w:val="none" w:sz="0" w:space="0" w:color="auto"/>
            <w:left w:val="none" w:sz="0" w:space="0" w:color="auto"/>
            <w:bottom w:val="none" w:sz="0" w:space="0" w:color="auto"/>
            <w:right w:val="none" w:sz="0" w:space="0" w:color="auto"/>
          </w:divBdr>
        </w:div>
        <w:div w:id="1978947873">
          <w:marLeft w:val="0"/>
          <w:marRight w:val="0"/>
          <w:marTop w:val="0"/>
          <w:marBottom w:val="0"/>
          <w:divBdr>
            <w:top w:val="none" w:sz="0" w:space="0" w:color="auto"/>
            <w:left w:val="none" w:sz="0" w:space="0" w:color="auto"/>
            <w:bottom w:val="none" w:sz="0" w:space="0" w:color="auto"/>
            <w:right w:val="none" w:sz="0" w:space="0" w:color="auto"/>
          </w:divBdr>
        </w:div>
        <w:div w:id="1864243001">
          <w:marLeft w:val="0"/>
          <w:marRight w:val="0"/>
          <w:marTop w:val="0"/>
          <w:marBottom w:val="0"/>
          <w:divBdr>
            <w:top w:val="none" w:sz="0" w:space="0" w:color="auto"/>
            <w:left w:val="none" w:sz="0" w:space="0" w:color="auto"/>
            <w:bottom w:val="none" w:sz="0" w:space="0" w:color="auto"/>
            <w:right w:val="none" w:sz="0" w:space="0" w:color="auto"/>
          </w:divBdr>
        </w:div>
        <w:div w:id="1888956109">
          <w:marLeft w:val="0"/>
          <w:marRight w:val="0"/>
          <w:marTop w:val="0"/>
          <w:marBottom w:val="0"/>
          <w:divBdr>
            <w:top w:val="none" w:sz="0" w:space="0" w:color="auto"/>
            <w:left w:val="none" w:sz="0" w:space="0" w:color="auto"/>
            <w:bottom w:val="none" w:sz="0" w:space="0" w:color="auto"/>
            <w:right w:val="none" w:sz="0" w:space="0" w:color="auto"/>
          </w:divBdr>
        </w:div>
        <w:div w:id="2144957173">
          <w:marLeft w:val="0"/>
          <w:marRight w:val="0"/>
          <w:marTop w:val="0"/>
          <w:marBottom w:val="0"/>
          <w:divBdr>
            <w:top w:val="none" w:sz="0" w:space="0" w:color="auto"/>
            <w:left w:val="none" w:sz="0" w:space="0" w:color="auto"/>
            <w:bottom w:val="none" w:sz="0" w:space="0" w:color="auto"/>
            <w:right w:val="none" w:sz="0" w:space="0" w:color="auto"/>
          </w:divBdr>
        </w:div>
        <w:div w:id="1483962983">
          <w:marLeft w:val="0"/>
          <w:marRight w:val="0"/>
          <w:marTop w:val="0"/>
          <w:marBottom w:val="0"/>
          <w:divBdr>
            <w:top w:val="none" w:sz="0" w:space="0" w:color="auto"/>
            <w:left w:val="none" w:sz="0" w:space="0" w:color="auto"/>
            <w:bottom w:val="none" w:sz="0" w:space="0" w:color="auto"/>
            <w:right w:val="none" w:sz="0" w:space="0" w:color="auto"/>
          </w:divBdr>
        </w:div>
        <w:div w:id="1643192650">
          <w:marLeft w:val="0"/>
          <w:marRight w:val="0"/>
          <w:marTop w:val="0"/>
          <w:marBottom w:val="0"/>
          <w:divBdr>
            <w:top w:val="none" w:sz="0" w:space="0" w:color="auto"/>
            <w:left w:val="none" w:sz="0" w:space="0" w:color="auto"/>
            <w:bottom w:val="none" w:sz="0" w:space="0" w:color="auto"/>
            <w:right w:val="none" w:sz="0" w:space="0" w:color="auto"/>
          </w:divBdr>
        </w:div>
        <w:div w:id="403114558">
          <w:marLeft w:val="0"/>
          <w:marRight w:val="0"/>
          <w:marTop w:val="0"/>
          <w:marBottom w:val="0"/>
          <w:divBdr>
            <w:top w:val="none" w:sz="0" w:space="0" w:color="auto"/>
            <w:left w:val="none" w:sz="0" w:space="0" w:color="auto"/>
            <w:bottom w:val="none" w:sz="0" w:space="0" w:color="auto"/>
            <w:right w:val="none" w:sz="0" w:space="0" w:color="auto"/>
          </w:divBdr>
        </w:div>
        <w:div w:id="1988513649">
          <w:marLeft w:val="0"/>
          <w:marRight w:val="0"/>
          <w:marTop w:val="0"/>
          <w:marBottom w:val="0"/>
          <w:divBdr>
            <w:top w:val="none" w:sz="0" w:space="0" w:color="auto"/>
            <w:left w:val="none" w:sz="0" w:space="0" w:color="auto"/>
            <w:bottom w:val="none" w:sz="0" w:space="0" w:color="auto"/>
            <w:right w:val="none" w:sz="0" w:space="0" w:color="auto"/>
          </w:divBdr>
        </w:div>
        <w:div w:id="1025718572">
          <w:marLeft w:val="0"/>
          <w:marRight w:val="0"/>
          <w:marTop w:val="0"/>
          <w:marBottom w:val="0"/>
          <w:divBdr>
            <w:top w:val="none" w:sz="0" w:space="0" w:color="auto"/>
            <w:left w:val="none" w:sz="0" w:space="0" w:color="auto"/>
            <w:bottom w:val="none" w:sz="0" w:space="0" w:color="auto"/>
            <w:right w:val="none" w:sz="0" w:space="0" w:color="auto"/>
          </w:divBdr>
        </w:div>
        <w:div w:id="1508015266">
          <w:marLeft w:val="0"/>
          <w:marRight w:val="0"/>
          <w:marTop w:val="0"/>
          <w:marBottom w:val="0"/>
          <w:divBdr>
            <w:top w:val="none" w:sz="0" w:space="0" w:color="auto"/>
            <w:left w:val="none" w:sz="0" w:space="0" w:color="auto"/>
            <w:bottom w:val="none" w:sz="0" w:space="0" w:color="auto"/>
            <w:right w:val="none" w:sz="0" w:space="0" w:color="auto"/>
          </w:divBdr>
        </w:div>
        <w:div w:id="52045683">
          <w:marLeft w:val="0"/>
          <w:marRight w:val="0"/>
          <w:marTop w:val="0"/>
          <w:marBottom w:val="0"/>
          <w:divBdr>
            <w:top w:val="none" w:sz="0" w:space="0" w:color="auto"/>
            <w:left w:val="none" w:sz="0" w:space="0" w:color="auto"/>
            <w:bottom w:val="none" w:sz="0" w:space="0" w:color="auto"/>
            <w:right w:val="none" w:sz="0" w:space="0" w:color="auto"/>
          </w:divBdr>
        </w:div>
        <w:div w:id="1804081867">
          <w:marLeft w:val="0"/>
          <w:marRight w:val="0"/>
          <w:marTop w:val="0"/>
          <w:marBottom w:val="0"/>
          <w:divBdr>
            <w:top w:val="none" w:sz="0" w:space="0" w:color="auto"/>
            <w:left w:val="none" w:sz="0" w:space="0" w:color="auto"/>
            <w:bottom w:val="none" w:sz="0" w:space="0" w:color="auto"/>
            <w:right w:val="none" w:sz="0" w:space="0" w:color="auto"/>
          </w:divBdr>
        </w:div>
        <w:div w:id="1678732577">
          <w:marLeft w:val="0"/>
          <w:marRight w:val="0"/>
          <w:marTop w:val="0"/>
          <w:marBottom w:val="0"/>
          <w:divBdr>
            <w:top w:val="none" w:sz="0" w:space="0" w:color="auto"/>
            <w:left w:val="none" w:sz="0" w:space="0" w:color="auto"/>
            <w:bottom w:val="none" w:sz="0" w:space="0" w:color="auto"/>
            <w:right w:val="none" w:sz="0" w:space="0" w:color="auto"/>
          </w:divBdr>
        </w:div>
        <w:div w:id="1027023152">
          <w:marLeft w:val="0"/>
          <w:marRight w:val="0"/>
          <w:marTop w:val="0"/>
          <w:marBottom w:val="0"/>
          <w:divBdr>
            <w:top w:val="none" w:sz="0" w:space="0" w:color="auto"/>
            <w:left w:val="none" w:sz="0" w:space="0" w:color="auto"/>
            <w:bottom w:val="none" w:sz="0" w:space="0" w:color="auto"/>
            <w:right w:val="none" w:sz="0" w:space="0" w:color="auto"/>
          </w:divBdr>
        </w:div>
        <w:div w:id="1317303884">
          <w:marLeft w:val="0"/>
          <w:marRight w:val="0"/>
          <w:marTop w:val="0"/>
          <w:marBottom w:val="0"/>
          <w:divBdr>
            <w:top w:val="none" w:sz="0" w:space="0" w:color="auto"/>
            <w:left w:val="none" w:sz="0" w:space="0" w:color="auto"/>
            <w:bottom w:val="none" w:sz="0" w:space="0" w:color="auto"/>
            <w:right w:val="none" w:sz="0" w:space="0" w:color="auto"/>
          </w:divBdr>
        </w:div>
        <w:div w:id="2117164969">
          <w:marLeft w:val="0"/>
          <w:marRight w:val="0"/>
          <w:marTop w:val="0"/>
          <w:marBottom w:val="0"/>
          <w:divBdr>
            <w:top w:val="none" w:sz="0" w:space="0" w:color="auto"/>
            <w:left w:val="none" w:sz="0" w:space="0" w:color="auto"/>
            <w:bottom w:val="none" w:sz="0" w:space="0" w:color="auto"/>
            <w:right w:val="none" w:sz="0" w:space="0" w:color="auto"/>
          </w:divBdr>
        </w:div>
        <w:div w:id="1934195091">
          <w:marLeft w:val="0"/>
          <w:marRight w:val="0"/>
          <w:marTop w:val="0"/>
          <w:marBottom w:val="0"/>
          <w:divBdr>
            <w:top w:val="none" w:sz="0" w:space="0" w:color="auto"/>
            <w:left w:val="none" w:sz="0" w:space="0" w:color="auto"/>
            <w:bottom w:val="none" w:sz="0" w:space="0" w:color="auto"/>
            <w:right w:val="none" w:sz="0" w:space="0" w:color="auto"/>
          </w:divBdr>
        </w:div>
        <w:div w:id="820925279">
          <w:marLeft w:val="0"/>
          <w:marRight w:val="0"/>
          <w:marTop w:val="0"/>
          <w:marBottom w:val="0"/>
          <w:divBdr>
            <w:top w:val="none" w:sz="0" w:space="0" w:color="auto"/>
            <w:left w:val="none" w:sz="0" w:space="0" w:color="auto"/>
            <w:bottom w:val="none" w:sz="0" w:space="0" w:color="auto"/>
            <w:right w:val="none" w:sz="0" w:space="0" w:color="auto"/>
          </w:divBdr>
        </w:div>
        <w:div w:id="2012830784">
          <w:marLeft w:val="0"/>
          <w:marRight w:val="0"/>
          <w:marTop w:val="0"/>
          <w:marBottom w:val="0"/>
          <w:divBdr>
            <w:top w:val="none" w:sz="0" w:space="0" w:color="auto"/>
            <w:left w:val="none" w:sz="0" w:space="0" w:color="auto"/>
            <w:bottom w:val="none" w:sz="0" w:space="0" w:color="auto"/>
            <w:right w:val="none" w:sz="0" w:space="0" w:color="auto"/>
          </w:divBdr>
        </w:div>
        <w:div w:id="877743561">
          <w:marLeft w:val="0"/>
          <w:marRight w:val="0"/>
          <w:marTop w:val="0"/>
          <w:marBottom w:val="0"/>
          <w:divBdr>
            <w:top w:val="none" w:sz="0" w:space="0" w:color="auto"/>
            <w:left w:val="none" w:sz="0" w:space="0" w:color="auto"/>
            <w:bottom w:val="none" w:sz="0" w:space="0" w:color="auto"/>
            <w:right w:val="none" w:sz="0" w:space="0" w:color="auto"/>
          </w:divBdr>
        </w:div>
        <w:div w:id="988557846">
          <w:marLeft w:val="0"/>
          <w:marRight w:val="0"/>
          <w:marTop w:val="0"/>
          <w:marBottom w:val="0"/>
          <w:divBdr>
            <w:top w:val="none" w:sz="0" w:space="0" w:color="auto"/>
            <w:left w:val="none" w:sz="0" w:space="0" w:color="auto"/>
            <w:bottom w:val="none" w:sz="0" w:space="0" w:color="auto"/>
            <w:right w:val="none" w:sz="0" w:space="0" w:color="auto"/>
          </w:divBdr>
        </w:div>
        <w:div w:id="24720599">
          <w:marLeft w:val="0"/>
          <w:marRight w:val="0"/>
          <w:marTop w:val="0"/>
          <w:marBottom w:val="0"/>
          <w:divBdr>
            <w:top w:val="none" w:sz="0" w:space="0" w:color="auto"/>
            <w:left w:val="none" w:sz="0" w:space="0" w:color="auto"/>
            <w:bottom w:val="none" w:sz="0" w:space="0" w:color="auto"/>
            <w:right w:val="none" w:sz="0" w:space="0" w:color="auto"/>
          </w:divBdr>
        </w:div>
        <w:div w:id="907961583">
          <w:marLeft w:val="0"/>
          <w:marRight w:val="0"/>
          <w:marTop w:val="0"/>
          <w:marBottom w:val="0"/>
          <w:divBdr>
            <w:top w:val="none" w:sz="0" w:space="0" w:color="auto"/>
            <w:left w:val="none" w:sz="0" w:space="0" w:color="auto"/>
            <w:bottom w:val="none" w:sz="0" w:space="0" w:color="auto"/>
            <w:right w:val="none" w:sz="0" w:space="0" w:color="auto"/>
          </w:divBdr>
        </w:div>
        <w:div w:id="1231619286">
          <w:marLeft w:val="0"/>
          <w:marRight w:val="0"/>
          <w:marTop w:val="0"/>
          <w:marBottom w:val="0"/>
          <w:divBdr>
            <w:top w:val="none" w:sz="0" w:space="0" w:color="auto"/>
            <w:left w:val="none" w:sz="0" w:space="0" w:color="auto"/>
            <w:bottom w:val="none" w:sz="0" w:space="0" w:color="auto"/>
            <w:right w:val="none" w:sz="0" w:space="0" w:color="auto"/>
          </w:divBdr>
        </w:div>
        <w:div w:id="151070006">
          <w:marLeft w:val="0"/>
          <w:marRight w:val="0"/>
          <w:marTop w:val="0"/>
          <w:marBottom w:val="0"/>
          <w:divBdr>
            <w:top w:val="none" w:sz="0" w:space="0" w:color="auto"/>
            <w:left w:val="none" w:sz="0" w:space="0" w:color="auto"/>
            <w:bottom w:val="none" w:sz="0" w:space="0" w:color="auto"/>
            <w:right w:val="none" w:sz="0" w:space="0" w:color="auto"/>
          </w:divBdr>
        </w:div>
        <w:div w:id="623314858">
          <w:marLeft w:val="0"/>
          <w:marRight w:val="0"/>
          <w:marTop w:val="0"/>
          <w:marBottom w:val="0"/>
          <w:divBdr>
            <w:top w:val="none" w:sz="0" w:space="0" w:color="auto"/>
            <w:left w:val="none" w:sz="0" w:space="0" w:color="auto"/>
            <w:bottom w:val="none" w:sz="0" w:space="0" w:color="auto"/>
            <w:right w:val="none" w:sz="0" w:space="0" w:color="auto"/>
          </w:divBdr>
        </w:div>
        <w:div w:id="141048267">
          <w:marLeft w:val="0"/>
          <w:marRight w:val="0"/>
          <w:marTop w:val="0"/>
          <w:marBottom w:val="0"/>
          <w:divBdr>
            <w:top w:val="none" w:sz="0" w:space="0" w:color="auto"/>
            <w:left w:val="none" w:sz="0" w:space="0" w:color="auto"/>
            <w:bottom w:val="none" w:sz="0" w:space="0" w:color="auto"/>
            <w:right w:val="none" w:sz="0" w:space="0" w:color="auto"/>
          </w:divBdr>
        </w:div>
        <w:div w:id="725108251">
          <w:marLeft w:val="0"/>
          <w:marRight w:val="0"/>
          <w:marTop w:val="0"/>
          <w:marBottom w:val="0"/>
          <w:divBdr>
            <w:top w:val="none" w:sz="0" w:space="0" w:color="auto"/>
            <w:left w:val="none" w:sz="0" w:space="0" w:color="auto"/>
            <w:bottom w:val="none" w:sz="0" w:space="0" w:color="auto"/>
            <w:right w:val="none" w:sz="0" w:space="0" w:color="auto"/>
          </w:divBdr>
        </w:div>
        <w:div w:id="157120409">
          <w:marLeft w:val="0"/>
          <w:marRight w:val="0"/>
          <w:marTop w:val="0"/>
          <w:marBottom w:val="0"/>
          <w:divBdr>
            <w:top w:val="none" w:sz="0" w:space="0" w:color="auto"/>
            <w:left w:val="none" w:sz="0" w:space="0" w:color="auto"/>
            <w:bottom w:val="none" w:sz="0" w:space="0" w:color="auto"/>
            <w:right w:val="none" w:sz="0" w:space="0" w:color="auto"/>
          </w:divBdr>
        </w:div>
        <w:div w:id="1731923114">
          <w:marLeft w:val="0"/>
          <w:marRight w:val="0"/>
          <w:marTop w:val="0"/>
          <w:marBottom w:val="0"/>
          <w:divBdr>
            <w:top w:val="none" w:sz="0" w:space="0" w:color="auto"/>
            <w:left w:val="none" w:sz="0" w:space="0" w:color="auto"/>
            <w:bottom w:val="none" w:sz="0" w:space="0" w:color="auto"/>
            <w:right w:val="none" w:sz="0" w:space="0" w:color="auto"/>
          </w:divBdr>
        </w:div>
        <w:div w:id="1728604208">
          <w:marLeft w:val="0"/>
          <w:marRight w:val="0"/>
          <w:marTop w:val="0"/>
          <w:marBottom w:val="0"/>
          <w:divBdr>
            <w:top w:val="none" w:sz="0" w:space="0" w:color="auto"/>
            <w:left w:val="none" w:sz="0" w:space="0" w:color="auto"/>
            <w:bottom w:val="none" w:sz="0" w:space="0" w:color="auto"/>
            <w:right w:val="none" w:sz="0" w:space="0" w:color="auto"/>
          </w:divBdr>
        </w:div>
        <w:div w:id="362487491">
          <w:marLeft w:val="0"/>
          <w:marRight w:val="0"/>
          <w:marTop w:val="0"/>
          <w:marBottom w:val="0"/>
          <w:divBdr>
            <w:top w:val="none" w:sz="0" w:space="0" w:color="auto"/>
            <w:left w:val="none" w:sz="0" w:space="0" w:color="auto"/>
            <w:bottom w:val="none" w:sz="0" w:space="0" w:color="auto"/>
            <w:right w:val="none" w:sz="0" w:space="0" w:color="auto"/>
          </w:divBdr>
        </w:div>
        <w:div w:id="511384306">
          <w:marLeft w:val="0"/>
          <w:marRight w:val="0"/>
          <w:marTop w:val="0"/>
          <w:marBottom w:val="0"/>
          <w:divBdr>
            <w:top w:val="none" w:sz="0" w:space="0" w:color="auto"/>
            <w:left w:val="none" w:sz="0" w:space="0" w:color="auto"/>
            <w:bottom w:val="none" w:sz="0" w:space="0" w:color="auto"/>
            <w:right w:val="none" w:sz="0" w:space="0" w:color="auto"/>
          </w:divBdr>
        </w:div>
        <w:div w:id="1263683230">
          <w:marLeft w:val="0"/>
          <w:marRight w:val="0"/>
          <w:marTop w:val="0"/>
          <w:marBottom w:val="0"/>
          <w:divBdr>
            <w:top w:val="none" w:sz="0" w:space="0" w:color="auto"/>
            <w:left w:val="none" w:sz="0" w:space="0" w:color="auto"/>
            <w:bottom w:val="none" w:sz="0" w:space="0" w:color="auto"/>
            <w:right w:val="none" w:sz="0" w:space="0" w:color="auto"/>
          </w:divBdr>
        </w:div>
        <w:div w:id="743844724">
          <w:marLeft w:val="0"/>
          <w:marRight w:val="0"/>
          <w:marTop w:val="0"/>
          <w:marBottom w:val="0"/>
          <w:divBdr>
            <w:top w:val="none" w:sz="0" w:space="0" w:color="auto"/>
            <w:left w:val="none" w:sz="0" w:space="0" w:color="auto"/>
            <w:bottom w:val="none" w:sz="0" w:space="0" w:color="auto"/>
            <w:right w:val="none" w:sz="0" w:space="0" w:color="auto"/>
          </w:divBdr>
        </w:div>
        <w:div w:id="72704118">
          <w:marLeft w:val="0"/>
          <w:marRight w:val="0"/>
          <w:marTop w:val="0"/>
          <w:marBottom w:val="0"/>
          <w:divBdr>
            <w:top w:val="none" w:sz="0" w:space="0" w:color="auto"/>
            <w:left w:val="none" w:sz="0" w:space="0" w:color="auto"/>
            <w:bottom w:val="none" w:sz="0" w:space="0" w:color="auto"/>
            <w:right w:val="none" w:sz="0" w:space="0" w:color="auto"/>
          </w:divBdr>
        </w:div>
        <w:div w:id="827788394">
          <w:marLeft w:val="0"/>
          <w:marRight w:val="0"/>
          <w:marTop w:val="0"/>
          <w:marBottom w:val="0"/>
          <w:divBdr>
            <w:top w:val="none" w:sz="0" w:space="0" w:color="auto"/>
            <w:left w:val="none" w:sz="0" w:space="0" w:color="auto"/>
            <w:bottom w:val="none" w:sz="0" w:space="0" w:color="auto"/>
            <w:right w:val="none" w:sz="0" w:space="0" w:color="auto"/>
          </w:divBdr>
        </w:div>
        <w:div w:id="1433621459">
          <w:marLeft w:val="0"/>
          <w:marRight w:val="0"/>
          <w:marTop w:val="0"/>
          <w:marBottom w:val="0"/>
          <w:divBdr>
            <w:top w:val="none" w:sz="0" w:space="0" w:color="auto"/>
            <w:left w:val="none" w:sz="0" w:space="0" w:color="auto"/>
            <w:bottom w:val="none" w:sz="0" w:space="0" w:color="auto"/>
            <w:right w:val="none" w:sz="0" w:space="0" w:color="auto"/>
          </w:divBdr>
        </w:div>
        <w:div w:id="1445618375">
          <w:marLeft w:val="0"/>
          <w:marRight w:val="0"/>
          <w:marTop w:val="0"/>
          <w:marBottom w:val="0"/>
          <w:divBdr>
            <w:top w:val="none" w:sz="0" w:space="0" w:color="auto"/>
            <w:left w:val="none" w:sz="0" w:space="0" w:color="auto"/>
            <w:bottom w:val="none" w:sz="0" w:space="0" w:color="auto"/>
            <w:right w:val="none" w:sz="0" w:space="0" w:color="auto"/>
          </w:divBdr>
        </w:div>
        <w:div w:id="67071565">
          <w:marLeft w:val="0"/>
          <w:marRight w:val="0"/>
          <w:marTop w:val="0"/>
          <w:marBottom w:val="0"/>
          <w:divBdr>
            <w:top w:val="none" w:sz="0" w:space="0" w:color="auto"/>
            <w:left w:val="none" w:sz="0" w:space="0" w:color="auto"/>
            <w:bottom w:val="none" w:sz="0" w:space="0" w:color="auto"/>
            <w:right w:val="none" w:sz="0" w:space="0" w:color="auto"/>
          </w:divBdr>
        </w:div>
        <w:div w:id="880240138">
          <w:marLeft w:val="0"/>
          <w:marRight w:val="0"/>
          <w:marTop w:val="0"/>
          <w:marBottom w:val="0"/>
          <w:divBdr>
            <w:top w:val="none" w:sz="0" w:space="0" w:color="auto"/>
            <w:left w:val="none" w:sz="0" w:space="0" w:color="auto"/>
            <w:bottom w:val="none" w:sz="0" w:space="0" w:color="auto"/>
            <w:right w:val="none" w:sz="0" w:space="0" w:color="auto"/>
          </w:divBdr>
        </w:div>
        <w:div w:id="863635261">
          <w:marLeft w:val="0"/>
          <w:marRight w:val="0"/>
          <w:marTop w:val="0"/>
          <w:marBottom w:val="0"/>
          <w:divBdr>
            <w:top w:val="none" w:sz="0" w:space="0" w:color="auto"/>
            <w:left w:val="none" w:sz="0" w:space="0" w:color="auto"/>
            <w:bottom w:val="none" w:sz="0" w:space="0" w:color="auto"/>
            <w:right w:val="none" w:sz="0" w:space="0" w:color="auto"/>
          </w:divBdr>
        </w:div>
        <w:div w:id="1254050751">
          <w:marLeft w:val="0"/>
          <w:marRight w:val="0"/>
          <w:marTop w:val="0"/>
          <w:marBottom w:val="0"/>
          <w:divBdr>
            <w:top w:val="none" w:sz="0" w:space="0" w:color="auto"/>
            <w:left w:val="none" w:sz="0" w:space="0" w:color="auto"/>
            <w:bottom w:val="none" w:sz="0" w:space="0" w:color="auto"/>
            <w:right w:val="none" w:sz="0" w:space="0" w:color="auto"/>
          </w:divBdr>
        </w:div>
        <w:div w:id="146022103">
          <w:marLeft w:val="0"/>
          <w:marRight w:val="0"/>
          <w:marTop w:val="0"/>
          <w:marBottom w:val="0"/>
          <w:divBdr>
            <w:top w:val="none" w:sz="0" w:space="0" w:color="auto"/>
            <w:left w:val="none" w:sz="0" w:space="0" w:color="auto"/>
            <w:bottom w:val="none" w:sz="0" w:space="0" w:color="auto"/>
            <w:right w:val="none" w:sz="0" w:space="0" w:color="auto"/>
          </w:divBdr>
        </w:div>
        <w:div w:id="959261456">
          <w:marLeft w:val="0"/>
          <w:marRight w:val="0"/>
          <w:marTop w:val="0"/>
          <w:marBottom w:val="0"/>
          <w:divBdr>
            <w:top w:val="none" w:sz="0" w:space="0" w:color="auto"/>
            <w:left w:val="none" w:sz="0" w:space="0" w:color="auto"/>
            <w:bottom w:val="none" w:sz="0" w:space="0" w:color="auto"/>
            <w:right w:val="none" w:sz="0" w:space="0" w:color="auto"/>
          </w:divBdr>
        </w:div>
        <w:div w:id="256720525">
          <w:marLeft w:val="0"/>
          <w:marRight w:val="0"/>
          <w:marTop w:val="0"/>
          <w:marBottom w:val="0"/>
          <w:divBdr>
            <w:top w:val="none" w:sz="0" w:space="0" w:color="auto"/>
            <w:left w:val="none" w:sz="0" w:space="0" w:color="auto"/>
            <w:bottom w:val="none" w:sz="0" w:space="0" w:color="auto"/>
            <w:right w:val="none" w:sz="0" w:space="0" w:color="auto"/>
          </w:divBdr>
        </w:div>
        <w:div w:id="934635891">
          <w:marLeft w:val="0"/>
          <w:marRight w:val="0"/>
          <w:marTop w:val="0"/>
          <w:marBottom w:val="0"/>
          <w:divBdr>
            <w:top w:val="none" w:sz="0" w:space="0" w:color="auto"/>
            <w:left w:val="none" w:sz="0" w:space="0" w:color="auto"/>
            <w:bottom w:val="none" w:sz="0" w:space="0" w:color="auto"/>
            <w:right w:val="none" w:sz="0" w:space="0" w:color="auto"/>
          </w:divBdr>
        </w:div>
        <w:div w:id="239951221">
          <w:marLeft w:val="0"/>
          <w:marRight w:val="0"/>
          <w:marTop w:val="0"/>
          <w:marBottom w:val="0"/>
          <w:divBdr>
            <w:top w:val="none" w:sz="0" w:space="0" w:color="auto"/>
            <w:left w:val="none" w:sz="0" w:space="0" w:color="auto"/>
            <w:bottom w:val="none" w:sz="0" w:space="0" w:color="auto"/>
            <w:right w:val="none" w:sz="0" w:space="0" w:color="auto"/>
          </w:divBdr>
        </w:div>
        <w:div w:id="1793400750">
          <w:marLeft w:val="0"/>
          <w:marRight w:val="0"/>
          <w:marTop w:val="0"/>
          <w:marBottom w:val="0"/>
          <w:divBdr>
            <w:top w:val="none" w:sz="0" w:space="0" w:color="auto"/>
            <w:left w:val="none" w:sz="0" w:space="0" w:color="auto"/>
            <w:bottom w:val="none" w:sz="0" w:space="0" w:color="auto"/>
            <w:right w:val="none" w:sz="0" w:space="0" w:color="auto"/>
          </w:divBdr>
        </w:div>
        <w:div w:id="1778913988">
          <w:marLeft w:val="0"/>
          <w:marRight w:val="0"/>
          <w:marTop w:val="0"/>
          <w:marBottom w:val="0"/>
          <w:divBdr>
            <w:top w:val="none" w:sz="0" w:space="0" w:color="auto"/>
            <w:left w:val="none" w:sz="0" w:space="0" w:color="auto"/>
            <w:bottom w:val="none" w:sz="0" w:space="0" w:color="auto"/>
            <w:right w:val="none" w:sz="0" w:space="0" w:color="auto"/>
          </w:divBdr>
        </w:div>
        <w:div w:id="22749605">
          <w:marLeft w:val="0"/>
          <w:marRight w:val="0"/>
          <w:marTop w:val="0"/>
          <w:marBottom w:val="0"/>
          <w:divBdr>
            <w:top w:val="none" w:sz="0" w:space="0" w:color="auto"/>
            <w:left w:val="none" w:sz="0" w:space="0" w:color="auto"/>
            <w:bottom w:val="none" w:sz="0" w:space="0" w:color="auto"/>
            <w:right w:val="none" w:sz="0" w:space="0" w:color="auto"/>
          </w:divBdr>
        </w:div>
        <w:div w:id="1541167548">
          <w:marLeft w:val="0"/>
          <w:marRight w:val="0"/>
          <w:marTop w:val="0"/>
          <w:marBottom w:val="0"/>
          <w:divBdr>
            <w:top w:val="none" w:sz="0" w:space="0" w:color="auto"/>
            <w:left w:val="none" w:sz="0" w:space="0" w:color="auto"/>
            <w:bottom w:val="none" w:sz="0" w:space="0" w:color="auto"/>
            <w:right w:val="none" w:sz="0" w:space="0" w:color="auto"/>
          </w:divBdr>
        </w:div>
        <w:div w:id="658920891">
          <w:marLeft w:val="0"/>
          <w:marRight w:val="0"/>
          <w:marTop w:val="0"/>
          <w:marBottom w:val="0"/>
          <w:divBdr>
            <w:top w:val="none" w:sz="0" w:space="0" w:color="auto"/>
            <w:left w:val="none" w:sz="0" w:space="0" w:color="auto"/>
            <w:bottom w:val="none" w:sz="0" w:space="0" w:color="auto"/>
            <w:right w:val="none" w:sz="0" w:space="0" w:color="auto"/>
          </w:divBdr>
        </w:div>
        <w:div w:id="311837111">
          <w:marLeft w:val="0"/>
          <w:marRight w:val="0"/>
          <w:marTop w:val="0"/>
          <w:marBottom w:val="0"/>
          <w:divBdr>
            <w:top w:val="none" w:sz="0" w:space="0" w:color="auto"/>
            <w:left w:val="none" w:sz="0" w:space="0" w:color="auto"/>
            <w:bottom w:val="none" w:sz="0" w:space="0" w:color="auto"/>
            <w:right w:val="none" w:sz="0" w:space="0" w:color="auto"/>
          </w:divBdr>
        </w:div>
        <w:div w:id="352463980">
          <w:marLeft w:val="0"/>
          <w:marRight w:val="0"/>
          <w:marTop w:val="0"/>
          <w:marBottom w:val="0"/>
          <w:divBdr>
            <w:top w:val="none" w:sz="0" w:space="0" w:color="auto"/>
            <w:left w:val="none" w:sz="0" w:space="0" w:color="auto"/>
            <w:bottom w:val="none" w:sz="0" w:space="0" w:color="auto"/>
            <w:right w:val="none" w:sz="0" w:space="0" w:color="auto"/>
          </w:divBdr>
        </w:div>
        <w:div w:id="1042438158">
          <w:marLeft w:val="0"/>
          <w:marRight w:val="0"/>
          <w:marTop w:val="0"/>
          <w:marBottom w:val="0"/>
          <w:divBdr>
            <w:top w:val="none" w:sz="0" w:space="0" w:color="auto"/>
            <w:left w:val="none" w:sz="0" w:space="0" w:color="auto"/>
            <w:bottom w:val="none" w:sz="0" w:space="0" w:color="auto"/>
            <w:right w:val="none" w:sz="0" w:space="0" w:color="auto"/>
          </w:divBdr>
        </w:div>
        <w:div w:id="793522613">
          <w:marLeft w:val="0"/>
          <w:marRight w:val="0"/>
          <w:marTop w:val="0"/>
          <w:marBottom w:val="0"/>
          <w:divBdr>
            <w:top w:val="none" w:sz="0" w:space="0" w:color="auto"/>
            <w:left w:val="none" w:sz="0" w:space="0" w:color="auto"/>
            <w:bottom w:val="none" w:sz="0" w:space="0" w:color="auto"/>
            <w:right w:val="none" w:sz="0" w:space="0" w:color="auto"/>
          </w:divBdr>
        </w:div>
        <w:div w:id="2095541446">
          <w:marLeft w:val="0"/>
          <w:marRight w:val="0"/>
          <w:marTop w:val="0"/>
          <w:marBottom w:val="0"/>
          <w:divBdr>
            <w:top w:val="none" w:sz="0" w:space="0" w:color="auto"/>
            <w:left w:val="none" w:sz="0" w:space="0" w:color="auto"/>
            <w:bottom w:val="none" w:sz="0" w:space="0" w:color="auto"/>
            <w:right w:val="none" w:sz="0" w:space="0" w:color="auto"/>
          </w:divBdr>
        </w:div>
        <w:div w:id="500462375">
          <w:marLeft w:val="0"/>
          <w:marRight w:val="0"/>
          <w:marTop w:val="0"/>
          <w:marBottom w:val="0"/>
          <w:divBdr>
            <w:top w:val="none" w:sz="0" w:space="0" w:color="auto"/>
            <w:left w:val="none" w:sz="0" w:space="0" w:color="auto"/>
            <w:bottom w:val="none" w:sz="0" w:space="0" w:color="auto"/>
            <w:right w:val="none" w:sz="0" w:space="0" w:color="auto"/>
          </w:divBdr>
        </w:div>
        <w:div w:id="1390878480">
          <w:marLeft w:val="0"/>
          <w:marRight w:val="0"/>
          <w:marTop w:val="0"/>
          <w:marBottom w:val="0"/>
          <w:divBdr>
            <w:top w:val="none" w:sz="0" w:space="0" w:color="auto"/>
            <w:left w:val="none" w:sz="0" w:space="0" w:color="auto"/>
            <w:bottom w:val="none" w:sz="0" w:space="0" w:color="auto"/>
            <w:right w:val="none" w:sz="0" w:space="0" w:color="auto"/>
          </w:divBdr>
        </w:div>
        <w:div w:id="1241141151">
          <w:marLeft w:val="0"/>
          <w:marRight w:val="0"/>
          <w:marTop w:val="0"/>
          <w:marBottom w:val="0"/>
          <w:divBdr>
            <w:top w:val="none" w:sz="0" w:space="0" w:color="auto"/>
            <w:left w:val="none" w:sz="0" w:space="0" w:color="auto"/>
            <w:bottom w:val="none" w:sz="0" w:space="0" w:color="auto"/>
            <w:right w:val="none" w:sz="0" w:space="0" w:color="auto"/>
          </w:divBdr>
        </w:div>
        <w:div w:id="568537988">
          <w:marLeft w:val="0"/>
          <w:marRight w:val="0"/>
          <w:marTop w:val="0"/>
          <w:marBottom w:val="0"/>
          <w:divBdr>
            <w:top w:val="none" w:sz="0" w:space="0" w:color="auto"/>
            <w:left w:val="none" w:sz="0" w:space="0" w:color="auto"/>
            <w:bottom w:val="none" w:sz="0" w:space="0" w:color="auto"/>
            <w:right w:val="none" w:sz="0" w:space="0" w:color="auto"/>
          </w:divBdr>
        </w:div>
        <w:div w:id="1559053888">
          <w:marLeft w:val="0"/>
          <w:marRight w:val="0"/>
          <w:marTop w:val="0"/>
          <w:marBottom w:val="0"/>
          <w:divBdr>
            <w:top w:val="none" w:sz="0" w:space="0" w:color="auto"/>
            <w:left w:val="none" w:sz="0" w:space="0" w:color="auto"/>
            <w:bottom w:val="none" w:sz="0" w:space="0" w:color="auto"/>
            <w:right w:val="none" w:sz="0" w:space="0" w:color="auto"/>
          </w:divBdr>
        </w:div>
        <w:div w:id="677774989">
          <w:marLeft w:val="0"/>
          <w:marRight w:val="0"/>
          <w:marTop w:val="0"/>
          <w:marBottom w:val="0"/>
          <w:divBdr>
            <w:top w:val="none" w:sz="0" w:space="0" w:color="auto"/>
            <w:left w:val="none" w:sz="0" w:space="0" w:color="auto"/>
            <w:bottom w:val="none" w:sz="0" w:space="0" w:color="auto"/>
            <w:right w:val="none" w:sz="0" w:space="0" w:color="auto"/>
          </w:divBdr>
        </w:div>
        <w:div w:id="1660501310">
          <w:marLeft w:val="0"/>
          <w:marRight w:val="0"/>
          <w:marTop w:val="0"/>
          <w:marBottom w:val="0"/>
          <w:divBdr>
            <w:top w:val="none" w:sz="0" w:space="0" w:color="auto"/>
            <w:left w:val="none" w:sz="0" w:space="0" w:color="auto"/>
            <w:bottom w:val="none" w:sz="0" w:space="0" w:color="auto"/>
            <w:right w:val="none" w:sz="0" w:space="0" w:color="auto"/>
          </w:divBdr>
        </w:div>
        <w:div w:id="318919936">
          <w:marLeft w:val="0"/>
          <w:marRight w:val="0"/>
          <w:marTop w:val="0"/>
          <w:marBottom w:val="0"/>
          <w:divBdr>
            <w:top w:val="none" w:sz="0" w:space="0" w:color="auto"/>
            <w:left w:val="none" w:sz="0" w:space="0" w:color="auto"/>
            <w:bottom w:val="none" w:sz="0" w:space="0" w:color="auto"/>
            <w:right w:val="none" w:sz="0" w:space="0" w:color="auto"/>
          </w:divBdr>
        </w:div>
        <w:div w:id="64499035">
          <w:marLeft w:val="0"/>
          <w:marRight w:val="0"/>
          <w:marTop w:val="0"/>
          <w:marBottom w:val="0"/>
          <w:divBdr>
            <w:top w:val="none" w:sz="0" w:space="0" w:color="auto"/>
            <w:left w:val="none" w:sz="0" w:space="0" w:color="auto"/>
            <w:bottom w:val="none" w:sz="0" w:space="0" w:color="auto"/>
            <w:right w:val="none" w:sz="0" w:space="0" w:color="auto"/>
          </w:divBdr>
        </w:div>
        <w:div w:id="117340070">
          <w:marLeft w:val="0"/>
          <w:marRight w:val="0"/>
          <w:marTop w:val="0"/>
          <w:marBottom w:val="0"/>
          <w:divBdr>
            <w:top w:val="none" w:sz="0" w:space="0" w:color="auto"/>
            <w:left w:val="none" w:sz="0" w:space="0" w:color="auto"/>
            <w:bottom w:val="none" w:sz="0" w:space="0" w:color="auto"/>
            <w:right w:val="none" w:sz="0" w:space="0" w:color="auto"/>
          </w:divBdr>
        </w:div>
        <w:div w:id="963540266">
          <w:marLeft w:val="0"/>
          <w:marRight w:val="0"/>
          <w:marTop w:val="0"/>
          <w:marBottom w:val="0"/>
          <w:divBdr>
            <w:top w:val="none" w:sz="0" w:space="0" w:color="auto"/>
            <w:left w:val="none" w:sz="0" w:space="0" w:color="auto"/>
            <w:bottom w:val="none" w:sz="0" w:space="0" w:color="auto"/>
            <w:right w:val="none" w:sz="0" w:space="0" w:color="auto"/>
          </w:divBdr>
        </w:div>
        <w:div w:id="2072999176">
          <w:marLeft w:val="0"/>
          <w:marRight w:val="0"/>
          <w:marTop w:val="0"/>
          <w:marBottom w:val="0"/>
          <w:divBdr>
            <w:top w:val="none" w:sz="0" w:space="0" w:color="auto"/>
            <w:left w:val="none" w:sz="0" w:space="0" w:color="auto"/>
            <w:bottom w:val="none" w:sz="0" w:space="0" w:color="auto"/>
            <w:right w:val="none" w:sz="0" w:space="0" w:color="auto"/>
          </w:divBdr>
        </w:div>
        <w:div w:id="1441952683">
          <w:marLeft w:val="0"/>
          <w:marRight w:val="0"/>
          <w:marTop w:val="0"/>
          <w:marBottom w:val="0"/>
          <w:divBdr>
            <w:top w:val="none" w:sz="0" w:space="0" w:color="auto"/>
            <w:left w:val="none" w:sz="0" w:space="0" w:color="auto"/>
            <w:bottom w:val="none" w:sz="0" w:space="0" w:color="auto"/>
            <w:right w:val="none" w:sz="0" w:space="0" w:color="auto"/>
          </w:divBdr>
        </w:div>
        <w:div w:id="24448714">
          <w:marLeft w:val="0"/>
          <w:marRight w:val="0"/>
          <w:marTop w:val="0"/>
          <w:marBottom w:val="0"/>
          <w:divBdr>
            <w:top w:val="none" w:sz="0" w:space="0" w:color="auto"/>
            <w:left w:val="none" w:sz="0" w:space="0" w:color="auto"/>
            <w:bottom w:val="none" w:sz="0" w:space="0" w:color="auto"/>
            <w:right w:val="none" w:sz="0" w:space="0" w:color="auto"/>
          </w:divBdr>
        </w:div>
        <w:div w:id="1635981172">
          <w:marLeft w:val="0"/>
          <w:marRight w:val="0"/>
          <w:marTop w:val="0"/>
          <w:marBottom w:val="0"/>
          <w:divBdr>
            <w:top w:val="none" w:sz="0" w:space="0" w:color="auto"/>
            <w:left w:val="none" w:sz="0" w:space="0" w:color="auto"/>
            <w:bottom w:val="none" w:sz="0" w:space="0" w:color="auto"/>
            <w:right w:val="none" w:sz="0" w:space="0" w:color="auto"/>
          </w:divBdr>
        </w:div>
        <w:div w:id="1558322061">
          <w:marLeft w:val="0"/>
          <w:marRight w:val="0"/>
          <w:marTop w:val="0"/>
          <w:marBottom w:val="0"/>
          <w:divBdr>
            <w:top w:val="none" w:sz="0" w:space="0" w:color="auto"/>
            <w:left w:val="none" w:sz="0" w:space="0" w:color="auto"/>
            <w:bottom w:val="none" w:sz="0" w:space="0" w:color="auto"/>
            <w:right w:val="none" w:sz="0" w:space="0" w:color="auto"/>
          </w:divBdr>
        </w:div>
        <w:div w:id="105541214">
          <w:marLeft w:val="0"/>
          <w:marRight w:val="0"/>
          <w:marTop w:val="0"/>
          <w:marBottom w:val="0"/>
          <w:divBdr>
            <w:top w:val="none" w:sz="0" w:space="0" w:color="auto"/>
            <w:left w:val="none" w:sz="0" w:space="0" w:color="auto"/>
            <w:bottom w:val="none" w:sz="0" w:space="0" w:color="auto"/>
            <w:right w:val="none" w:sz="0" w:space="0" w:color="auto"/>
          </w:divBdr>
        </w:div>
        <w:div w:id="1113523424">
          <w:marLeft w:val="0"/>
          <w:marRight w:val="0"/>
          <w:marTop w:val="0"/>
          <w:marBottom w:val="0"/>
          <w:divBdr>
            <w:top w:val="none" w:sz="0" w:space="0" w:color="auto"/>
            <w:left w:val="none" w:sz="0" w:space="0" w:color="auto"/>
            <w:bottom w:val="none" w:sz="0" w:space="0" w:color="auto"/>
            <w:right w:val="none" w:sz="0" w:space="0" w:color="auto"/>
          </w:divBdr>
        </w:div>
        <w:div w:id="161699190">
          <w:marLeft w:val="0"/>
          <w:marRight w:val="0"/>
          <w:marTop w:val="0"/>
          <w:marBottom w:val="0"/>
          <w:divBdr>
            <w:top w:val="none" w:sz="0" w:space="0" w:color="auto"/>
            <w:left w:val="none" w:sz="0" w:space="0" w:color="auto"/>
            <w:bottom w:val="none" w:sz="0" w:space="0" w:color="auto"/>
            <w:right w:val="none" w:sz="0" w:space="0" w:color="auto"/>
          </w:divBdr>
        </w:div>
        <w:div w:id="1090547933">
          <w:marLeft w:val="0"/>
          <w:marRight w:val="0"/>
          <w:marTop w:val="0"/>
          <w:marBottom w:val="0"/>
          <w:divBdr>
            <w:top w:val="none" w:sz="0" w:space="0" w:color="auto"/>
            <w:left w:val="none" w:sz="0" w:space="0" w:color="auto"/>
            <w:bottom w:val="none" w:sz="0" w:space="0" w:color="auto"/>
            <w:right w:val="none" w:sz="0" w:space="0" w:color="auto"/>
          </w:divBdr>
        </w:div>
        <w:div w:id="25372917">
          <w:marLeft w:val="0"/>
          <w:marRight w:val="0"/>
          <w:marTop w:val="0"/>
          <w:marBottom w:val="0"/>
          <w:divBdr>
            <w:top w:val="none" w:sz="0" w:space="0" w:color="auto"/>
            <w:left w:val="none" w:sz="0" w:space="0" w:color="auto"/>
            <w:bottom w:val="none" w:sz="0" w:space="0" w:color="auto"/>
            <w:right w:val="none" w:sz="0" w:space="0" w:color="auto"/>
          </w:divBdr>
        </w:div>
        <w:div w:id="1584026881">
          <w:marLeft w:val="0"/>
          <w:marRight w:val="0"/>
          <w:marTop w:val="0"/>
          <w:marBottom w:val="0"/>
          <w:divBdr>
            <w:top w:val="none" w:sz="0" w:space="0" w:color="auto"/>
            <w:left w:val="none" w:sz="0" w:space="0" w:color="auto"/>
            <w:bottom w:val="none" w:sz="0" w:space="0" w:color="auto"/>
            <w:right w:val="none" w:sz="0" w:space="0" w:color="auto"/>
          </w:divBdr>
        </w:div>
        <w:div w:id="800924744">
          <w:marLeft w:val="0"/>
          <w:marRight w:val="0"/>
          <w:marTop w:val="0"/>
          <w:marBottom w:val="0"/>
          <w:divBdr>
            <w:top w:val="none" w:sz="0" w:space="0" w:color="auto"/>
            <w:left w:val="none" w:sz="0" w:space="0" w:color="auto"/>
            <w:bottom w:val="none" w:sz="0" w:space="0" w:color="auto"/>
            <w:right w:val="none" w:sz="0" w:space="0" w:color="auto"/>
          </w:divBdr>
        </w:div>
        <w:div w:id="2044743240">
          <w:marLeft w:val="0"/>
          <w:marRight w:val="0"/>
          <w:marTop w:val="0"/>
          <w:marBottom w:val="0"/>
          <w:divBdr>
            <w:top w:val="none" w:sz="0" w:space="0" w:color="auto"/>
            <w:left w:val="none" w:sz="0" w:space="0" w:color="auto"/>
            <w:bottom w:val="none" w:sz="0" w:space="0" w:color="auto"/>
            <w:right w:val="none" w:sz="0" w:space="0" w:color="auto"/>
          </w:divBdr>
        </w:div>
        <w:div w:id="1363018546">
          <w:marLeft w:val="0"/>
          <w:marRight w:val="0"/>
          <w:marTop w:val="0"/>
          <w:marBottom w:val="0"/>
          <w:divBdr>
            <w:top w:val="none" w:sz="0" w:space="0" w:color="auto"/>
            <w:left w:val="none" w:sz="0" w:space="0" w:color="auto"/>
            <w:bottom w:val="none" w:sz="0" w:space="0" w:color="auto"/>
            <w:right w:val="none" w:sz="0" w:space="0" w:color="auto"/>
          </w:divBdr>
        </w:div>
        <w:div w:id="703213578">
          <w:marLeft w:val="0"/>
          <w:marRight w:val="0"/>
          <w:marTop w:val="0"/>
          <w:marBottom w:val="0"/>
          <w:divBdr>
            <w:top w:val="none" w:sz="0" w:space="0" w:color="auto"/>
            <w:left w:val="none" w:sz="0" w:space="0" w:color="auto"/>
            <w:bottom w:val="none" w:sz="0" w:space="0" w:color="auto"/>
            <w:right w:val="none" w:sz="0" w:space="0" w:color="auto"/>
          </w:divBdr>
        </w:div>
        <w:div w:id="18046966">
          <w:marLeft w:val="0"/>
          <w:marRight w:val="0"/>
          <w:marTop w:val="0"/>
          <w:marBottom w:val="0"/>
          <w:divBdr>
            <w:top w:val="none" w:sz="0" w:space="0" w:color="auto"/>
            <w:left w:val="none" w:sz="0" w:space="0" w:color="auto"/>
            <w:bottom w:val="none" w:sz="0" w:space="0" w:color="auto"/>
            <w:right w:val="none" w:sz="0" w:space="0" w:color="auto"/>
          </w:divBdr>
        </w:div>
        <w:div w:id="1916821370">
          <w:marLeft w:val="0"/>
          <w:marRight w:val="0"/>
          <w:marTop w:val="0"/>
          <w:marBottom w:val="0"/>
          <w:divBdr>
            <w:top w:val="none" w:sz="0" w:space="0" w:color="auto"/>
            <w:left w:val="none" w:sz="0" w:space="0" w:color="auto"/>
            <w:bottom w:val="none" w:sz="0" w:space="0" w:color="auto"/>
            <w:right w:val="none" w:sz="0" w:space="0" w:color="auto"/>
          </w:divBdr>
        </w:div>
        <w:div w:id="1827740414">
          <w:marLeft w:val="0"/>
          <w:marRight w:val="0"/>
          <w:marTop w:val="0"/>
          <w:marBottom w:val="0"/>
          <w:divBdr>
            <w:top w:val="none" w:sz="0" w:space="0" w:color="auto"/>
            <w:left w:val="none" w:sz="0" w:space="0" w:color="auto"/>
            <w:bottom w:val="none" w:sz="0" w:space="0" w:color="auto"/>
            <w:right w:val="none" w:sz="0" w:space="0" w:color="auto"/>
          </w:divBdr>
        </w:div>
        <w:div w:id="177624133">
          <w:marLeft w:val="0"/>
          <w:marRight w:val="0"/>
          <w:marTop w:val="0"/>
          <w:marBottom w:val="0"/>
          <w:divBdr>
            <w:top w:val="none" w:sz="0" w:space="0" w:color="auto"/>
            <w:left w:val="none" w:sz="0" w:space="0" w:color="auto"/>
            <w:bottom w:val="none" w:sz="0" w:space="0" w:color="auto"/>
            <w:right w:val="none" w:sz="0" w:space="0" w:color="auto"/>
          </w:divBdr>
        </w:div>
        <w:div w:id="104430538">
          <w:marLeft w:val="0"/>
          <w:marRight w:val="0"/>
          <w:marTop w:val="0"/>
          <w:marBottom w:val="0"/>
          <w:divBdr>
            <w:top w:val="none" w:sz="0" w:space="0" w:color="auto"/>
            <w:left w:val="none" w:sz="0" w:space="0" w:color="auto"/>
            <w:bottom w:val="none" w:sz="0" w:space="0" w:color="auto"/>
            <w:right w:val="none" w:sz="0" w:space="0" w:color="auto"/>
          </w:divBdr>
        </w:div>
        <w:div w:id="762846014">
          <w:marLeft w:val="0"/>
          <w:marRight w:val="0"/>
          <w:marTop w:val="0"/>
          <w:marBottom w:val="0"/>
          <w:divBdr>
            <w:top w:val="none" w:sz="0" w:space="0" w:color="auto"/>
            <w:left w:val="none" w:sz="0" w:space="0" w:color="auto"/>
            <w:bottom w:val="none" w:sz="0" w:space="0" w:color="auto"/>
            <w:right w:val="none" w:sz="0" w:space="0" w:color="auto"/>
          </w:divBdr>
        </w:div>
        <w:div w:id="543299637">
          <w:marLeft w:val="0"/>
          <w:marRight w:val="0"/>
          <w:marTop w:val="0"/>
          <w:marBottom w:val="0"/>
          <w:divBdr>
            <w:top w:val="none" w:sz="0" w:space="0" w:color="auto"/>
            <w:left w:val="none" w:sz="0" w:space="0" w:color="auto"/>
            <w:bottom w:val="none" w:sz="0" w:space="0" w:color="auto"/>
            <w:right w:val="none" w:sz="0" w:space="0" w:color="auto"/>
          </w:divBdr>
        </w:div>
        <w:div w:id="732889978">
          <w:marLeft w:val="0"/>
          <w:marRight w:val="0"/>
          <w:marTop w:val="0"/>
          <w:marBottom w:val="0"/>
          <w:divBdr>
            <w:top w:val="none" w:sz="0" w:space="0" w:color="auto"/>
            <w:left w:val="none" w:sz="0" w:space="0" w:color="auto"/>
            <w:bottom w:val="none" w:sz="0" w:space="0" w:color="auto"/>
            <w:right w:val="none" w:sz="0" w:space="0" w:color="auto"/>
          </w:divBdr>
        </w:div>
        <w:div w:id="1874876985">
          <w:marLeft w:val="0"/>
          <w:marRight w:val="0"/>
          <w:marTop w:val="0"/>
          <w:marBottom w:val="0"/>
          <w:divBdr>
            <w:top w:val="none" w:sz="0" w:space="0" w:color="auto"/>
            <w:left w:val="none" w:sz="0" w:space="0" w:color="auto"/>
            <w:bottom w:val="none" w:sz="0" w:space="0" w:color="auto"/>
            <w:right w:val="none" w:sz="0" w:space="0" w:color="auto"/>
          </w:divBdr>
        </w:div>
        <w:div w:id="1787893283">
          <w:marLeft w:val="0"/>
          <w:marRight w:val="0"/>
          <w:marTop w:val="0"/>
          <w:marBottom w:val="0"/>
          <w:divBdr>
            <w:top w:val="none" w:sz="0" w:space="0" w:color="auto"/>
            <w:left w:val="none" w:sz="0" w:space="0" w:color="auto"/>
            <w:bottom w:val="none" w:sz="0" w:space="0" w:color="auto"/>
            <w:right w:val="none" w:sz="0" w:space="0" w:color="auto"/>
          </w:divBdr>
        </w:div>
        <w:div w:id="1078289578">
          <w:marLeft w:val="0"/>
          <w:marRight w:val="0"/>
          <w:marTop w:val="0"/>
          <w:marBottom w:val="0"/>
          <w:divBdr>
            <w:top w:val="none" w:sz="0" w:space="0" w:color="auto"/>
            <w:left w:val="none" w:sz="0" w:space="0" w:color="auto"/>
            <w:bottom w:val="none" w:sz="0" w:space="0" w:color="auto"/>
            <w:right w:val="none" w:sz="0" w:space="0" w:color="auto"/>
          </w:divBdr>
        </w:div>
        <w:div w:id="1887374645">
          <w:marLeft w:val="0"/>
          <w:marRight w:val="0"/>
          <w:marTop w:val="0"/>
          <w:marBottom w:val="0"/>
          <w:divBdr>
            <w:top w:val="none" w:sz="0" w:space="0" w:color="auto"/>
            <w:left w:val="none" w:sz="0" w:space="0" w:color="auto"/>
            <w:bottom w:val="none" w:sz="0" w:space="0" w:color="auto"/>
            <w:right w:val="none" w:sz="0" w:space="0" w:color="auto"/>
          </w:divBdr>
        </w:div>
        <w:div w:id="1158688814">
          <w:marLeft w:val="0"/>
          <w:marRight w:val="0"/>
          <w:marTop w:val="0"/>
          <w:marBottom w:val="0"/>
          <w:divBdr>
            <w:top w:val="none" w:sz="0" w:space="0" w:color="auto"/>
            <w:left w:val="none" w:sz="0" w:space="0" w:color="auto"/>
            <w:bottom w:val="none" w:sz="0" w:space="0" w:color="auto"/>
            <w:right w:val="none" w:sz="0" w:space="0" w:color="auto"/>
          </w:divBdr>
        </w:div>
        <w:div w:id="1720938936">
          <w:marLeft w:val="0"/>
          <w:marRight w:val="0"/>
          <w:marTop w:val="0"/>
          <w:marBottom w:val="0"/>
          <w:divBdr>
            <w:top w:val="none" w:sz="0" w:space="0" w:color="auto"/>
            <w:left w:val="none" w:sz="0" w:space="0" w:color="auto"/>
            <w:bottom w:val="none" w:sz="0" w:space="0" w:color="auto"/>
            <w:right w:val="none" w:sz="0" w:space="0" w:color="auto"/>
          </w:divBdr>
        </w:div>
        <w:div w:id="1288925831">
          <w:marLeft w:val="0"/>
          <w:marRight w:val="0"/>
          <w:marTop w:val="0"/>
          <w:marBottom w:val="0"/>
          <w:divBdr>
            <w:top w:val="none" w:sz="0" w:space="0" w:color="auto"/>
            <w:left w:val="none" w:sz="0" w:space="0" w:color="auto"/>
            <w:bottom w:val="none" w:sz="0" w:space="0" w:color="auto"/>
            <w:right w:val="none" w:sz="0" w:space="0" w:color="auto"/>
          </w:divBdr>
        </w:div>
        <w:div w:id="1073892872">
          <w:marLeft w:val="0"/>
          <w:marRight w:val="0"/>
          <w:marTop w:val="0"/>
          <w:marBottom w:val="0"/>
          <w:divBdr>
            <w:top w:val="none" w:sz="0" w:space="0" w:color="auto"/>
            <w:left w:val="none" w:sz="0" w:space="0" w:color="auto"/>
            <w:bottom w:val="none" w:sz="0" w:space="0" w:color="auto"/>
            <w:right w:val="none" w:sz="0" w:space="0" w:color="auto"/>
          </w:divBdr>
        </w:div>
        <w:div w:id="595947211">
          <w:marLeft w:val="0"/>
          <w:marRight w:val="0"/>
          <w:marTop w:val="0"/>
          <w:marBottom w:val="0"/>
          <w:divBdr>
            <w:top w:val="none" w:sz="0" w:space="0" w:color="auto"/>
            <w:left w:val="none" w:sz="0" w:space="0" w:color="auto"/>
            <w:bottom w:val="none" w:sz="0" w:space="0" w:color="auto"/>
            <w:right w:val="none" w:sz="0" w:space="0" w:color="auto"/>
          </w:divBdr>
        </w:div>
        <w:div w:id="403532169">
          <w:marLeft w:val="0"/>
          <w:marRight w:val="0"/>
          <w:marTop w:val="0"/>
          <w:marBottom w:val="0"/>
          <w:divBdr>
            <w:top w:val="none" w:sz="0" w:space="0" w:color="auto"/>
            <w:left w:val="none" w:sz="0" w:space="0" w:color="auto"/>
            <w:bottom w:val="none" w:sz="0" w:space="0" w:color="auto"/>
            <w:right w:val="none" w:sz="0" w:space="0" w:color="auto"/>
          </w:divBdr>
        </w:div>
        <w:div w:id="1436290272">
          <w:marLeft w:val="0"/>
          <w:marRight w:val="0"/>
          <w:marTop w:val="0"/>
          <w:marBottom w:val="0"/>
          <w:divBdr>
            <w:top w:val="none" w:sz="0" w:space="0" w:color="auto"/>
            <w:left w:val="none" w:sz="0" w:space="0" w:color="auto"/>
            <w:bottom w:val="none" w:sz="0" w:space="0" w:color="auto"/>
            <w:right w:val="none" w:sz="0" w:space="0" w:color="auto"/>
          </w:divBdr>
        </w:div>
        <w:div w:id="178665217">
          <w:marLeft w:val="0"/>
          <w:marRight w:val="0"/>
          <w:marTop w:val="0"/>
          <w:marBottom w:val="0"/>
          <w:divBdr>
            <w:top w:val="none" w:sz="0" w:space="0" w:color="auto"/>
            <w:left w:val="none" w:sz="0" w:space="0" w:color="auto"/>
            <w:bottom w:val="none" w:sz="0" w:space="0" w:color="auto"/>
            <w:right w:val="none" w:sz="0" w:space="0" w:color="auto"/>
          </w:divBdr>
        </w:div>
        <w:div w:id="687025680">
          <w:marLeft w:val="0"/>
          <w:marRight w:val="0"/>
          <w:marTop w:val="0"/>
          <w:marBottom w:val="0"/>
          <w:divBdr>
            <w:top w:val="none" w:sz="0" w:space="0" w:color="auto"/>
            <w:left w:val="none" w:sz="0" w:space="0" w:color="auto"/>
            <w:bottom w:val="none" w:sz="0" w:space="0" w:color="auto"/>
            <w:right w:val="none" w:sz="0" w:space="0" w:color="auto"/>
          </w:divBdr>
        </w:div>
        <w:div w:id="695077493">
          <w:marLeft w:val="0"/>
          <w:marRight w:val="0"/>
          <w:marTop w:val="0"/>
          <w:marBottom w:val="0"/>
          <w:divBdr>
            <w:top w:val="none" w:sz="0" w:space="0" w:color="auto"/>
            <w:left w:val="none" w:sz="0" w:space="0" w:color="auto"/>
            <w:bottom w:val="none" w:sz="0" w:space="0" w:color="auto"/>
            <w:right w:val="none" w:sz="0" w:space="0" w:color="auto"/>
          </w:divBdr>
        </w:div>
        <w:div w:id="707339037">
          <w:marLeft w:val="0"/>
          <w:marRight w:val="0"/>
          <w:marTop w:val="0"/>
          <w:marBottom w:val="0"/>
          <w:divBdr>
            <w:top w:val="none" w:sz="0" w:space="0" w:color="auto"/>
            <w:left w:val="none" w:sz="0" w:space="0" w:color="auto"/>
            <w:bottom w:val="none" w:sz="0" w:space="0" w:color="auto"/>
            <w:right w:val="none" w:sz="0" w:space="0" w:color="auto"/>
          </w:divBdr>
        </w:div>
        <w:div w:id="650599489">
          <w:marLeft w:val="0"/>
          <w:marRight w:val="0"/>
          <w:marTop w:val="0"/>
          <w:marBottom w:val="0"/>
          <w:divBdr>
            <w:top w:val="none" w:sz="0" w:space="0" w:color="auto"/>
            <w:left w:val="none" w:sz="0" w:space="0" w:color="auto"/>
            <w:bottom w:val="none" w:sz="0" w:space="0" w:color="auto"/>
            <w:right w:val="none" w:sz="0" w:space="0" w:color="auto"/>
          </w:divBdr>
        </w:div>
        <w:div w:id="1218010551">
          <w:marLeft w:val="0"/>
          <w:marRight w:val="0"/>
          <w:marTop w:val="0"/>
          <w:marBottom w:val="0"/>
          <w:divBdr>
            <w:top w:val="none" w:sz="0" w:space="0" w:color="auto"/>
            <w:left w:val="none" w:sz="0" w:space="0" w:color="auto"/>
            <w:bottom w:val="none" w:sz="0" w:space="0" w:color="auto"/>
            <w:right w:val="none" w:sz="0" w:space="0" w:color="auto"/>
          </w:divBdr>
        </w:div>
        <w:div w:id="1597056376">
          <w:marLeft w:val="0"/>
          <w:marRight w:val="0"/>
          <w:marTop w:val="0"/>
          <w:marBottom w:val="0"/>
          <w:divBdr>
            <w:top w:val="none" w:sz="0" w:space="0" w:color="auto"/>
            <w:left w:val="none" w:sz="0" w:space="0" w:color="auto"/>
            <w:bottom w:val="none" w:sz="0" w:space="0" w:color="auto"/>
            <w:right w:val="none" w:sz="0" w:space="0" w:color="auto"/>
          </w:divBdr>
        </w:div>
        <w:div w:id="1912156241">
          <w:marLeft w:val="0"/>
          <w:marRight w:val="0"/>
          <w:marTop w:val="0"/>
          <w:marBottom w:val="0"/>
          <w:divBdr>
            <w:top w:val="none" w:sz="0" w:space="0" w:color="auto"/>
            <w:left w:val="none" w:sz="0" w:space="0" w:color="auto"/>
            <w:bottom w:val="none" w:sz="0" w:space="0" w:color="auto"/>
            <w:right w:val="none" w:sz="0" w:space="0" w:color="auto"/>
          </w:divBdr>
        </w:div>
        <w:div w:id="972103566">
          <w:marLeft w:val="0"/>
          <w:marRight w:val="0"/>
          <w:marTop w:val="0"/>
          <w:marBottom w:val="0"/>
          <w:divBdr>
            <w:top w:val="none" w:sz="0" w:space="0" w:color="auto"/>
            <w:left w:val="none" w:sz="0" w:space="0" w:color="auto"/>
            <w:bottom w:val="none" w:sz="0" w:space="0" w:color="auto"/>
            <w:right w:val="none" w:sz="0" w:space="0" w:color="auto"/>
          </w:divBdr>
        </w:div>
        <w:div w:id="354161355">
          <w:marLeft w:val="0"/>
          <w:marRight w:val="0"/>
          <w:marTop w:val="0"/>
          <w:marBottom w:val="0"/>
          <w:divBdr>
            <w:top w:val="none" w:sz="0" w:space="0" w:color="auto"/>
            <w:left w:val="none" w:sz="0" w:space="0" w:color="auto"/>
            <w:bottom w:val="none" w:sz="0" w:space="0" w:color="auto"/>
            <w:right w:val="none" w:sz="0" w:space="0" w:color="auto"/>
          </w:divBdr>
        </w:div>
        <w:div w:id="2045517233">
          <w:marLeft w:val="0"/>
          <w:marRight w:val="0"/>
          <w:marTop w:val="0"/>
          <w:marBottom w:val="0"/>
          <w:divBdr>
            <w:top w:val="none" w:sz="0" w:space="0" w:color="auto"/>
            <w:left w:val="none" w:sz="0" w:space="0" w:color="auto"/>
            <w:bottom w:val="none" w:sz="0" w:space="0" w:color="auto"/>
            <w:right w:val="none" w:sz="0" w:space="0" w:color="auto"/>
          </w:divBdr>
        </w:div>
        <w:div w:id="315493172">
          <w:marLeft w:val="0"/>
          <w:marRight w:val="0"/>
          <w:marTop w:val="0"/>
          <w:marBottom w:val="0"/>
          <w:divBdr>
            <w:top w:val="none" w:sz="0" w:space="0" w:color="auto"/>
            <w:left w:val="none" w:sz="0" w:space="0" w:color="auto"/>
            <w:bottom w:val="none" w:sz="0" w:space="0" w:color="auto"/>
            <w:right w:val="none" w:sz="0" w:space="0" w:color="auto"/>
          </w:divBdr>
        </w:div>
        <w:div w:id="1586300954">
          <w:marLeft w:val="0"/>
          <w:marRight w:val="0"/>
          <w:marTop w:val="0"/>
          <w:marBottom w:val="0"/>
          <w:divBdr>
            <w:top w:val="none" w:sz="0" w:space="0" w:color="auto"/>
            <w:left w:val="none" w:sz="0" w:space="0" w:color="auto"/>
            <w:bottom w:val="none" w:sz="0" w:space="0" w:color="auto"/>
            <w:right w:val="none" w:sz="0" w:space="0" w:color="auto"/>
          </w:divBdr>
        </w:div>
        <w:div w:id="1520970953">
          <w:marLeft w:val="0"/>
          <w:marRight w:val="0"/>
          <w:marTop w:val="0"/>
          <w:marBottom w:val="0"/>
          <w:divBdr>
            <w:top w:val="none" w:sz="0" w:space="0" w:color="auto"/>
            <w:left w:val="none" w:sz="0" w:space="0" w:color="auto"/>
            <w:bottom w:val="none" w:sz="0" w:space="0" w:color="auto"/>
            <w:right w:val="none" w:sz="0" w:space="0" w:color="auto"/>
          </w:divBdr>
        </w:div>
        <w:div w:id="1089276054">
          <w:marLeft w:val="0"/>
          <w:marRight w:val="0"/>
          <w:marTop w:val="0"/>
          <w:marBottom w:val="0"/>
          <w:divBdr>
            <w:top w:val="none" w:sz="0" w:space="0" w:color="auto"/>
            <w:left w:val="none" w:sz="0" w:space="0" w:color="auto"/>
            <w:bottom w:val="none" w:sz="0" w:space="0" w:color="auto"/>
            <w:right w:val="none" w:sz="0" w:space="0" w:color="auto"/>
          </w:divBdr>
        </w:div>
        <w:div w:id="1917982496">
          <w:marLeft w:val="0"/>
          <w:marRight w:val="0"/>
          <w:marTop w:val="0"/>
          <w:marBottom w:val="0"/>
          <w:divBdr>
            <w:top w:val="none" w:sz="0" w:space="0" w:color="auto"/>
            <w:left w:val="none" w:sz="0" w:space="0" w:color="auto"/>
            <w:bottom w:val="none" w:sz="0" w:space="0" w:color="auto"/>
            <w:right w:val="none" w:sz="0" w:space="0" w:color="auto"/>
          </w:divBdr>
        </w:div>
        <w:div w:id="712657736">
          <w:marLeft w:val="0"/>
          <w:marRight w:val="0"/>
          <w:marTop w:val="0"/>
          <w:marBottom w:val="0"/>
          <w:divBdr>
            <w:top w:val="none" w:sz="0" w:space="0" w:color="auto"/>
            <w:left w:val="none" w:sz="0" w:space="0" w:color="auto"/>
            <w:bottom w:val="none" w:sz="0" w:space="0" w:color="auto"/>
            <w:right w:val="none" w:sz="0" w:space="0" w:color="auto"/>
          </w:divBdr>
        </w:div>
        <w:div w:id="345795591">
          <w:marLeft w:val="0"/>
          <w:marRight w:val="0"/>
          <w:marTop w:val="0"/>
          <w:marBottom w:val="0"/>
          <w:divBdr>
            <w:top w:val="none" w:sz="0" w:space="0" w:color="auto"/>
            <w:left w:val="none" w:sz="0" w:space="0" w:color="auto"/>
            <w:bottom w:val="none" w:sz="0" w:space="0" w:color="auto"/>
            <w:right w:val="none" w:sz="0" w:space="0" w:color="auto"/>
          </w:divBdr>
        </w:div>
        <w:div w:id="1843856196">
          <w:marLeft w:val="0"/>
          <w:marRight w:val="0"/>
          <w:marTop w:val="0"/>
          <w:marBottom w:val="0"/>
          <w:divBdr>
            <w:top w:val="none" w:sz="0" w:space="0" w:color="auto"/>
            <w:left w:val="none" w:sz="0" w:space="0" w:color="auto"/>
            <w:bottom w:val="none" w:sz="0" w:space="0" w:color="auto"/>
            <w:right w:val="none" w:sz="0" w:space="0" w:color="auto"/>
          </w:divBdr>
        </w:div>
        <w:div w:id="1652639203">
          <w:marLeft w:val="0"/>
          <w:marRight w:val="0"/>
          <w:marTop w:val="0"/>
          <w:marBottom w:val="0"/>
          <w:divBdr>
            <w:top w:val="none" w:sz="0" w:space="0" w:color="auto"/>
            <w:left w:val="none" w:sz="0" w:space="0" w:color="auto"/>
            <w:bottom w:val="none" w:sz="0" w:space="0" w:color="auto"/>
            <w:right w:val="none" w:sz="0" w:space="0" w:color="auto"/>
          </w:divBdr>
        </w:div>
        <w:div w:id="735665864">
          <w:marLeft w:val="0"/>
          <w:marRight w:val="0"/>
          <w:marTop w:val="0"/>
          <w:marBottom w:val="0"/>
          <w:divBdr>
            <w:top w:val="none" w:sz="0" w:space="0" w:color="auto"/>
            <w:left w:val="none" w:sz="0" w:space="0" w:color="auto"/>
            <w:bottom w:val="none" w:sz="0" w:space="0" w:color="auto"/>
            <w:right w:val="none" w:sz="0" w:space="0" w:color="auto"/>
          </w:divBdr>
        </w:div>
        <w:div w:id="1365251067">
          <w:marLeft w:val="0"/>
          <w:marRight w:val="0"/>
          <w:marTop w:val="0"/>
          <w:marBottom w:val="0"/>
          <w:divBdr>
            <w:top w:val="none" w:sz="0" w:space="0" w:color="auto"/>
            <w:left w:val="none" w:sz="0" w:space="0" w:color="auto"/>
            <w:bottom w:val="none" w:sz="0" w:space="0" w:color="auto"/>
            <w:right w:val="none" w:sz="0" w:space="0" w:color="auto"/>
          </w:divBdr>
        </w:div>
        <w:div w:id="257063203">
          <w:marLeft w:val="0"/>
          <w:marRight w:val="0"/>
          <w:marTop w:val="0"/>
          <w:marBottom w:val="0"/>
          <w:divBdr>
            <w:top w:val="none" w:sz="0" w:space="0" w:color="auto"/>
            <w:left w:val="none" w:sz="0" w:space="0" w:color="auto"/>
            <w:bottom w:val="none" w:sz="0" w:space="0" w:color="auto"/>
            <w:right w:val="none" w:sz="0" w:space="0" w:color="auto"/>
          </w:divBdr>
        </w:div>
        <w:div w:id="1446733290">
          <w:marLeft w:val="0"/>
          <w:marRight w:val="0"/>
          <w:marTop w:val="0"/>
          <w:marBottom w:val="0"/>
          <w:divBdr>
            <w:top w:val="none" w:sz="0" w:space="0" w:color="auto"/>
            <w:left w:val="none" w:sz="0" w:space="0" w:color="auto"/>
            <w:bottom w:val="none" w:sz="0" w:space="0" w:color="auto"/>
            <w:right w:val="none" w:sz="0" w:space="0" w:color="auto"/>
          </w:divBdr>
        </w:div>
        <w:div w:id="1533566334">
          <w:marLeft w:val="0"/>
          <w:marRight w:val="0"/>
          <w:marTop w:val="0"/>
          <w:marBottom w:val="0"/>
          <w:divBdr>
            <w:top w:val="none" w:sz="0" w:space="0" w:color="auto"/>
            <w:left w:val="none" w:sz="0" w:space="0" w:color="auto"/>
            <w:bottom w:val="none" w:sz="0" w:space="0" w:color="auto"/>
            <w:right w:val="none" w:sz="0" w:space="0" w:color="auto"/>
          </w:divBdr>
        </w:div>
        <w:div w:id="1331979579">
          <w:marLeft w:val="0"/>
          <w:marRight w:val="0"/>
          <w:marTop w:val="0"/>
          <w:marBottom w:val="0"/>
          <w:divBdr>
            <w:top w:val="none" w:sz="0" w:space="0" w:color="auto"/>
            <w:left w:val="none" w:sz="0" w:space="0" w:color="auto"/>
            <w:bottom w:val="none" w:sz="0" w:space="0" w:color="auto"/>
            <w:right w:val="none" w:sz="0" w:space="0" w:color="auto"/>
          </w:divBdr>
        </w:div>
        <w:div w:id="638610387">
          <w:marLeft w:val="0"/>
          <w:marRight w:val="0"/>
          <w:marTop w:val="0"/>
          <w:marBottom w:val="0"/>
          <w:divBdr>
            <w:top w:val="none" w:sz="0" w:space="0" w:color="auto"/>
            <w:left w:val="none" w:sz="0" w:space="0" w:color="auto"/>
            <w:bottom w:val="none" w:sz="0" w:space="0" w:color="auto"/>
            <w:right w:val="none" w:sz="0" w:space="0" w:color="auto"/>
          </w:divBdr>
        </w:div>
        <w:div w:id="754205053">
          <w:marLeft w:val="0"/>
          <w:marRight w:val="0"/>
          <w:marTop w:val="0"/>
          <w:marBottom w:val="0"/>
          <w:divBdr>
            <w:top w:val="none" w:sz="0" w:space="0" w:color="auto"/>
            <w:left w:val="none" w:sz="0" w:space="0" w:color="auto"/>
            <w:bottom w:val="none" w:sz="0" w:space="0" w:color="auto"/>
            <w:right w:val="none" w:sz="0" w:space="0" w:color="auto"/>
          </w:divBdr>
        </w:div>
        <w:div w:id="1948345650">
          <w:marLeft w:val="0"/>
          <w:marRight w:val="0"/>
          <w:marTop w:val="0"/>
          <w:marBottom w:val="0"/>
          <w:divBdr>
            <w:top w:val="none" w:sz="0" w:space="0" w:color="auto"/>
            <w:left w:val="none" w:sz="0" w:space="0" w:color="auto"/>
            <w:bottom w:val="none" w:sz="0" w:space="0" w:color="auto"/>
            <w:right w:val="none" w:sz="0" w:space="0" w:color="auto"/>
          </w:divBdr>
        </w:div>
        <w:div w:id="1242566203">
          <w:marLeft w:val="0"/>
          <w:marRight w:val="0"/>
          <w:marTop w:val="0"/>
          <w:marBottom w:val="0"/>
          <w:divBdr>
            <w:top w:val="none" w:sz="0" w:space="0" w:color="auto"/>
            <w:left w:val="none" w:sz="0" w:space="0" w:color="auto"/>
            <w:bottom w:val="none" w:sz="0" w:space="0" w:color="auto"/>
            <w:right w:val="none" w:sz="0" w:space="0" w:color="auto"/>
          </w:divBdr>
        </w:div>
        <w:div w:id="1952280028">
          <w:marLeft w:val="0"/>
          <w:marRight w:val="0"/>
          <w:marTop w:val="0"/>
          <w:marBottom w:val="0"/>
          <w:divBdr>
            <w:top w:val="none" w:sz="0" w:space="0" w:color="auto"/>
            <w:left w:val="none" w:sz="0" w:space="0" w:color="auto"/>
            <w:bottom w:val="none" w:sz="0" w:space="0" w:color="auto"/>
            <w:right w:val="none" w:sz="0" w:space="0" w:color="auto"/>
          </w:divBdr>
        </w:div>
        <w:div w:id="1142622374">
          <w:marLeft w:val="0"/>
          <w:marRight w:val="0"/>
          <w:marTop w:val="0"/>
          <w:marBottom w:val="0"/>
          <w:divBdr>
            <w:top w:val="none" w:sz="0" w:space="0" w:color="auto"/>
            <w:left w:val="none" w:sz="0" w:space="0" w:color="auto"/>
            <w:bottom w:val="none" w:sz="0" w:space="0" w:color="auto"/>
            <w:right w:val="none" w:sz="0" w:space="0" w:color="auto"/>
          </w:divBdr>
        </w:div>
        <w:div w:id="1251159823">
          <w:marLeft w:val="0"/>
          <w:marRight w:val="0"/>
          <w:marTop w:val="0"/>
          <w:marBottom w:val="0"/>
          <w:divBdr>
            <w:top w:val="none" w:sz="0" w:space="0" w:color="auto"/>
            <w:left w:val="none" w:sz="0" w:space="0" w:color="auto"/>
            <w:bottom w:val="none" w:sz="0" w:space="0" w:color="auto"/>
            <w:right w:val="none" w:sz="0" w:space="0" w:color="auto"/>
          </w:divBdr>
        </w:div>
        <w:div w:id="1538007007">
          <w:marLeft w:val="0"/>
          <w:marRight w:val="0"/>
          <w:marTop w:val="0"/>
          <w:marBottom w:val="0"/>
          <w:divBdr>
            <w:top w:val="none" w:sz="0" w:space="0" w:color="auto"/>
            <w:left w:val="none" w:sz="0" w:space="0" w:color="auto"/>
            <w:bottom w:val="none" w:sz="0" w:space="0" w:color="auto"/>
            <w:right w:val="none" w:sz="0" w:space="0" w:color="auto"/>
          </w:divBdr>
        </w:div>
        <w:div w:id="1097561224">
          <w:marLeft w:val="0"/>
          <w:marRight w:val="0"/>
          <w:marTop w:val="0"/>
          <w:marBottom w:val="0"/>
          <w:divBdr>
            <w:top w:val="none" w:sz="0" w:space="0" w:color="auto"/>
            <w:left w:val="none" w:sz="0" w:space="0" w:color="auto"/>
            <w:bottom w:val="none" w:sz="0" w:space="0" w:color="auto"/>
            <w:right w:val="none" w:sz="0" w:space="0" w:color="auto"/>
          </w:divBdr>
        </w:div>
        <w:div w:id="987712220">
          <w:marLeft w:val="0"/>
          <w:marRight w:val="0"/>
          <w:marTop w:val="0"/>
          <w:marBottom w:val="0"/>
          <w:divBdr>
            <w:top w:val="none" w:sz="0" w:space="0" w:color="auto"/>
            <w:left w:val="none" w:sz="0" w:space="0" w:color="auto"/>
            <w:bottom w:val="none" w:sz="0" w:space="0" w:color="auto"/>
            <w:right w:val="none" w:sz="0" w:space="0" w:color="auto"/>
          </w:divBdr>
        </w:div>
        <w:div w:id="151023154">
          <w:marLeft w:val="0"/>
          <w:marRight w:val="0"/>
          <w:marTop w:val="0"/>
          <w:marBottom w:val="0"/>
          <w:divBdr>
            <w:top w:val="none" w:sz="0" w:space="0" w:color="auto"/>
            <w:left w:val="none" w:sz="0" w:space="0" w:color="auto"/>
            <w:bottom w:val="none" w:sz="0" w:space="0" w:color="auto"/>
            <w:right w:val="none" w:sz="0" w:space="0" w:color="auto"/>
          </w:divBdr>
        </w:div>
        <w:div w:id="206063505">
          <w:marLeft w:val="0"/>
          <w:marRight w:val="0"/>
          <w:marTop w:val="0"/>
          <w:marBottom w:val="0"/>
          <w:divBdr>
            <w:top w:val="none" w:sz="0" w:space="0" w:color="auto"/>
            <w:left w:val="none" w:sz="0" w:space="0" w:color="auto"/>
            <w:bottom w:val="none" w:sz="0" w:space="0" w:color="auto"/>
            <w:right w:val="none" w:sz="0" w:space="0" w:color="auto"/>
          </w:divBdr>
        </w:div>
        <w:div w:id="822044296">
          <w:marLeft w:val="0"/>
          <w:marRight w:val="0"/>
          <w:marTop w:val="0"/>
          <w:marBottom w:val="0"/>
          <w:divBdr>
            <w:top w:val="none" w:sz="0" w:space="0" w:color="auto"/>
            <w:left w:val="none" w:sz="0" w:space="0" w:color="auto"/>
            <w:bottom w:val="none" w:sz="0" w:space="0" w:color="auto"/>
            <w:right w:val="none" w:sz="0" w:space="0" w:color="auto"/>
          </w:divBdr>
        </w:div>
        <w:div w:id="53041897">
          <w:marLeft w:val="0"/>
          <w:marRight w:val="0"/>
          <w:marTop w:val="0"/>
          <w:marBottom w:val="0"/>
          <w:divBdr>
            <w:top w:val="none" w:sz="0" w:space="0" w:color="auto"/>
            <w:left w:val="none" w:sz="0" w:space="0" w:color="auto"/>
            <w:bottom w:val="none" w:sz="0" w:space="0" w:color="auto"/>
            <w:right w:val="none" w:sz="0" w:space="0" w:color="auto"/>
          </w:divBdr>
        </w:div>
        <w:div w:id="914246653">
          <w:marLeft w:val="0"/>
          <w:marRight w:val="0"/>
          <w:marTop w:val="0"/>
          <w:marBottom w:val="0"/>
          <w:divBdr>
            <w:top w:val="none" w:sz="0" w:space="0" w:color="auto"/>
            <w:left w:val="none" w:sz="0" w:space="0" w:color="auto"/>
            <w:bottom w:val="none" w:sz="0" w:space="0" w:color="auto"/>
            <w:right w:val="none" w:sz="0" w:space="0" w:color="auto"/>
          </w:divBdr>
        </w:div>
        <w:div w:id="1283264091">
          <w:marLeft w:val="0"/>
          <w:marRight w:val="0"/>
          <w:marTop w:val="0"/>
          <w:marBottom w:val="0"/>
          <w:divBdr>
            <w:top w:val="none" w:sz="0" w:space="0" w:color="auto"/>
            <w:left w:val="none" w:sz="0" w:space="0" w:color="auto"/>
            <w:bottom w:val="none" w:sz="0" w:space="0" w:color="auto"/>
            <w:right w:val="none" w:sz="0" w:space="0" w:color="auto"/>
          </w:divBdr>
        </w:div>
        <w:div w:id="1095858246">
          <w:marLeft w:val="0"/>
          <w:marRight w:val="0"/>
          <w:marTop w:val="0"/>
          <w:marBottom w:val="0"/>
          <w:divBdr>
            <w:top w:val="none" w:sz="0" w:space="0" w:color="auto"/>
            <w:left w:val="none" w:sz="0" w:space="0" w:color="auto"/>
            <w:bottom w:val="none" w:sz="0" w:space="0" w:color="auto"/>
            <w:right w:val="none" w:sz="0" w:space="0" w:color="auto"/>
          </w:divBdr>
        </w:div>
        <w:div w:id="1347907288">
          <w:marLeft w:val="0"/>
          <w:marRight w:val="0"/>
          <w:marTop w:val="0"/>
          <w:marBottom w:val="0"/>
          <w:divBdr>
            <w:top w:val="none" w:sz="0" w:space="0" w:color="auto"/>
            <w:left w:val="none" w:sz="0" w:space="0" w:color="auto"/>
            <w:bottom w:val="none" w:sz="0" w:space="0" w:color="auto"/>
            <w:right w:val="none" w:sz="0" w:space="0" w:color="auto"/>
          </w:divBdr>
        </w:div>
        <w:div w:id="2049453338">
          <w:marLeft w:val="0"/>
          <w:marRight w:val="0"/>
          <w:marTop w:val="0"/>
          <w:marBottom w:val="0"/>
          <w:divBdr>
            <w:top w:val="none" w:sz="0" w:space="0" w:color="auto"/>
            <w:left w:val="none" w:sz="0" w:space="0" w:color="auto"/>
            <w:bottom w:val="none" w:sz="0" w:space="0" w:color="auto"/>
            <w:right w:val="none" w:sz="0" w:space="0" w:color="auto"/>
          </w:divBdr>
        </w:div>
        <w:div w:id="1118453647">
          <w:marLeft w:val="0"/>
          <w:marRight w:val="0"/>
          <w:marTop w:val="0"/>
          <w:marBottom w:val="0"/>
          <w:divBdr>
            <w:top w:val="none" w:sz="0" w:space="0" w:color="auto"/>
            <w:left w:val="none" w:sz="0" w:space="0" w:color="auto"/>
            <w:bottom w:val="none" w:sz="0" w:space="0" w:color="auto"/>
            <w:right w:val="none" w:sz="0" w:space="0" w:color="auto"/>
          </w:divBdr>
        </w:div>
        <w:div w:id="1884059264">
          <w:marLeft w:val="0"/>
          <w:marRight w:val="0"/>
          <w:marTop w:val="0"/>
          <w:marBottom w:val="0"/>
          <w:divBdr>
            <w:top w:val="none" w:sz="0" w:space="0" w:color="auto"/>
            <w:left w:val="none" w:sz="0" w:space="0" w:color="auto"/>
            <w:bottom w:val="none" w:sz="0" w:space="0" w:color="auto"/>
            <w:right w:val="none" w:sz="0" w:space="0" w:color="auto"/>
          </w:divBdr>
        </w:div>
        <w:div w:id="1169251486">
          <w:marLeft w:val="0"/>
          <w:marRight w:val="0"/>
          <w:marTop w:val="0"/>
          <w:marBottom w:val="0"/>
          <w:divBdr>
            <w:top w:val="none" w:sz="0" w:space="0" w:color="auto"/>
            <w:left w:val="none" w:sz="0" w:space="0" w:color="auto"/>
            <w:bottom w:val="none" w:sz="0" w:space="0" w:color="auto"/>
            <w:right w:val="none" w:sz="0" w:space="0" w:color="auto"/>
          </w:divBdr>
        </w:div>
        <w:div w:id="1318612642">
          <w:marLeft w:val="0"/>
          <w:marRight w:val="0"/>
          <w:marTop w:val="0"/>
          <w:marBottom w:val="0"/>
          <w:divBdr>
            <w:top w:val="none" w:sz="0" w:space="0" w:color="auto"/>
            <w:left w:val="none" w:sz="0" w:space="0" w:color="auto"/>
            <w:bottom w:val="none" w:sz="0" w:space="0" w:color="auto"/>
            <w:right w:val="none" w:sz="0" w:space="0" w:color="auto"/>
          </w:divBdr>
        </w:div>
        <w:div w:id="1445998938">
          <w:marLeft w:val="0"/>
          <w:marRight w:val="0"/>
          <w:marTop w:val="0"/>
          <w:marBottom w:val="0"/>
          <w:divBdr>
            <w:top w:val="none" w:sz="0" w:space="0" w:color="auto"/>
            <w:left w:val="none" w:sz="0" w:space="0" w:color="auto"/>
            <w:bottom w:val="none" w:sz="0" w:space="0" w:color="auto"/>
            <w:right w:val="none" w:sz="0" w:space="0" w:color="auto"/>
          </w:divBdr>
        </w:div>
        <w:div w:id="1443114421">
          <w:marLeft w:val="0"/>
          <w:marRight w:val="0"/>
          <w:marTop w:val="0"/>
          <w:marBottom w:val="0"/>
          <w:divBdr>
            <w:top w:val="none" w:sz="0" w:space="0" w:color="auto"/>
            <w:left w:val="none" w:sz="0" w:space="0" w:color="auto"/>
            <w:bottom w:val="none" w:sz="0" w:space="0" w:color="auto"/>
            <w:right w:val="none" w:sz="0" w:space="0" w:color="auto"/>
          </w:divBdr>
        </w:div>
        <w:div w:id="277953466">
          <w:marLeft w:val="0"/>
          <w:marRight w:val="0"/>
          <w:marTop w:val="0"/>
          <w:marBottom w:val="0"/>
          <w:divBdr>
            <w:top w:val="none" w:sz="0" w:space="0" w:color="auto"/>
            <w:left w:val="none" w:sz="0" w:space="0" w:color="auto"/>
            <w:bottom w:val="none" w:sz="0" w:space="0" w:color="auto"/>
            <w:right w:val="none" w:sz="0" w:space="0" w:color="auto"/>
          </w:divBdr>
        </w:div>
        <w:div w:id="1835145445">
          <w:marLeft w:val="0"/>
          <w:marRight w:val="0"/>
          <w:marTop w:val="0"/>
          <w:marBottom w:val="0"/>
          <w:divBdr>
            <w:top w:val="none" w:sz="0" w:space="0" w:color="auto"/>
            <w:left w:val="none" w:sz="0" w:space="0" w:color="auto"/>
            <w:bottom w:val="none" w:sz="0" w:space="0" w:color="auto"/>
            <w:right w:val="none" w:sz="0" w:space="0" w:color="auto"/>
          </w:divBdr>
        </w:div>
        <w:div w:id="259876221">
          <w:marLeft w:val="0"/>
          <w:marRight w:val="0"/>
          <w:marTop w:val="0"/>
          <w:marBottom w:val="0"/>
          <w:divBdr>
            <w:top w:val="none" w:sz="0" w:space="0" w:color="auto"/>
            <w:left w:val="none" w:sz="0" w:space="0" w:color="auto"/>
            <w:bottom w:val="none" w:sz="0" w:space="0" w:color="auto"/>
            <w:right w:val="none" w:sz="0" w:space="0" w:color="auto"/>
          </w:divBdr>
        </w:div>
        <w:div w:id="488785371">
          <w:marLeft w:val="0"/>
          <w:marRight w:val="0"/>
          <w:marTop w:val="0"/>
          <w:marBottom w:val="0"/>
          <w:divBdr>
            <w:top w:val="none" w:sz="0" w:space="0" w:color="auto"/>
            <w:left w:val="none" w:sz="0" w:space="0" w:color="auto"/>
            <w:bottom w:val="none" w:sz="0" w:space="0" w:color="auto"/>
            <w:right w:val="none" w:sz="0" w:space="0" w:color="auto"/>
          </w:divBdr>
        </w:div>
        <w:div w:id="34240111">
          <w:marLeft w:val="0"/>
          <w:marRight w:val="0"/>
          <w:marTop w:val="0"/>
          <w:marBottom w:val="0"/>
          <w:divBdr>
            <w:top w:val="none" w:sz="0" w:space="0" w:color="auto"/>
            <w:left w:val="none" w:sz="0" w:space="0" w:color="auto"/>
            <w:bottom w:val="none" w:sz="0" w:space="0" w:color="auto"/>
            <w:right w:val="none" w:sz="0" w:space="0" w:color="auto"/>
          </w:divBdr>
        </w:div>
        <w:div w:id="662467037">
          <w:marLeft w:val="0"/>
          <w:marRight w:val="0"/>
          <w:marTop w:val="0"/>
          <w:marBottom w:val="0"/>
          <w:divBdr>
            <w:top w:val="none" w:sz="0" w:space="0" w:color="auto"/>
            <w:left w:val="none" w:sz="0" w:space="0" w:color="auto"/>
            <w:bottom w:val="none" w:sz="0" w:space="0" w:color="auto"/>
            <w:right w:val="none" w:sz="0" w:space="0" w:color="auto"/>
          </w:divBdr>
        </w:div>
        <w:div w:id="1400714226">
          <w:marLeft w:val="0"/>
          <w:marRight w:val="0"/>
          <w:marTop w:val="0"/>
          <w:marBottom w:val="0"/>
          <w:divBdr>
            <w:top w:val="none" w:sz="0" w:space="0" w:color="auto"/>
            <w:left w:val="none" w:sz="0" w:space="0" w:color="auto"/>
            <w:bottom w:val="none" w:sz="0" w:space="0" w:color="auto"/>
            <w:right w:val="none" w:sz="0" w:space="0" w:color="auto"/>
          </w:divBdr>
        </w:div>
        <w:div w:id="1620793523">
          <w:marLeft w:val="0"/>
          <w:marRight w:val="0"/>
          <w:marTop w:val="0"/>
          <w:marBottom w:val="0"/>
          <w:divBdr>
            <w:top w:val="none" w:sz="0" w:space="0" w:color="auto"/>
            <w:left w:val="none" w:sz="0" w:space="0" w:color="auto"/>
            <w:bottom w:val="none" w:sz="0" w:space="0" w:color="auto"/>
            <w:right w:val="none" w:sz="0" w:space="0" w:color="auto"/>
          </w:divBdr>
        </w:div>
        <w:div w:id="1689023173">
          <w:marLeft w:val="0"/>
          <w:marRight w:val="0"/>
          <w:marTop w:val="0"/>
          <w:marBottom w:val="0"/>
          <w:divBdr>
            <w:top w:val="none" w:sz="0" w:space="0" w:color="auto"/>
            <w:left w:val="none" w:sz="0" w:space="0" w:color="auto"/>
            <w:bottom w:val="none" w:sz="0" w:space="0" w:color="auto"/>
            <w:right w:val="none" w:sz="0" w:space="0" w:color="auto"/>
          </w:divBdr>
        </w:div>
        <w:div w:id="719405864">
          <w:marLeft w:val="0"/>
          <w:marRight w:val="0"/>
          <w:marTop w:val="0"/>
          <w:marBottom w:val="0"/>
          <w:divBdr>
            <w:top w:val="none" w:sz="0" w:space="0" w:color="auto"/>
            <w:left w:val="none" w:sz="0" w:space="0" w:color="auto"/>
            <w:bottom w:val="none" w:sz="0" w:space="0" w:color="auto"/>
            <w:right w:val="none" w:sz="0" w:space="0" w:color="auto"/>
          </w:divBdr>
        </w:div>
        <w:div w:id="1828520591">
          <w:marLeft w:val="0"/>
          <w:marRight w:val="0"/>
          <w:marTop w:val="0"/>
          <w:marBottom w:val="0"/>
          <w:divBdr>
            <w:top w:val="none" w:sz="0" w:space="0" w:color="auto"/>
            <w:left w:val="none" w:sz="0" w:space="0" w:color="auto"/>
            <w:bottom w:val="none" w:sz="0" w:space="0" w:color="auto"/>
            <w:right w:val="none" w:sz="0" w:space="0" w:color="auto"/>
          </w:divBdr>
        </w:div>
        <w:div w:id="932470813">
          <w:marLeft w:val="0"/>
          <w:marRight w:val="0"/>
          <w:marTop w:val="0"/>
          <w:marBottom w:val="0"/>
          <w:divBdr>
            <w:top w:val="none" w:sz="0" w:space="0" w:color="auto"/>
            <w:left w:val="none" w:sz="0" w:space="0" w:color="auto"/>
            <w:bottom w:val="none" w:sz="0" w:space="0" w:color="auto"/>
            <w:right w:val="none" w:sz="0" w:space="0" w:color="auto"/>
          </w:divBdr>
        </w:div>
        <w:div w:id="1337999242">
          <w:marLeft w:val="0"/>
          <w:marRight w:val="0"/>
          <w:marTop w:val="0"/>
          <w:marBottom w:val="0"/>
          <w:divBdr>
            <w:top w:val="none" w:sz="0" w:space="0" w:color="auto"/>
            <w:left w:val="none" w:sz="0" w:space="0" w:color="auto"/>
            <w:bottom w:val="none" w:sz="0" w:space="0" w:color="auto"/>
            <w:right w:val="none" w:sz="0" w:space="0" w:color="auto"/>
          </w:divBdr>
        </w:div>
        <w:div w:id="546601152">
          <w:marLeft w:val="0"/>
          <w:marRight w:val="0"/>
          <w:marTop w:val="0"/>
          <w:marBottom w:val="0"/>
          <w:divBdr>
            <w:top w:val="none" w:sz="0" w:space="0" w:color="auto"/>
            <w:left w:val="none" w:sz="0" w:space="0" w:color="auto"/>
            <w:bottom w:val="none" w:sz="0" w:space="0" w:color="auto"/>
            <w:right w:val="none" w:sz="0" w:space="0" w:color="auto"/>
          </w:divBdr>
        </w:div>
        <w:div w:id="331614745">
          <w:marLeft w:val="0"/>
          <w:marRight w:val="0"/>
          <w:marTop w:val="0"/>
          <w:marBottom w:val="0"/>
          <w:divBdr>
            <w:top w:val="none" w:sz="0" w:space="0" w:color="auto"/>
            <w:left w:val="none" w:sz="0" w:space="0" w:color="auto"/>
            <w:bottom w:val="none" w:sz="0" w:space="0" w:color="auto"/>
            <w:right w:val="none" w:sz="0" w:space="0" w:color="auto"/>
          </w:divBdr>
        </w:div>
        <w:div w:id="1988974569">
          <w:marLeft w:val="0"/>
          <w:marRight w:val="0"/>
          <w:marTop w:val="0"/>
          <w:marBottom w:val="0"/>
          <w:divBdr>
            <w:top w:val="none" w:sz="0" w:space="0" w:color="auto"/>
            <w:left w:val="none" w:sz="0" w:space="0" w:color="auto"/>
            <w:bottom w:val="none" w:sz="0" w:space="0" w:color="auto"/>
            <w:right w:val="none" w:sz="0" w:space="0" w:color="auto"/>
          </w:divBdr>
        </w:div>
        <w:div w:id="974598713">
          <w:marLeft w:val="0"/>
          <w:marRight w:val="0"/>
          <w:marTop w:val="0"/>
          <w:marBottom w:val="0"/>
          <w:divBdr>
            <w:top w:val="none" w:sz="0" w:space="0" w:color="auto"/>
            <w:left w:val="none" w:sz="0" w:space="0" w:color="auto"/>
            <w:bottom w:val="none" w:sz="0" w:space="0" w:color="auto"/>
            <w:right w:val="none" w:sz="0" w:space="0" w:color="auto"/>
          </w:divBdr>
        </w:div>
        <w:div w:id="1383597790">
          <w:marLeft w:val="0"/>
          <w:marRight w:val="0"/>
          <w:marTop w:val="0"/>
          <w:marBottom w:val="0"/>
          <w:divBdr>
            <w:top w:val="none" w:sz="0" w:space="0" w:color="auto"/>
            <w:left w:val="none" w:sz="0" w:space="0" w:color="auto"/>
            <w:bottom w:val="none" w:sz="0" w:space="0" w:color="auto"/>
            <w:right w:val="none" w:sz="0" w:space="0" w:color="auto"/>
          </w:divBdr>
        </w:div>
        <w:div w:id="102694947">
          <w:marLeft w:val="0"/>
          <w:marRight w:val="0"/>
          <w:marTop w:val="0"/>
          <w:marBottom w:val="0"/>
          <w:divBdr>
            <w:top w:val="none" w:sz="0" w:space="0" w:color="auto"/>
            <w:left w:val="none" w:sz="0" w:space="0" w:color="auto"/>
            <w:bottom w:val="none" w:sz="0" w:space="0" w:color="auto"/>
            <w:right w:val="none" w:sz="0" w:space="0" w:color="auto"/>
          </w:divBdr>
        </w:div>
        <w:div w:id="1339850301">
          <w:marLeft w:val="0"/>
          <w:marRight w:val="0"/>
          <w:marTop w:val="0"/>
          <w:marBottom w:val="0"/>
          <w:divBdr>
            <w:top w:val="none" w:sz="0" w:space="0" w:color="auto"/>
            <w:left w:val="none" w:sz="0" w:space="0" w:color="auto"/>
            <w:bottom w:val="none" w:sz="0" w:space="0" w:color="auto"/>
            <w:right w:val="none" w:sz="0" w:space="0" w:color="auto"/>
          </w:divBdr>
        </w:div>
        <w:div w:id="380593824">
          <w:marLeft w:val="0"/>
          <w:marRight w:val="0"/>
          <w:marTop w:val="0"/>
          <w:marBottom w:val="0"/>
          <w:divBdr>
            <w:top w:val="none" w:sz="0" w:space="0" w:color="auto"/>
            <w:left w:val="none" w:sz="0" w:space="0" w:color="auto"/>
            <w:bottom w:val="none" w:sz="0" w:space="0" w:color="auto"/>
            <w:right w:val="none" w:sz="0" w:space="0" w:color="auto"/>
          </w:divBdr>
        </w:div>
        <w:div w:id="806581426">
          <w:marLeft w:val="0"/>
          <w:marRight w:val="0"/>
          <w:marTop w:val="0"/>
          <w:marBottom w:val="0"/>
          <w:divBdr>
            <w:top w:val="none" w:sz="0" w:space="0" w:color="auto"/>
            <w:left w:val="none" w:sz="0" w:space="0" w:color="auto"/>
            <w:bottom w:val="none" w:sz="0" w:space="0" w:color="auto"/>
            <w:right w:val="none" w:sz="0" w:space="0" w:color="auto"/>
          </w:divBdr>
        </w:div>
        <w:div w:id="141049217">
          <w:marLeft w:val="0"/>
          <w:marRight w:val="0"/>
          <w:marTop w:val="0"/>
          <w:marBottom w:val="0"/>
          <w:divBdr>
            <w:top w:val="none" w:sz="0" w:space="0" w:color="auto"/>
            <w:left w:val="none" w:sz="0" w:space="0" w:color="auto"/>
            <w:bottom w:val="none" w:sz="0" w:space="0" w:color="auto"/>
            <w:right w:val="none" w:sz="0" w:space="0" w:color="auto"/>
          </w:divBdr>
        </w:div>
        <w:div w:id="676856810">
          <w:marLeft w:val="0"/>
          <w:marRight w:val="0"/>
          <w:marTop w:val="0"/>
          <w:marBottom w:val="0"/>
          <w:divBdr>
            <w:top w:val="none" w:sz="0" w:space="0" w:color="auto"/>
            <w:left w:val="none" w:sz="0" w:space="0" w:color="auto"/>
            <w:bottom w:val="none" w:sz="0" w:space="0" w:color="auto"/>
            <w:right w:val="none" w:sz="0" w:space="0" w:color="auto"/>
          </w:divBdr>
        </w:div>
        <w:div w:id="710962578">
          <w:marLeft w:val="0"/>
          <w:marRight w:val="0"/>
          <w:marTop w:val="0"/>
          <w:marBottom w:val="0"/>
          <w:divBdr>
            <w:top w:val="none" w:sz="0" w:space="0" w:color="auto"/>
            <w:left w:val="none" w:sz="0" w:space="0" w:color="auto"/>
            <w:bottom w:val="none" w:sz="0" w:space="0" w:color="auto"/>
            <w:right w:val="none" w:sz="0" w:space="0" w:color="auto"/>
          </w:divBdr>
        </w:div>
        <w:div w:id="674694984">
          <w:marLeft w:val="0"/>
          <w:marRight w:val="0"/>
          <w:marTop w:val="0"/>
          <w:marBottom w:val="0"/>
          <w:divBdr>
            <w:top w:val="none" w:sz="0" w:space="0" w:color="auto"/>
            <w:left w:val="none" w:sz="0" w:space="0" w:color="auto"/>
            <w:bottom w:val="none" w:sz="0" w:space="0" w:color="auto"/>
            <w:right w:val="none" w:sz="0" w:space="0" w:color="auto"/>
          </w:divBdr>
        </w:div>
        <w:div w:id="1588929067">
          <w:marLeft w:val="0"/>
          <w:marRight w:val="0"/>
          <w:marTop w:val="0"/>
          <w:marBottom w:val="0"/>
          <w:divBdr>
            <w:top w:val="none" w:sz="0" w:space="0" w:color="auto"/>
            <w:left w:val="none" w:sz="0" w:space="0" w:color="auto"/>
            <w:bottom w:val="none" w:sz="0" w:space="0" w:color="auto"/>
            <w:right w:val="none" w:sz="0" w:space="0" w:color="auto"/>
          </w:divBdr>
        </w:div>
        <w:div w:id="1726415202">
          <w:marLeft w:val="0"/>
          <w:marRight w:val="0"/>
          <w:marTop w:val="0"/>
          <w:marBottom w:val="0"/>
          <w:divBdr>
            <w:top w:val="none" w:sz="0" w:space="0" w:color="auto"/>
            <w:left w:val="none" w:sz="0" w:space="0" w:color="auto"/>
            <w:bottom w:val="none" w:sz="0" w:space="0" w:color="auto"/>
            <w:right w:val="none" w:sz="0" w:space="0" w:color="auto"/>
          </w:divBdr>
        </w:div>
        <w:div w:id="521096224">
          <w:marLeft w:val="0"/>
          <w:marRight w:val="0"/>
          <w:marTop w:val="0"/>
          <w:marBottom w:val="0"/>
          <w:divBdr>
            <w:top w:val="none" w:sz="0" w:space="0" w:color="auto"/>
            <w:left w:val="none" w:sz="0" w:space="0" w:color="auto"/>
            <w:bottom w:val="none" w:sz="0" w:space="0" w:color="auto"/>
            <w:right w:val="none" w:sz="0" w:space="0" w:color="auto"/>
          </w:divBdr>
        </w:div>
        <w:div w:id="96293740">
          <w:marLeft w:val="0"/>
          <w:marRight w:val="0"/>
          <w:marTop w:val="0"/>
          <w:marBottom w:val="0"/>
          <w:divBdr>
            <w:top w:val="none" w:sz="0" w:space="0" w:color="auto"/>
            <w:left w:val="none" w:sz="0" w:space="0" w:color="auto"/>
            <w:bottom w:val="none" w:sz="0" w:space="0" w:color="auto"/>
            <w:right w:val="none" w:sz="0" w:space="0" w:color="auto"/>
          </w:divBdr>
        </w:div>
        <w:div w:id="1860925457">
          <w:marLeft w:val="0"/>
          <w:marRight w:val="0"/>
          <w:marTop w:val="0"/>
          <w:marBottom w:val="0"/>
          <w:divBdr>
            <w:top w:val="none" w:sz="0" w:space="0" w:color="auto"/>
            <w:left w:val="none" w:sz="0" w:space="0" w:color="auto"/>
            <w:bottom w:val="none" w:sz="0" w:space="0" w:color="auto"/>
            <w:right w:val="none" w:sz="0" w:space="0" w:color="auto"/>
          </w:divBdr>
        </w:div>
        <w:div w:id="1573924156">
          <w:marLeft w:val="0"/>
          <w:marRight w:val="0"/>
          <w:marTop w:val="0"/>
          <w:marBottom w:val="0"/>
          <w:divBdr>
            <w:top w:val="none" w:sz="0" w:space="0" w:color="auto"/>
            <w:left w:val="none" w:sz="0" w:space="0" w:color="auto"/>
            <w:bottom w:val="none" w:sz="0" w:space="0" w:color="auto"/>
            <w:right w:val="none" w:sz="0" w:space="0" w:color="auto"/>
          </w:divBdr>
        </w:div>
        <w:div w:id="1740862067">
          <w:marLeft w:val="0"/>
          <w:marRight w:val="0"/>
          <w:marTop w:val="0"/>
          <w:marBottom w:val="0"/>
          <w:divBdr>
            <w:top w:val="none" w:sz="0" w:space="0" w:color="auto"/>
            <w:left w:val="none" w:sz="0" w:space="0" w:color="auto"/>
            <w:bottom w:val="none" w:sz="0" w:space="0" w:color="auto"/>
            <w:right w:val="none" w:sz="0" w:space="0" w:color="auto"/>
          </w:divBdr>
        </w:div>
        <w:div w:id="1047795860">
          <w:marLeft w:val="0"/>
          <w:marRight w:val="0"/>
          <w:marTop w:val="0"/>
          <w:marBottom w:val="0"/>
          <w:divBdr>
            <w:top w:val="none" w:sz="0" w:space="0" w:color="auto"/>
            <w:left w:val="none" w:sz="0" w:space="0" w:color="auto"/>
            <w:bottom w:val="none" w:sz="0" w:space="0" w:color="auto"/>
            <w:right w:val="none" w:sz="0" w:space="0" w:color="auto"/>
          </w:divBdr>
        </w:div>
        <w:div w:id="2116561095">
          <w:marLeft w:val="0"/>
          <w:marRight w:val="0"/>
          <w:marTop w:val="0"/>
          <w:marBottom w:val="0"/>
          <w:divBdr>
            <w:top w:val="none" w:sz="0" w:space="0" w:color="auto"/>
            <w:left w:val="none" w:sz="0" w:space="0" w:color="auto"/>
            <w:bottom w:val="none" w:sz="0" w:space="0" w:color="auto"/>
            <w:right w:val="none" w:sz="0" w:space="0" w:color="auto"/>
          </w:divBdr>
        </w:div>
        <w:div w:id="1548830909">
          <w:marLeft w:val="0"/>
          <w:marRight w:val="0"/>
          <w:marTop w:val="0"/>
          <w:marBottom w:val="0"/>
          <w:divBdr>
            <w:top w:val="none" w:sz="0" w:space="0" w:color="auto"/>
            <w:left w:val="none" w:sz="0" w:space="0" w:color="auto"/>
            <w:bottom w:val="none" w:sz="0" w:space="0" w:color="auto"/>
            <w:right w:val="none" w:sz="0" w:space="0" w:color="auto"/>
          </w:divBdr>
        </w:div>
        <w:div w:id="334260896">
          <w:marLeft w:val="0"/>
          <w:marRight w:val="0"/>
          <w:marTop w:val="0"/>
          <w:marBottom w:val="0"/>
          <w:divBdr>
            <w:top w:val="none" w:sz="0" w:space="0" w:color="auto"/>
            <w:left w:val="none" w:sz="0" w:space="0" w:color="auto"/>
            <w:bottom w:val="none" w:sz="0" w:space="0" w:color="auto"/>
            <w:right w:val="none" w:sz="0" w:space="0" w:color="auto"/>
          </w:divBdr>
        </w:div>
        <w:div w:id="794905325">
          <w:marLeft w:val="0"/>
          <w:marRight w:val="0"/>
          <w:marTop w:val="0"/>
          <w:marBottom w:val="0"/>
          <w:divBdr>
            <w:top w:val="none" w:sz="0" w:space="0" w:color="auto"/>
            <w:left w:val="none" w:sz="0" w:space="0" w:color="auto"/>
            <w:bottom w:val="none" w:sz="0" w:space="0" w:color="auto"/>
            <w:right w:val="none" w:sz="0" w:space="0" w:color="auto"/>
          </w:divBdr>
        </w:div>
        <w:div w:id="155927886">
          <w:marLeft w:val="0"/>
          <w:marRight w:val="0"/>
          <w:marTop w:val="0"/>
          <w:marBottom w:val="0"/>
          <w:divBdr>
            <w:top w:val="none" w:sz="0" w:space="0" w:color="auto"/>
            <w:left w:val="none" w:sz="0" w:space="0" w:color="auto"/>
            <w:bottom w:val="none" w:sz="0" w:space="0" w:color="auto"/>
            <w:right w:val="none" w:sz="0" w:space="0" w:color="auto"/>
          </w:divBdr>
        </w:div>
        <w:div w:id="1300720726">
          <w:marLeft w:val="0"/>
          <w:marRight w:val="0"/>
          <w:marTop w:val="0"/>
          <w:marBottom w:val="0"/>
          <w:divBdr>
            <w:top w:val="none" w:sz="0" w:space="0" w:color="auto"/>
            <w:left w:val="none" w:sz="0" w:space="0" w:color="auto"/>
            <w:bottom w:val="none" w:sz="0" w:space="0" w:color="auto"/>
            <w:right w:val="none" w:sz="0" w:space="0" w:color="auto"/>
          </w:divBdr>
        </w:div>
        <w:div w:id="1128164822">
          <w:marLeft w:val="0"/>
          <w:marRight w:val="0"/>
          <w:marTop w:val="0"/>
          <w:marBottom w:val="0"/>
          <w:divBdr>
            <w:top w:val="none" w:sz="0" w:space="0" w:color="auto"/>
            <w:left w:val="none" w:sz="0" w:space="0" w:color="auto"/>
            <w:bottom w:val="none" w:sz="0" w:space="0" w:color="auto"/>
            <w:right w:val="none" w:sz="0" w:space="0" w:color="auto"/>
          </w:divBdr>
        </w:div>
        <w:div w:id="1261990365">
          <w:marLeft w:val="0"/>
          <w:marRight w:val="0"/>
          <w:marTop w:val="0"/>
          <w:marBottom w:val="0"/>
          <w:divBdr>
            <w:top w:val="none" w:sz="0" w:space="0" w:color="auto"/>
            <w:left w:val="none" w:sz="0" w:space="0" w:color="auto"/>
            <w:bottom w:val="none" w:sz="0" w:space="0" w:color="auto"/>
            <w:right w:val="none" w:sz="0" w:space="0" w:color="auto"/>
          </w:divBdr>
        </w:div>
        <w:div w:id="1189489585">
          <w:marLeft w:val="0"/>
          <w:marRight w:val="0"/>
          <w:marTop w:val="0"/>
          <w:marBottom w:val="0"/>
          <w:divBdr>
            <w:top w:val="none" w:sz="0" w:space="0" w:color="auto"/>
            <w:left w:val="none" w:sz="0" w:space="0" w:color="auto"/>
            <w:bottom w:val="none" w:sz="0" w:space="0" w:color="auto"/>
            <w:right w:val="none" w:sz="0" w:space="0" w:color="auto"/>
          </w:divBdr>
        </w:div>
        <w:div w:id="1083527350">
          <w:marLeft w:val="0"/>
          <w:marRight w:val="0"/>
          <w:marTop w:val="0"/>
          <w:marBottom w:val="0"/>
          <w:divBdr>
            <w:top w:val="none" w:sz="0" w:space="0" w:color="auto"/>
            <w:left w:val="none" w:sz="0" w:space="0" w:color="auto"/>
            <w:bottom w:val="none" w:sz="0" w:space="0" w:color="auto"/>
            <w:right w:val="none" w:sz="0" w:space="0" w:color="auto"/>
          </w:divBdr>
        </w:div>
        <w:div w:id="1831366639">
          <w:marLeft w:val="0"/>
          <w:marRight w:val="0"/>
          <w:marTop w:val="0"/>
          <w:marBottom w:val="0"/>
          <w:divBdr>
            <w:top w:val="none" w:sz="0" w:space="0" w:color="auto"/>
            <w:left w:val="none" w:sz="0" w:space="0" w:color="auto"/>
            <w:bottom w:val="none" w:sz="0" w:space="0" w:color="auto"/>
            <w:right w:val="none" w:sz="0" w:space="0" w:color="auto"/>
          </w:divBdr>
        </w:div>
        <w:div w:id="1585605272">
          <w:marLeft w:val="0"/>
          <w:marRight w:val="0"/>
          <w:marTop w:val="0"/>
          <w:marBottom w:val="0"/>
          <w:divBdr>
            <w:top w:val="none" w:sz="0" w:space="0" w:color="auto"/>
            <w:left w:val="none" w:sz="0" w:space="0" w:color="auto"/>
            <w:bottom w:val="none" w:sz="0" w:space="0" w:color="auto"/>
            <w:right w:val="none" w:sz="0" w:space="0" w:color="auto"/>
          </w:divBdr>
        </w:div>
        <w:div w:id="1952007636">
          <w:marLeft w:val="0"/>
          <w:marRight w:val="0"/>
          <w:marTop w:val="0"/>
          <w:marBottom w:val="0"/>
          <w:divBdr>
            <w:top w:val="none" w:sz="0" w:space="0" w:color="auto"/>
            <w:left w:val="none" w:sz="0" w:space="0" w:color="auto"/>
            <w:bottom w:val="none" w:sz="0" w:space="0" w:color="auto"/>
            <w:right w:val="none" w:sz="0" w:space="0" w:color="auto"/>
          </w:divBdr>
        </w:div>
        <w:div w:id="2129543925">
          <w:marLeft w:val="0"/>
          <w:marRight w:val="0"/>
          <w:marTop w:val="0"/>
          <w:marBottom w:val="0"/>
          <w:divBdr>
            <w:top w:val="none" w:sz="0" w:space="0" w:color="auto"/>
            <w:left w:val="none" w:sz="0" w:space="0" w:color="auto"/>
            <w:bottom w:val="none" w:sz="0" w:space="0" w:color="auto"/>
            <w:right w:val="none" w:sz="0" w:space="0" w:color="auto"/>
          </w:divBdr>
        </w:div>
        <w:div w:id="1476029716">
          <w:marLeft w:val="0"/>
          <w:marRight w:val="0"/>
          <w:marTop w:val="0"/>
          <w:marBottom w:val="0"/>
          <w:divBdr>
            <w:top w:val="none" w:sz="0" w:space="0" w:color="auto"/>
            <w:left w:val="none" w:sz="0" w:space="0" w:color="auto"/>
            <w:bottom w:val="none" w:sz="0" w:space="0" w:color="auto"/>
            <w:right w:val="none" w:sz="0" w:space="0" w:color="auto"/>
          </w:divBdr>
        </w:div>
        <w:div w:id="1173952481">
          <w:marLeft w:val="0"/>
          <w:marRight w:val="0"/>
          <w:marTop w:val="0"/>
          <w:marBottom w:val="0"/>
          <w:divBdr>
            <w:top w:val="none" w:sz="0" w:space="0" w:color="auto"/>
            <w:left w:val="none" w:sz="0" w:space="0" w:color="auto"/>
            <w:bottom w:val="none" w:sz="0" w:space="0" w:color="auto"/>
            <w:right w:val="none" w:sz="0" w:space="0" w:color="auto"/>
          </w:divBdr>
        </w:div>
        <w:div w:id="303659416">
          <w:marLeft w:val="0"/>
          <w:marRight w:val="0"/>
          <w:marTop w:val="0"/>
          <w:marBottom w:val="0"/>
          <w:divBdr>
            <w:top w:val="none" w:sz="0" w:space="0" w:color="auto"/>
            <w:left w:val="none" w:sz="0" w:space="0" w:color="auto"/>
            <w:bottom w:val="none" w:sz="0" w:space="0" w:color="auto"/>
            <w:right w:val="none" w:sz="0" w:space="0" w:color="auto"/>
          </w:divBdr>
        </w:div>
        <w:div w:id="1852183009">
          <w:marLeft w:val="0"/>
          <w:marRight w:val="0"/>
          <w:marTop w:val="0"/>
          <w:marBottom w:val="0"/>
          <w:divBdr>
            <w:top w:val="none" w:sz="0" w:space="0" w:color="auto"/>
            <w:left w:val="none" w:sz="0" w:space="0" w:color="auto"/>
            <w:bottom w:val="none" w:sz="0" w:space="0" w:color="auto"/>
            <w:right w:val="none" w:sz="0" w:space="0" w:color="auto"/>
          </w:divBdr>
        </w:div>
        <w:div w:id="1893081311">
          <w:marLeft w:val="0"/>
          <w:marRight w:val="0"/>
          <w:marTop w:val="0"/>
          <w:marBottom w:val="0"/>
          <w:divBdr>
            <w:top w:val="none" w:sz="0" w:space="0" w:color="auto"/>
            <w:left w:val="none" w:sz="0" w:space="0" w:color="auto"/>
            <w:bottom w:val="none" w:sz="0" w:space="0" w:color="auto"/>
            <w:right w:val="none" w:sz="0" w:space="0" w:color="auto"/>
          </w:divBdr>
        </w:div>
        <w:div w:id="258948651">
          <w:marLeft w:val="0"/>
          <w:marRight w:val="0"/>
          <w:marTop w:val="0"/>
          <w:marBottom w:val="0"/>
          <w:divBdr>
            <w:top w:val="none" w:sz="0" w:space="0" w:color="auto"/>
            <w:left w:val="none" w:sz="0" w:space="0" w:color="auto"/>
            <w:bottom w:val="none" w:sz="0" w:space="0" w:color="auto"/>
            <w:right w:val="none" w:sz="0" w:space="0" w:color="auto"/>
          </w:divBdr>
        </w:div>
        <w:div w:id="431095931">
          <w:marLeft w:val="0"/>
          <w:marRight w:val="0"/>
          <w:marTop w:val="0"/>
          <w:marBottom w:val="0"/>
          <w:divBdr>
            <w:top w:val="none" w:sz="0" w:space="0" w:color="auto"/>
            <w:left w:val="none" w:sz="0" w:space="0" w:color="auto"/>
            <w:bottom w:val="none" w:sz="0" w:space="0" w:color="auto"/>
            <w:right w:val="none" w:sz="0" w:space="0" w:color="auto"/>
          </w:divBdr>
        </w:div>
        <w:div w:id="108087379">
          <w:marLeft w:val="0"/>
          <w:marRight w:val="0"/>
          <w:marTop w:val="0"/>
          <w:marBottom w:val="0"/>
          <w:divBdr>
            <w:top w:val="none" w:sz="0" w:space="0" w:color="auto"/>
            <w:left w:val="none" w:sz="0" w:space="0" w:color="auto"/>
            <w:bottom w:val="none" w:sz="0" w:space="0" w:color="auto"/>
            <w:right w:val="none" w:sz="0" w:space="0" w:color="auto"/>
          </w:divBdr>
        </w:div>
        <w:div w:id="792820501">
          <w:marLeft w:val="0"/>
          <w:marRight w:val="0"/>
          <w:marTop w:val="0"/>
          <w:marBottom w:val="0"/>
          <w:divBdr>
            <w:top w:val="none" w:sz="0" w:space="0" w:color="auto"/>
            <w:left w:val="none" w:sz="0" w:space="0" w:color="auto"/>
            <w:bottom w:val="none" w:sz="0" w:space="0" w:color="auto"/>
            <w:right w:val="none" w:sz="0" w:space="0" w:color="auto"/>
          </w:divBdr>
        </w:div>
        <w:div w:id="1849901976">
          <w:marLeft w:val="0"/>
          <w:marRight w:val="0"/>
          <w:marTop w:val="0"/>
          <w:marBottom w:val="0"/>
          <w:divBdr>
            <w:top w:val="none" w:sz="0" w:space="0" w:color="auto"/>
            <w:left w:val="none" w:sz="0" w:space="0" w:color="auto"/>
            <w:bottom w:val="none" w:sz="0" w:space="0" w:color="auto"/>
            <w:right w:val="none" w:sz="0" w:space="0" w:color="auto"/>
          </w:divBdr>
        </w:div>
        <w:div w:id="1180041882">
          <w:marLeft w:val="0"/>
          <w:marRight w:val="0"/>
          <w:marTop w:val="0"/>
          <w:marBottom w:val="0"/>
          <w:divBdr>
            <w:top w:val="none" w:sz="0" w:space="0" w:color="auto"/>
            <w:left w:val="none" w:sz="0" w:space="0" w:color="auto"/>
            <w:bottom w:val="none" w:sz="0" w:space="0" w:color="auto"/>
            <w:right w:val="none" w:sz="0" w:space="0" w:color="auto"/>
          </w:divBdr>
        </w:div>
        <w:div w:id="1217594732">
          <w:marLeft w:val="0"/>
          <w:marRight w:val="0"/>
          <w:marTop w:val="0"/>
          <w:marBottom w:val="0"/>
          <w:divBdr>
            <w:top w:val="none" w:sz="0" w:space="0" w:color="auto"/>
            <w:left w:val="none" w:sz="0" w:space="0" w:color="auto"/>
            <w:bottom w:val="none" w:sz="0" w:space="0" w:color="auto"/>
            <w:right w:val="none" w:sz="0" w:space="0" w:color="auto"/>
          </w:divBdr>
        </w:div>
        <w:div w:id="117335895">
          <w:marLeft w:val="0"/>
          <w:marRight w:val="0"/>
          <w:marTop w:val="0"/>
          <w:marBottom w:val="0"/>
          <w:divBdr>
            <w:top w:val="none" w:sz="0" w:space="0" w:color="auto"/>
            <w:left w:val="none" w:sz="0" w:space="0" w:color="auto"/>
            <w:bottom w:val="none" w:sz="0" w:space="0" w:color="auto"/>
            <w:right w:val="none" w:sz="0" w:space="0" w:color="auto"/>
          </w:divBdr>
        </w:div>
        <w:div w:id="682825538">
          <w:marLeft w:val="0"/>
          <w:marRight w:val="0"/>
          <w:marTop w:val="0"/>
          <w:marBottom w:val="0"/>
          <w:divBdr>
            <w:top w:val="none" w:sz="0" w:space="0" w:color="auto"/>
            <w:left w:val="none" w:sz="0" w:space="0" w:color="auto"/>
            <w:bottom w:val="none" w:sz="0" w:space="0" w:color="auto"/>
            <w:right w:val="none" w:sz="0" w:space="0" w:color="auto"/>
          </w:divBdr>
        </w:div>
        <w:div w:id="1278171737">
          <w:marLeft w:val="0"/>
          <w:marRight w:val="0"/>
          <w:marTop w:val="0"/>
          <w:marBottom w:val="0"/>
          <w:divBdr>
            <w:top w:val="none" w:sz="0" w:space="0" w:color="auto"/>
            <w:left w:val="none" w:sz="0" w:space="0" w:color="auto"/>
            <w:bottom w:val="none" w:sz="0" w:space="0" w:color="auto"/>
            <w:right w:val="none" w:sz="0" w:space="0" w:color="auto"/>
          </w:divBdr>
        </w:div>
        <w:div w:id="642193849">
          <w:marLeft w:val="0"/>
          <w:marRight w:val="0"/>
          <w:marTop w:val="0"/>
          <w:marBottom w:val="0"/>
          <w:divBdr>
            <w:top w:val="none" w:sz="0" w:space="0" w:color="auto"/>
            <w:left w:val="none" w:sz="0" w:space="0" w:color="auto"/>
            <w:bottom w:val="none" w:sz="0" w:space="0" w:color="auto"/>
            <w:right w:val="none" w:sz="0" w:space="0" w:color="auto"/>
          </w:divBdr>
        </w:div>
        <w:div w:id="1409308456">
          <w:marLeft w:val="0"/>
          <w:marRight w:val="0"/>
          <w:marTop w:val="0"/>
          <w:marBottom w:val="0"/>
          <w:divBdr>
            <w:top w:val="none" w:sz="0" w:space="0" w:color="auto"/>
            <w:left w:val="none" w:sz="0" w:space="0" w:color="auto"/>
            <w:bottom w:val="none" w:sz="0" w:space="0" w:color="auto"/>
            <w:right w:val="none" w:sz="0" w:space="0" w:color="auto"/>
          </w:divBdr>
        </w:div>
        <w:div w:id="933711058">
          <w:marLeft w:val="0"/>
          <w:marRight w:val="0"/>
          <w:marTop w:val="0"/>
          <w:marBottom w:val="0"/>
          <w:divBdr>
            <w:top w:val="none" w:sz="0" w:space="0" w:color="auto"/>
            <w:left w:val="none" w:sz="0" w:space="0" w:color="auto"/>
            <w:bottom w:val="none" w:sz="0" w:space="0" w:color="auto"/>
            <w:right w:val="none" w:sz="0" w:space="0" w:color="auto"/>
          </w:divBdr>
        </w:div>
        <w:div w:id="595603478">
          <w:marLeft w:val="0"/>
          <w:marRight w:val="0"/>
          <w:marTop w:val="0"/>
          <w:marBottom w:val="0"/>
          <w:divBdr>
            <w:top w:val="none" w:sz="0" w:space="0" w:color="auto"/>
            <w:left w:val="none" w:sz="0" w:space="0" w:color="auto"/>
            <w:bottom w:val="none" w:sz="0" w:space="0" w:color="auto"/>
            <w:right w:val="none" w:sz="0" w:space="0" w:color="auto"/>
          </w:divBdr>
        </w:div>
        <w:div w:id="1197087147">
          <w:marLeft w:val="0"/>
          <w:marRight w:val="0"/>
          <w:marTop w:val="0"/>
          <w:marBottom w:val="0"/>
          <w:divBdr>
            <w:top w:val="none" w:sz="0" w:space="0" w:color="auto"/>
            <w:left w:val="none" w:sz="0" w:space="0" w:color="auto"/>
            <w:bottom w:val="none" w:sz="0" w:space="0" w:color="auto"/>
            <w:right w:val="none" w:sz="0" w:space="0" w:color="auto"/>
          </w:divBdr>
        </w:div>
        <w:div w:id="1242134692">
          <w:marLeft w:val="0"/>
          <w:marRight w:val="0"/>
          <w:marTop w:val="0"/>
          <w:marBottom w:val="0"/>
          <w:divBdr>
            <w:top w:val="none" w:sz="0" w:space="0" w:color="auto"/>
            <w:left w:val="none" w:sz="0" w:space="0" w:color="auto"/>
            <w:bottom w:val="none" w:sz="0" w:space="0" w:color="auto"/>
            <w:right w:val="none" w:sz="0" w:space="0" w:color="auto"/>
          </w:divBdr>
        </w:div>
        <w:div w:id="1656254058">
          <w:marLeft w:val="0"/>
          <w:marRight w:val="0"/>
          <w:marTop w:val="0"/>
          <w:marBottom w:val="0"/>
          <w:divBdr>
            <w:top w:val="none" w:sz="0" w:space="0" w:color="auto"/>
            <w:left w:val="none" w:sz="0" w:space="0" w:color="auto"/>
            <w:bottom w:val="none" w:sz="0" w:space="0" w:color="auto"/>
            <w:right w:val="none" w:sz="0" w:space="0" w:color="auto"/>
          </w:divBdr>
        </w:div>
        <w:div w:id="2017535206">
          <w:marLeft w:val="0"/>
          <w:marRight w:val="0"/>
          <w:marTop w:val="0"/>
          <w:marBottom w:val="0"/>
          <w:divBdr>
            <w:top w:val="none" w:sz="0" w:space="0" w:color="auto"/>
            <w:left w:val="none" w:sz="0" w:space="0" w:color="auto"/>
            <w:bottom w:val="none" w:sz="0" w:space="0" w:color="auto"/>
            <w:right w:val="none" w:sz="0" w:space="0" w:color="auto"/>
          </w:divBdr>
        </w:div>
        <w:div w:id="803041353">
          <w:marLeft w:val="0"/>
          <w:marRight w:val="0"/>
          <w:marTop w:val="0"/>
          <w:marBottom w:val="0"/>
          <w:divBdr>
            <w:top w:val="none" w:sz="0" w:space="0" w:color="auto"/>
            <w:left w:val="none" w:sz="0" w:space="0" w:color="auto"/>
            <w:bottom w:val="none" w:sz="0" w:space="0" w:color="auto"/>
            <w:right w:val="none" w:sz="0" w:space="0" w:color="auto"/>
          </w:divBdr>
        </w:div>
        <w:div w:id="1409035788">
          <w:marLeft w:val="0"/>
          <w:marRight w:val="0"/>
          <w:marTop w:val="0"/>
          <w:marBottom w:val="0"/>
          <w:divBdr>
            <w:top w:val="none" w:sz="0" w:space="0" w:color="auto"/>
            <w:left w:val="none" w:sz="0" w:space="0" w:color="auto"/>
            <w:bottom w:val="none" w:sz="0" w:space="0" w:color="auto"/>
            <w:right w:val="none" w:sz="0" w:space="0" w:color="auto"/>
          </w:divBdr>
        </w:div>
        <w:div w:id="700979779">
          <w:marLeft w:val="0"/>
          <w:marRight w:val="0"/>
          <w:marTop w:val="0"/>
          <w:marBottom w:val="0"/>
          <w:divBdr>
            <w:top w:val="none" w:sz="0" w:space="0" w:color="auto"/>
            <w:left w:val="none" w:sz="0" w:space="0" w:color="auto"/>
            <w:bottom w:val="none" w:sz="0" w:space="0" w:color="auto"/>
            <w:right w:val="none" w:sz="0" w:space="0" w:color="auto"/>
          </w:divBdr>
        </w:div>
        <w:div w:id="393086860">
          <w:marLeft w:val="0"/>
          <w:marRight w:val="0"/>
          <w:marTop w:val="0"/>
          <w:marBottom w:val="0"/>
          <w:divBdr>
            <w:top w:val="none" w:sz="0" w:space="0" w:color="auto"/>
            <w:left w:val="none" w:sz="0" w:space="0" w:color="auto"/>
            <w:bottom w:val="none" w:sz="0" w:space="0" w:color="auto"/>
            <w:right w:val="none" w:sz="0" w:space="0" w:color="auto"/>
          </w:divBdr>
        </w:div>
        <w:div w:id="75324634">
          <w:marLeft w:val="0"/>
          <w:marRight w:val="0"/>
          <w:marTop w:val="0"/>
          <w:marBottom w:val="0"/>
          <w:divBdr>
            <w:top w:val="none" w:sz="0" w:space="0" w:color="auto"/>
            <w:left w:val="none" w:sz="0" w:space="0" w:color="auto"/>
            <w:bottom w:val="none" w:sz="0" w:space="0" w:color="auto"/>
            <w:right w:val="none" w:sz="0" w:space="0" w:color="auto"/>
          </w:divBdr>
        </w:div>
        <w:div w:id="683630922">
          <w:marLeft w:val="0"/>
          <w:marRight w:val="0"/>
          <w:marTop w:val="0"/>
          <w:marBottom w:val="0"/>
          <w:divBdr>
            <w:top w:val="none" w:sz="0" w:space="0" w:color="auto"/>
            <w:left w:val="none" w:sz="0" w:space="0" w:color="auto"/>
            <w:bottom w:val="none" w:sz="0" w:space="0" w:color="auto"/>
            <w:right w:val="none" w:sz="0" w:space="0" w:color="auto"/>
          </w:divBdr>
        </w:div>
        <w:div w:id="2002930567">
          <w:marLeft w:val="0"/>
          <w:marRight w:val="0"/>
          <w:marTop w:val="0"/>
          <w:marBottom w:val="0"/>
          <w:divBdr>
            <w:top w:val="none" w:sz="0" w:space="0" w:color="auto"/>
            <w:left w:val="none" w:sz="0" w:space="0" w:color="auto"/>
            <w:bottom w:val="none" w:sz="0" w:space="0" w:color="auto"/>
            <w:right w:val="none" w:sz="0" w:space="0" w:color="auto"/>
          </w:divBdr>
        </w:div>
        <w:div w:id="525217038">
          <w:marLeft w:val="0"/>
          <w:marRight w:val="0"/>
          <w:marTop w:val="0"/>
          <w:marBottom w:val="0"/>
          <w:divBdr>
            <w:top w:val="none" w:sz="0" w:space="0" w:color="auto"/>
            <w:left w:val="none" w:sz="0" w:space="0" w:color="auto"/>
            <w:bottom w:val="none" w:sz="0" w:space="0" w:color="auto"/>
            <w:right w:val="none" w:sz="0" w:space="0" w:color="auto"/>
          </w:divBdr>
        </w:div>
        <w:div w:id="369230962">
          <w:marLeft w:val="0"/>
          <w:marRight w:val="0"/>
          <w:marTop w:val="0"/>
          <w:marBottom w:val="0"/>
          <w:divBdr>
            <w:top w:val="none" w:sz="0" w:space="0" w:color="auto"/>
            <w:left w:val="none" w:sz="0" w:space="0" w:color="auto"/>
            <w:bottom w:val="none" w:sz="0" w:space="0" w:color="auto"/>
            <w:right w:val="none" w:sz="0" w:space="0" w:color="auto"/>
          </w:divBdr>
        </w:div>
        <w:div w:id="610285176">
          <w:marLeft w:val="0"/>
          <w:marRight w:val="0"/>
          <w:marTop w:val="0"/>
          <w:marBottom w:val="0"/>
          <w:divBdr>
            <w:top w:val="none" w:sz="0" w:space="0" w:color="auto"/>
            <w:left w:val="none" w:sz="0" w:space="0" w:color="auto"/>
            <w:bottom w:val="none" w:sz="0" w:space="0" w:color="auto"/>
            <w:right w:val="none" w:sz="0" w:space="0" w:color="auto"/>
          </w:divBdr>
        </w:div>
        <w:div w:id="829563325">
          <w:marLeft w:val="0"/>
          <w:marRight w:val="0"/>
          <w:marTop w:val="0"/>
          <w:marBottom w:val="0"/>
          <w:divBdr>
            <w:top w:val="none" w:sz="0" w:space="0" w:color="auto"/>
            <w:left w:val="none" w:sz="0" w:space="0" w:color="auto"/>
            <w:bottom w:val="none" w:sz="0" w:space="0" w:color="auto"/>
            <w:right w:val="none" w:sz="0" w:space="0" w:color="auto"/>
          </w:divBdr>
        </w:div>
        <w:div w:id="1514225618">
          <w:marLeft w:val="0"/>
          <w:marRight w:val="0"/>
          <w:marTop w:val="0"/>
          <w:marBottom w:val="0"/>
          <w:divBdr>
            <w:top w:val="none" w:sz="0" w:space="0" w:color="auto"/>
            <w:left w:val="none" w:sz="0" w:space="0" w:color="auto"/>
            <w:bottom w:val="none" w:sz="0" w:space="0" w:color="auto"/>
            <w:right w:val="none" w:sz="0" w:space="0" w:color="auto"/>
          </w:divBdr>
        </w:div>
        <w:div w:id="1721246753">
          <w:marLeft w:val="0"/>
          <w:marRight w:val="0"/>
          <w:marTop w:val="0"/>
          <w:marBottom w:val="0"/>
          <w:divBdr>
            <w:top w:val="none" w:sz="0" w:space="0" w:color="auto"/>
            <w:left w:val="none" w:sz="0" w:space="0" w:color="auto"/>
            <w:bottom w:val="none" w:sz="0" w:space="0" w:color="auto"/>
            <w:right w:val="none" w:sz="0" w:space="0" w:color="auto"/>
          </w:divBdr>
        </w:div>
        <w:div w:id="725956118">
          <w:marLeft w:val="0"/>
          <w:marRight w:val="0"/>
          <w:marTop w:val="0"/>
          <w:marBottom w:val="0"/>
          <w:divBdr>
            <w:top w:val="none" w:sz="0" w:space="0" w:color="auto"/>
            <w:left w:val="none" w:sz="0" w:space="0" w:color="auto"/>
            <w:bottom w:val="none" w:sz="0" w:space="0" w:color="auto"/>
            <w:right w:val="none" w:sz="0" w:space="0" w:color="auto"/>
          </w:divBdr>
        </w:div>
        <w:div w:id="2114789332">
          <w:marLeft w:val="0"/>
          <w:marRight w:val="0"/>
          <w:marTop w:val="0"/>
          <w:marBottom w:val="0"/>
          <w:divBdr>
            <w:top w:val="none" w:sz="0" w:space="0" w:color="auto"/>
            <w:left w:val="none" w:sz="0" w:space="0" w:color="auto"/>
            <w:bottom w:val="none" w:sz="0" w:space="0" w:color="auto"/>
            <w:right w:val="none" w:sz="0" w:space="0" w:color="auto"/>
          </w:divBdr>
        </w:div>
        <w:div w:id="409888141">
          <w:marLeft w:val="0"/>
          <w:marRight w:val="0"/>
          <w:marTop w:val="0"/>
          <w:marBottom w:val="0"/>
          <w:divBdr>
            <w:top w:val="none" w:sz="0" w:space="0" w:color="auto"/>
            <w:left w:val="none" w:sz="0" w:space="0" w:color="auto"/>
            <w:bottom w:val="none" w:sz="0" w:space="0" w:color="auto"/>
            <w:right w:val="none" w:sz="0" w:space="0" w:color="auto"/>
          </w:divBdr>
        </w:div>
        <w:div w:id="1983850233">
          <w:marLeft w:val="0"/>
          <w:marRight w:val="0"/>
          <w:marTop w:val="0"/>
          <w:marBottom w:val="0"/>
          <w:divBdr>
            <w:top w:val="none" w:sz="0" w:space="0" w:color="auto"/>
            <w:left w:val="none" w:sz="0" w:space="0" w:color="auto"/>
            <w:bottom w:val="none" w:sz="0" w:space="0" w:color="auto"/>
            <w:right w:val="none" w:sz="0" w:space="0" w:color="auto"/>
          </w:divBdr>
        </w:div>
        <w:div w:id="807548396">
          <w:marLeft w:val="0"/>
          <w:marRight w:val="0"/>
          <w:marTop w:val="0"/>
          <w:marBottom w:val="0"/>
          <w:divBdr>
            <w:top w:val="none" w:sz="0" w:space="0" w:color="auto"/>
            <w:left w:val="none" w:sz="0" w:space="0" w:color="auto"/>
            <w:bottom w:val="none" w:sz="0" w:space="0" w:color="auto"/>
            <w:right w:val="none" w:sz="0" w:space="0" w:color="auto"/>
          </w:divBdr>
        </w:div>
        <w:div w:id="1238706935">
          <w:marLeft w:val="0"/>
          <w:marRight w:val="0"/>
          <w:marTop w:val="0"/>
          <w:marBottom w:val="0"/>
          <w:divBdr>
            <w:top w:val="none" w:sz="0" w:space="0" w:color="auto"/>
            <w:left w:val="none" w:sz="0" w:space="0" w:color="auto"/>
            <w:bottom w:val="none" w:sz="0" w:space="0" w:color="auto"/>
            <w:right w:val="none" w:sz="0" w:space="0" w:color="auto"/>
          </w:divBdr>
        </w:div>
        <w:div w:id="1498350760">
          <w:marLeft w:val="0"/>
          <w:marRight w:val="0"/>
          <w:marTop w:val="0"/>
          <w:marBottom w:val="0"/>
          <w:divBdr>
            <w:top w:val="none" w:sz="0" w:space="0" w:color="auto"/>
            <w:left w:val="none" w:sz="0" w:space="0" w:color="auto"/>
            <w:bottom w:val="none" w:sz="0" w:space="0" w:color="auto"/>
            <w:right w:val="none" w:sz="0" w:space="0" w:color="auto"/>
          </w:divBdr>
        </w:div>
        <w:div w:id="626199809">
          <w:marLeft w:val="0"/>
          <w:marRight w:val="0"/>
          <w:marTop w:val="0"/>
          <w:marBottom w:val="0"/>
          <w:divBdr>
            <w:top w:val="none" w:sz="0" w:space="0" w:color="auto"/>
            <w:left w:val="none" w:sz="0" w:space="0" w:color="auto"/>
            <w:bottom w:val="none" w:sz="0" w:space="0" w:color="auto"/>
            <w:right w:val="none" w:sz="0" w:space="0" w:color="auto"/>
          </w:divBdr>
        </w:div>
        <w:div w:id="2057387117">
          <w:marLeft w:val="0"/>
          <w:marRight w:val="0"/>
          <w:marTop w:val="0"/>
          <w:marBottom w:val="0"/>
          <w:divBdr>
            <w:top w:val="none" w:sz="0" w:space="0" w:color="auto"/>
            <w:left w:val="none" w:sz="0" w:space="0" w:color="auto"/>
            <w:bottom w:val="none" w:sz="0" w:space="0" w:color="auto"/>
            <w:right w:val="none" w:sz="0" w:space="0" w:color="auto"/>
          </w:divBdr>
        </w:div>
        <w:div w:id="904025055">
          <w:marLeft w:val="0"/>
          <w:marRight w:val="0"/>
          <w:marTop w:val="0"/>
          <w:marBottom w:val="0"/>
          <w:divBdr>
            <w:top w:val="none" w:sz="0" w:space="0" w:color="auto"/>
            <w:left w:val="none" w:sz="0" w:space="0" w:color="auto"/>
            <w:bottom w:val="none" w:sz="0" w:space="0" w:color="auto"/>
            <w:right w:val="none" w:sz="0" w:space="0" w:color="auto"/>
          </w:divBdr>
        </w:div>
        <w:div w:id="678579035">
          <w:marLeft w:val="0"/>
          <w:marRight w:val="0"/>
          <w:marTop w:val="0"/>
          <w:marBottom w:val="0"/>
          <w:divBdr>
            <w:top w:val="none" w:sz="0" w:space="0" w:color="auto"/>
            <w:left w:val="none" w:sz="0" w:space="0" w:color="auto"/>
            <w:bottom w:val="none" w:sz="0" w:space="0" w:color="auto"/>
            <w:right w:val="none" w:sz="0" w:space="0" w:color="auto"/>
          </w:divBdr>
        </w:div>
        <w:div w:id="1866869907">
          <w:marLeft w:val="0"/>
          <w:marRight w:val="0"/>
          <w:marTop w:val="0"/>
          <w:marBottom w:val="0"/>
          <w:divBdr>
            <w:top w:val="none" w:sz="0" w:space="0" w:color="auto"/>
            <w:left w:val="none" w:sz="0" w:space="0" w:color="auto"/>
            <w:bottom w:val="none" w:sz="0" w:space="0" w:color="auto"/>
            <w:right w:val="none" w:sz="0" w:space="0" w:color="auto"/>
          </w:divBdr>
        </w:div>
        <w:div w:id="291905055">
          <w:marLeft w:val="0"/>
          <w:marRight w:val="0"/>
          <w:marTop w:val="0"/>
          <w:marBottom w:val="0"/>
          <w:divBdr>
            <w:top w:val="none" w:sz="0" w:space="0" w:color="auto"/>
            <w:left w:val="none" w:sz="0" w:space="0" w:color="auto"/>
            <w:bottom w:val="none" w:sz="0" w:space="0" w:color="auto"/>
            <w:right w:val="none" w:sz="0" w:space="0" w:color="auto"/>
          </w:divBdr>
        </w:div>
        <w:div w:id="355540257">
          <w:marLeft w:val="0"/>
          <w:marRight w:val="0"/>
          <w:marTop w:val="0"/>
          <w:marBottom w:val="0"/>
          <w:divBdr>
            <w:top w:val="none" w:sz="0" w:space="0" w:color="auto"/>
            <w:left w:val="none" w:sz="0" w:space="0" w:color="auto"/>
            <w:bottom w:val="none" w:sz="0" w:space="0" w:color="auto"/>
            <w:right w:val="none" w:sz="0" w:space="0" w:color="auto"/>
          </w:divBdr>
        </w:div>
        <w:div w:id="2023582932">
          <w:marLeft w:val="0"/>
          <w:marRight w:val="0"/>
          <w:marTop w:val="0"/>
          <w:marBottom w:val="0"/>
          <w:divBdr>
            <w:top w:val="none" w:sz="0" w:space="0" w:color="auto"/>
            <w:left w:val="none" w:sz="0" w:space="0" w:color="auto"/>
            <w:bottom w:val="none" w:sz="0" w:space="0" w:color="auto"/>
            <w:right w:val="none" w:sz="0" w:space="0" w:color="auto"/>
          </w:divBdr>
        </w:div>
        <w:div w:id="472597591">
          <w:marLeft w:val="0"/>
          <w:marRight w:val="0"/>
          <w:marTop w:val="0"/>
          <w:marBottom w:val="0"/>
          <w:divBdr>
            <w:top w:val="none" w:sz="0" w:space="0" w:color="auto"/>
            <w:left w:val="none" w:sz="0" w:space="0" w:color="auto"/>
            <w:bottom w:val="none" w:sz="0" w:space="0" w:color="auto"/>
            <w:right w:val="none" w:sz="0" w:space="0" w:color="auto"/>
          </w:divBdr>
        </w:div>
        <w:div w:id="1302232408">
          <w:marLeft w:val="0"/>
          <w:marRight w:val="0"/>
          <w:marTop w:val="0"/>
          <w:marBottom w:val="0"/>
          <w:divBdr>
            <w:top w:val="none" w:sz="0" w:space="0" w:color="auto"/>
            <w:left w:val="none" w:sz="0" w:space="0" w:color="auto"/>
            <w:bottom w:val="none" w:sz="0" w:space="0" w:color="auto"/>
            <w:right w:val="none" w:sz="0" w:space="0" w:color="auto"/>
          </w:divBdr>
        </w:div>
        <w:div w:id="1005211071">
          <w:marLeft w:val="0"/>
          <w:marRight w:val="0"/>
          <w:marTop w:val="0"/>
          <w:marBottom w:val="0"/>
          <w:divBdr>
            <w:top w:val="none" w:sz="0" w:space="0" w:color="auto"/>
            <w:left w:val="none" w:sz="0" w:space="0" w:color="auto"/>
            <w:bottom w:val="none" w:sz="0" w:space="0" w:color="auto"/>
            <w:right w:val="none" w:sz="0" w:space="0" w:color="auto"/>
          </w:divBdr>
        </w:div>
        <w:div w:id="1165972046">
          <w:marLeft w:val="0"/>
          <w:marRight w:val="0"/>
          <w:marTop w:val="0"/>
          <w:marBottom w:val="0"/>
          <w:divBdr>
            <w:top w:val="none" w:sz="0" w:space="0" w:color="auto"/>
            <w:left w:val="none" w:sz="0" w:space="0" w:color="auto"/>
            <w:bottom w:val="none" w:sz="0" w:space="0" w:color="auto"/>
            <w:right w:val="none" w:sz="0" w:space="0" w:color="auto"/>
          </w:divBdr>
        </w:div>
        <w:div w:id="427383755">
          <w:marLeft w:val="0"/>
          <w:marRight w:val="0"/>
          <w:marTop w:val="0"/>
          <w:marBottom w:val="0"/>
          <w:divBdr>
            <w:top w:val="none" w:sz="0" w:space="0" w:color="auto"/>
            <w:left w:val="none" w:sz="0" w:space="0" w:color="auto"/>
            <w:bottom w:val="none" w:sz="0" w:space="0" w:color="auto"/>
            <w:right w:val="none" w:sz="0" w:space="0" w:color="auto"/>
          </w:divBdr>
        </w:div>
        <w:div w:id="788162797">
          <w:marLeft w:val="0"/>
          <w:marRight w:val="0"/>
          <w:marTop w:val="0"/>
          <w:marBottom w:val="0"/>
          <w:divBdr>
            <w:top w:val="none" w:sz="0" w:space="0" w:color="auto"/>
            <w:left w:val="none" w:sz="0" w:space="0" w:color="auto"/>
            <w:bottom w:val="none" w:sz="0" w:space="0" w:color="auto"/>
            <w:right w:val="none" w:sz="0" w:space="0" w:color="auto"/>
          </w:divBdr>
        </w:div>
        <w:div w:id="1720781498">
          <w:marLeft w:val="0"/>
          <w:marRight w:val="0"/>
          <w:marTop w:val="0"/>
          <w:marBottom w:val="0"/>
          <w:divBdr>
            <w:top w:val="none" w:sz="0" w:space="0" w:color="auto"/>
            <w:left w:val="none" w:sz="0" w:space="0" w:color="auto"/>
            <w:bottom w:val="none" w:sz="0" w:space="0" w:color="auto"/>
            <w:right w:val="none" w:sz="0" w:space="0" w:color="auto"/>
          </w:divBdr>
        </w:div>
        <w:div w:id="98262090">
          <w:marLeft w:val="0"/>
          <w:marRight w:val="0"/>
          <w:marTop w:val="0"/>
          <w:marBottom w:val="0"/>
          <w:divBdr>
            <w:top w:val="none" w:sz="0" w:space="0" w:color="auto"/>
            <w:left w:val="none" w:sz="0" w:space="0" w:color="auto"/>
            <w:bottom w:val="none" w:sz="0" w:space="0" w:color="auto"/>
            <w:right w:val="none" w:sz="0" w:space="0" w:color="auto"/>
          </w:divBdr>
        </w:div>
        <w:div w:id="797070249">
          <w:marLeft w:val="0"/>
          <w:marRight w:val="0"/>
          <w:marTop w:val="0"/>
          <w:marBottom w:val="0"/>
          <w:divBdr>
            <w:top w:val="none" w:sz="0" w:space="0" w:color="auto"/>
            <w:left w:val="none" w:sz="0" w:space="0" w:color="auto"/>
            <w:bottom w:val="none" w:sz="0" w:space="0" w:color="auto"/>
            <w:right w:val="none" w:sz="0" w:space="0" w:color="auto"/>
          </w:divBdr>
        </w:div>
        <w:div w:id="570894300">
          <w:marLeft w:val="0"/>
          <w:marRight w:val="0"/>
          <w:marTop w:val="0"/>
          <w:marBottom w:val="0"/>
          <w:divBdr>
            <w:top w:val="none" w:sz="0" w:space="0" w:color="auto"/>
            <w:left w:val="none" w:sz="0" w:space="0" w:color="auto"/>
            <w:bottom w:val="none" w:sz="0" w:space="0" w:color="auto"/>
            <w:right w:val="none" w:sz="0" w:space="0" w:color="auto"/>
          </w:divBdr>
        </w:div>
        <w:div w:id="1094596341">
          <w:marLeft w:val="0"/>
          <w:marRight w:val="0"/>
          <w:marTop w:val="0"/>
          <w:marBottom w:val="0"/>
          <w:divBdr>
            <w:top w:val="none" w:sz="0" w:space="0" w:color="auto"/>
            <w:left w:val="none" w:sz="0" w:space="0" w:color="auto"/>
            <w:bottom w:val="none" w:sz="0" w:space="0" w:color="auto"/>
            <w:right w:val="none" w:sz="0" w:space="0" w:color="auto"/>
          </w:divBdr>
        </w:div>
        <w:div w:id="1862550383">
          <w:marLeft w:val="0"/>
          <w:marRight w:val="0"/>
          <w:marTop w:val="0"/>
          <w:marBottom w:val="0"/>
          <w:divBdr>
            <w:top w:val="none" w:sz="0" w:space="0" w:color="auto"/>
            <w:left w:val="none" w:sz="0" w:space="0" w:color="auto"/>
            <w:bottom w:val="none" w:sz="0" w:space="0" w:color="auto"/>
            <w:right w:val="none" w:sz="0" w:space="0" w:color="auto"/>
          </w:divBdr>
        </w:div>
        <w:div w:id="442456033">
          <w:marLeft w:val="0"/>
          <w:marRight w:val="0"/>
          <w:marTop w:val="0"/>
          <w:marBottom w:val="0"/>
          <w:divBdr>
            <w:top w:val="none" w:sz="0" w:space="0" w:color="auto"/>
            <w:left w:val="none" w:sz="0" w:space="0" w:color="auto"/>
            <w:bottom w:val="none" w:sz="0" w:space="0" w:color="auto"/>
            <w:right w:val="none" w:sz="0" w:space="0" w:color="auto"/>
          </w:divBdr>
        </w:div>
        <w:div w:id="2045210119">
          <w:marLeft w:val="0"/>
          <w:marRight w:val="0"/>
          <w:marTop w:val="0"/>
          <w:marBottom w:val="0"/>
          <w:divBdr>
            <w:top w:val="none" w:sz="0" w:space="0" w:color="auto"/>
            <w:left w:val="none" w:sz="0" w:space="0" w:color="auto"/>
            <w:bottom w:val="none" w:sz="0" w:space="0" w:color="auto"/>
            <w:right w:val="none" w:sz="0" w:space="0" w:color="auto"/>
          </w:divBdr>
        </w:div>
        <w:div w:id="1179125685">
          <w:marLeft w:val="0"/>
          <w:marRight w:val="0"/>
          <w:marTop w:val="0"/>
          <w:marBottom w:val="0"/>
          <w:divBdr>
            <w:top w:val="none" w:sz="0" w:space="0" w:color="auto"/>
            <w:left w:val="none" w:sz="0" w:space="0" w:color="auto"/>
            <w:bottom w:val="none" w:sz="0" w:space="0" w:color="auto"/>
            <w:right w:val="none" w:sz="0" w:space="0" w:color="auto"/>
          </w:divBdr>
        </w:div>
        <w:div w:id="972714678">
          <w:marLeft w:val="0"/>
          <w:marRight w:val="0"/>
          <w:marTop w:val="0"/>
          <w:marBottom w:val="0"/>
          <w:divBdr>
            <w:top w:val="none" w:sz="0" w:space="0" w:color="auto"/>
            <w:left w:val="none" w:sz="0" w:space="0" w:color="auto"/>
            <w:bottom w:val="none" w:sz="0" w:space="0" w:color="auto"/>
            <w:right w:val="none" w:sz="0" w:space="0" w:color="auto"/>
          </w:divBdr>
        </w:div>
        <w:div w:id="1553420910">
          <w:marLeft w:val="0"/>
          <w:marRight w:val="0"/>
          <w:marTop w:val="0"/>
          <w:marBottom w:val="0"/>
          <w:divBdr>
            <w:top w:val="none" w:sz="0" w:space="0" w:color="auto"/>
            <w:left w:val="none" w:sz="0" w:space="0" w:color="auto"/>
            <w:bottom w:val="none" w:sz="0" w:space="0" w:color="auto"/>
            <w:right w:val="none" w:sz="0" w:space="0" w:color="auto"/>
          </w:divBdr>
        </w:div>
        <w:div w:id="1634556445">
          <w:marLeft w:val="0"/>
          <w:marRight w:val="0"/>
          <w:marTop w:val="0"/>
          <w:marBottom w:val="0"/>
          <w:divBdr>
            <w:top w:val="none" w:sz="0" w:space="0" w:color="auto"/>
            <w:left w:val="none" w:sz="0" w:space="0" w:color="auto"/>
            <w:bottom w:val="none" w:sz="0" w:space="0" w:color="auto"/>
            <w:right w:val="none" w:sz="0" w:space="0" w:color="auto"/>
          </w:divBdr>
        </w:div>
        <w:div w:id="651063370">
          <w:marLeft w:val="0"/>
          <w:marRight w:val="0"/>
          <w:marTop w:val="0"/>
          <w:marBottom w:val="0"/>
          <w:divBdr>
            <w:top w:val="none" w:sz="0" w:space="0" w:color="auto"/>
            <w:left w:val="none" w:sz="0" w:space="0" w:color="auto"/>
            <w:bottom w:val="none" w:sz="0" w:space="0" w:color="auto"/>
            <w:right w:val="none" w:sz="0" w:space="0" w:color="auto"/>
          </w:divBdr>
        </w:div>
        <w:div w:id="1906600229">
          <w:marLeft w:val="0"/>
          <w:marRight w:val="0"/>
          <w:marTop w:val="0"/>
          <w:marBottom w:val="0"/>
          <w:divBdr>
            <w:top w:val="none" w:sz="0" w:space="0" w:color="auto"/>
            <w:left w:val="none" w:sz="0" w:space="0" w:color="auto"/>
            <w:bottom w:val="none" w:sz="0" w:space="0" w:color="auto"/>
            <w:right w:val="none" w:sz="0" w:space="0" w:color="auto"/>
          </w:divBdr>
        </w:div>
        <w:div w:id="1403523958">
          <w:marLeft w:val="0"/>
          <w:marRight w:val="0"/>
          <w:marTop w:val="0"/>
          <w:marBottom w:val="0"/>
          <w:divBdr>
            <w:top w:val="none" w:sz="0" w:space="0" w:color="auto"/>
            <w:left w:val="none" w:sz="0" w:space="0" w:color="auto"/>
            <w:bottom w:val="none" w:sz="0" w:space="0" w:color="auto"/>
            <w:right w:val="none" w:sz="0" w:space="0" w:color="auto"/>
          </w:divBdr>
        </w:div>
        <w:div w:id="914558001">
          <w:marLeft w:val="0"/>
          <w:marRight w:val="0"/>
          <w:marTop w:val="0"/>
          <w:marBottom w:val="0"/>
          <w:divBdr>
            <w:top w:val="none" w:sz="0" w:space="0" w:color="auto"/>
            <w:left w:val="none" w:sz="0" w:space="0" w:color="auto"/>
            <w:bottom w:val="none" w:sz="0" w:space="0" w:color="auto"/>
            <w:right w:val="none" w:sz="0" w:space="0" w:color="auto"/>
          </w:divBdr>
        </w:div>
        <w:div w:id="1328171066">
          <w:marLeft w:val="0"/>
          <w:marRight w:val="0"/>
          <w:marTop w:val="0"/>
          <w:marBottom w:val="0"/>
          <w:divBdr>
            <w:top w:val="none" w:sz="0" w:space="0" w:color="auto"/>
            <w:left w:val="none" w:sz="0" w:space="0" w:color="auto"/>
            <w:bottom w:val="none" w:sz="0" w:space="0" w:color="auto"/>
            <w:right w:val="none" w:sz="0" w:space="0" w:color="auto"/>
          </w:divBdr>
        </w:div>
        <w:div w:id="72511247">
          <w:marLeft w:val="0"/>
          <w:marRight w:val="0"/>
          <w:marTop w:val="0"/>
          <w:marBottom w:val="0"/>
          <w:divBdr>
            <w:top w:val="none" w:sz="0" w:space="0" w:color="auto"/>
            <w:left w:val="none" w:sz="0" w:space="0" w:color="auto"/>
            <w:bottom w:val="none" w:sz="0" w:space="0" w:color="auto"/>
            <w:right w:val="none" w:sz="0" w:space="0" w:color="auto"/>
          </w:divBdr>
        </w:div>
        <w:div w:id="1188450299">
          <w:marLeft w:val="0"/>
          <w:marRight w:val="0"/>
          <w:marTop w:val="0"/>
          <w:marBottom w:val="0"/>
          <w:divBdr>
            <w:top w:val="none" w:sz="0" w:space="0" w:color="auto"/>
            <w:left w:val="none" w:sz="0" w:space="0" w:color="auto"/>
            <w:bottom w:val="none" w:sz="0" w:space="0" w:color="auto"/>
            <w:right w:val="none" w:sz="0" w:space="0" w:color="auto"/>
          </w:divBdr>
        </w:div>
        <w:div w:id="1744065633">
          <w:marLeft w:val="0"/>
          <w:marRight w:val="0"/>
          <w:marTop w:val="0"/>
          <w:marBottom w:val="0"/>
          <w:divBdr>
            <w:top w:val="none" w:sz="0" w:space="0" w:color="auto"/>
            <w:left w:val="none" w:sz="0" w:space="0" w:color="auto"/>
            <w:bottom w:val="none" w:sz="0" w:space="0" w:color="auto"/>
            <w:right w:val="none" w:sz="0" w:space="0" w:color="auto"/>
          </w:divBdr>
        </w:div>
        <w:div w:id="868030560">
          <w:marLeft w:val="0"/>
          <w:marRight w:val="0"/>
          <w:marTop w:val="0"/>
          <w:marBottom w:val="0"/>
          <w:divBdr>
            <w:top w:val="none" w:sz="0" w:space="0" w:color="auto"/>
            <w:left w:val="none" w:sz="0" w:space="0" w:color="auto"/>
            <w:bottom w:val="none" w:sz="0" w:space="0" w:color="auto"/>
            <w:right w:val="none" w:sz="0" w:space="0" w:color="auto"/>
          </w:divBdr>
        </w:div>
        <w:div w:id="577207694">
          <w:marLeft w:val="0"/>
          <w:marRight w:val="0"/>
          <w:marTop w:val="0"/>
          <w:marBottom w:val="0"/>
          <w:divBdr>
            <w:top w:val="none" w:sz="0" w:space="0" w:color="auto"/>
            <w:left w:val="none" w:sz="0" w:space="0" w:color="auto"/>
            <w:bottom w:val="none" w:sz="0" w:space="0" w:color="auto"/>
            <w:right w:val="none" w:sz="0" w:space="0" w:color="auto"/>
          </w:divBdr>
        </w:div>
        <w:div w:id="1355037630">
          <w:marLeft w:val="0"/>
          <w:marRight w:val="0"/>
          <w:marTop w:val="0"/>
          <w:marBottom w:val="0"/>
          <w:divBdr>
            <w:top w:val="none" w:sz="0" w:space="0" w:color="auto"/>
            <w:left w:val="none" w:sz="0" w:space="0" w:color="auto"/>
            <w:bottom w:val="none" w:sz="0" w:space="0" w:color="auto"/>
            <w:right w:val="none" w:sz="0" w:space="0" w:color="auto"/>
          </w:divBdr>
        </w:div>
        <w:div w:id="70548867">
          <w:marLeft w:val="0"/>
          <w:marRight w:val="0"/>
          <w:marTop w:val="0"/>
          <w:marBottom w:val="0"/>
          <w:divBdr>
            <w:top w:val="none" w:sz="0" w:space="0" w:color="auto"/>
            <w:left w:val="none" w:sz="0" w:space="0" w:color="auto"/>
            <w:bottom w:val="none" w:sz="0" w:space="0" w:color="auto"/>
            <w:right w:val="none" w:sz="0" w:space="0" w:color="auto"/>
          </w:divBdr>
        </w:div>
        <w:div w:id="1162311476">
          <w:marLeft w:val="0"/>
          <w:marRight w:val="0"/>
          <w:marTop w:val="0"/>
          <w:marBottom w:val="0"/>
          <w:divBdr>
            <w:top w:val="none" w:sz="0" w:space="0" w:color="auto"/>
            <w:left w:val="none" w:sz="0" w:space="0" w:color="auto"/>
            <w:bottom w:val="none" w:sz="0" w:space="0" w:color="auto"/>
            <w:right w:val="none" w:sz="0" w:space="0" w:color="auto"/>
          </w:divBdr>
        </w:div>
        <w:div w:id="797770283">
          <w:marLeft w:val="0"/>
          <w:marRight w:val="0"/>
          <w:marTop w:val="0"/>
          <w:marBottom w:val="0"/>
          <w:divBdr>
            <w:top w:val="none" w:sz="0" w:space="0" w:color="auto"/>
            <w:left w:val="none" w:sz="0" w:space="0" w:color="auto"/>
            <w:bottom w:val="none" w:sz="0" w:space="0" w:color="auto"/>
            <w:right w:val="none" w:sz="0" w:space="0" w:color="auto"/>
          </w:divBdr>
        </w:div>
        <w:div w:id="687297806">
          <w:marLeft w:val="0"/>
          <w:marRight w:val="0"/>
          <w:marTop w:val="0"/>
          <w:marBottom w:val="0"/>
          <w:divBdr>
            <w:top w:val="none" w:sz="0" w:space="0" w:color="auto"/>
            <w:left w:val="none" w:sz="0" w:space="0" w:color="auto"/>
            <w:bottom w:val="none" w:sz="0" w:space="0" w:color="auto"/>
            <w:right w:val="none" w:sz="0" w:space="0" w:color="auto"/>
          </w:divBdr>
        </w:div>
        <w:div w:id="740980350">
          <w:marLeft w:val="0"/>
          <w:marRight w:val="0"/>
          <w:marTop w:val="0"/>
          <w:marBottom w:val="0"/>
          <w:divBdr>
            <w:top w:val="none" w:sz="0" w:space="0" w:color="auto"/>
            <w:left w:val="none" w:sz="0" w:space="0" w:color="auto"/>
            <w:bottom w:val="none" w:sz="0" w:space="0" w:color="auto"/>
            <w:right w:val="none" w:sz="0" w:space="0" w:color="auto"/>
          </w:divBdr>
        </w:div>
        <w:div w:id="1660420559">
          <w:marLeft w:val="0"/>
          <w:marRight w:val="0"/>
          <w:marTop w:val="0"/>
          <w:marBottom w:val="0"/>
          <w:divBdr>
            <w:top w:val="none" w:sz="0" w:space="0" w:color="auto"/>
            <w:left w:val="none" w:sz="0" w:space="0" w:color="auto"/>
            <w:bottom w:val="none" w:sz="0" w:space="0" w:color="auto"/>
            <w:right w:val="none" w:sz="0" w:space="0" w:color="auto"/>
          </w:divBdr>
        </w:div>
        <w:div w:id="1685135641">
          <w:marLeft w:val="0"/>
          <w:marRight w:val="0"/>
          <w:marTop w:val="0"/>
          <w:marBottom w:val="0"/>
          <w:divBdr>
            <w:top w:val="none" w:sz="0" w:space="0" w:color="auto"/>
            <w:left w:val="none" w:sz="0" w:space="0" w:color="auto"/>
            <w:bottom w:val="none" w:sz="0" w:space="0" w:color="auto"/>
            <w:right w:val="none" w:sz="0" w:space="0" w:color="auto"/>
          </w:divBdr>
        </w:div>
        <w:div w:id="1152871150">
          <w:marLeft w:val="0"/>
          <w:marRight w:val="0"/>
          <w:marTop w:val="0"/>
          <w:marBottom w:val="0"/>
          <w:divBdr>
            <w:top w:val="none" w:sz="0" w:space="0" w:color="auto"/>
            <w:left w:val="none" w:sz="0" w:space="0" w:color="auto"/>
            <w:bottom w:val="none" w:sz="0" w:space="0" w:color="auto"/>
            <w:right w:val="none" w:sz="0" w:space="0" w:color="auto"/>
          </w:divBdr>
        </w:div>
        <w:div w:id="1230774331">
          <w:marLeft w:val="0"/>
          <w:marRight w:val="0"/>
          <w:marTop w:val="0"/>
          <w:marBottom w:val="0"/>
          <w:divBdr>
            <w:top w:val="none" w:sz="0" w:space="0" w:color="auto"/>
            <w:left w:val="none" w:sz="0" w:space="0" w:color="auto"/>
            <w:bottom w:val="none" w:sz="0" w:space="0" w:color="auto"/>
            <w:right w:val="none" w:sz="0" w:space="0" w:color="auto"/>
          </w:divBdr>
        </w:div>
        <w:div w:id="312562462">
          <w:marLeft w:val="0"/>
          <w:marRight w:val="0"/>
          <w:marTop w:val="0"/>
          <w:marBottom w:val="0"/>
          <w:divBdr>
            <w:top w:val="none" w:sz="0" w:space="0" w:color="auto"/>
            <w:left w:val="none" w:sz="0" w:space="0" w:color="auto"/>
            <w:bottom w:val="none" w:sz="0" w:space="0" w:color="auto"/>
            <w:right w:val="none" w:sz="0" w:space="0" w:color="auto"/>
          </w:divBdr>
        </w:div>
        <w:div w:id="1421170760">
          <w:marLeft w:val="0"/>
          <w:marRight w:val="0"/>
          <w:marTop w:val="0"/>
          <w:marBottom w:val="0"/>
          <w:divBdr>
            <w:top w:val="none" w:sz="0" w:space="0" w:color="auto"/>
            <w:left w:val="none" w:sz="0" w:space="0" w:color="auto"/>
            <w:bottom w:val="none" w:sz="0" w:space="0" w:color="auto"/>
            <w:right w:val="none" w:sz="0" w:space="0" w:color="auto"/>
          </w:divBdr>
        </w:div>
        <w:div w:id="1890217198">
          <w:marLeft w:val="0"/>
          <w:marRight w:val="0"/>
          <w:marTop w:val="0"/>
          <w:marBottom w:val="0"/>
          <w:divBdr>
            <w:top w:val="none" w:sz="0" w:space="0" w:color="auto"/>
            <w:left w:val="none" w:sz="0" w:space="0" w:color="auto"/>
            <w:bottom w:val="none" w:sz="0" w:space="0" w:color="auto"/>
            <w:right w:val="none" w:sz="0" w:space="0" w:color="auto"/>
          </w:divBdr>
        </w:div>
        <w:div w:id="347147704">
          <w:marLeft w:val="0"/>
          <w:marRight w:val="0"/>
          <w:marTop w:val="0"/>
          <w:marBottom w:val="0"/>
          <w:divBdr>
            <w:top w:val="none" w:sz="0" w:space="0" w:color="auto"/>
            <w:left w:val="none" w:sz="0" w:space="0" w:color="auto"/>
            <w:bottom w:val="none" w:sz="0" w:space="0" w:color="auto"/>
            <w:right w:val="none" w:sz="0" w:space="0" w:color="auto"/>
          </w:divBdr>
        </w:div>
        <w:div w:id="1507473550">
          <w:marLeft w:val="0"/>
          <w:marRight w:val="0"/>
          <w:marTop w:val="0"/>
          <w:marBottom w:val="0"/>
          <w:divBdr>
            <w:top w:val="none" w:sz="0" w:space="0" w:color="auto"/>
            <w:left w:val="none" w:sz="0" w:space="0" w:color="auto"/>
            <w:bottom w:val="none" w:sz="0" w:space="0" w:color="auto"/>
            <w:right w:val="none" w:sz="0" w:space="0" w:color="auto"/>
          </w:divBdr>
        </w:div>
        <w:div w:id="995036771">
          <w:marLeft w:val="0"/>
          <w:marRight w:val="0"/>
          <w:marTop w:val="0"/>
          <w:marBottom w:val="0"/>
          <w:divBdr>
            <w:top w:val="none" w:sz="0" w:space="0" w:color="auto"/>
            <w:left w:val="none" w:sz="0" w:space="0" w:color="auto"/>
            <w:bottom w:val="none" w:sz="0" w:space="0" w:color="auto"/>
            <w:right w:val="none" w:sz="0" w:space="0" w:color="auto"/>
          </w:divBdr>
        </w:div>
        <w:div w:id="158540673">
          <w:marLeft w:val="0"/>
          <w:marRight w:val="0"/>
          <w:marTop w:val="0"/>
          <w:marBottom w:val="0"/>
          <w:divBdr>
            <w:top w:val="none" w:sz="0" w:space="0" w:color="auto"/>
            <w:left w:val="none" w:sz="0" w:space="0" w:color="auto"/>
            <w:bottom w:val="none" w:sz="0" w:space="0" w:color="auto"/>
            <w:right w:val="none" w:sz="0" w:space="0" w:color="auto"/>
          </w:divBdr>
        </w:div>
        <w:div w:id="715548694">
          <w:marLeft w:val="0"/>
          <w:marRight w:val="0"/>
          <w:marTop w:val="0"/>
          <w:marBottom w:val="0"/>
          <w:divBdr>
            <w:top w:val="none" w:sz="0" w:space="0" w:color="auto"/>
            <w:left w:val="none" w:sz="0" w:space="0" w:color="auto"/>
            <w:bottom w:val="none" w:sz="0" w:space="0" w:color="auto"/>
            <w:right w:val="none" w:sz="0" w:space="0" w:color="auto"/>
          </w:divBdr>
        </w:div>
        <w:div w:id="1119880088">
          <w:marLeft w:val="0"/>
          <w:marRight w:val="0"/>
          <w:marTop w:val="0"/>
          <w:marBottom w:val="0"/>
          <w:divBdr>
            <w:top w:val="none" w:sz="0" w:space="0" w:color="auto"/>
            <w:left w:val="none" w:sz="0" w:space="0" w:color="auto"/>
            <w:bottom w:val="none" w:sz="0" w:space="0" w:color="auto"/>
            <w:right w:val="none" w:sz="0" w:space="0" w:color="auto"/>
          </w:divBdr>
        </w:div>
        <w:div w:id="1877618087">
          <w:marLeft w:val="0"/>
          <w:marRight w:val="0"/>
          <w:marTop w:val="0"/>
          <w:marBottom w:val="0"/>
          <w:divBdr>
            <w:top w:val="none" w:sz="0" w:space="0" w:color="auto"/>
            <w:left w:val="none" w:sz="0" w:space="0" w:color="auto"/>
            <w:bottom w:val="none" w:sz="0" w:space="0" w:color="auto"/>
            <w:right w:val="none" w:sz="0" w:space="0" w:color="auto"/>
          </w:divBdr>
        </w:div>
        <w:div w:id="1833831540">
          <w:marLeft w:val="0"/>
          <w:marRight w:val="0"/>
          <w:marTop w:val="0"/>
          <w:marBottom w:val="0"/>
          <w:divBdr>
            <w:top w:val="none" w:sz="0" w:space="0" w:color="auto"/>
            <w:left w:val="none" w:sz="0" w:space="0" w:color="auto"/>
            <w:bottom w:val="none" w:sz="0" w:space="0" w:color="auto"/>
            <w:right w:val="none" w:sz="0" w:space="0" w:color="auto"/>
          </w:divBdr>
        </w:div>
        <w:div w:id="1417939475">
          <w:marLeft w:val="0"/>
          <w:marRight w:val="0"/>
          <w:marTop w:val="0"/>
          <w:marBottom w:val="0"/>
          <w:divBdr>
            <w:top w:val="none" w:sz="0" w:space="0" w:color="auto"/>
            <w:left w:val="none" w:sz="0" w:space="0" w:color="auto"/>
            <w:bottom w:val="none" w:sz="0" w:space="0" w:color="auto"/>
            <w:right w:val="none" w:sz="0" w:space="0" w:color="auto"/>
          </w:divBdr>
        </w:div>
        <w:div w:id="240525699">
          <w:marLeft w:val="0"/>
          <w:marRight w:val="0"/>
          <w:marTop w:val="0"/>
          <w:marBottom w:val="0"/>
          <w:divBdr>
            <w:top w:val="none" w:sz="0" w:space="0" w:color="auto"/>
            <w:left w:val="none" w:sz="0" w:space="0" w:color="auto"/>
            <w:bottom w:val="none" w:sz="0" w:space="0" w:color="auto"/>
            <w:right w:val="none" w:sz="0" w:space="0" w:color="auto"/>
          </w:divBdr>
        </w:div>
        <w:div w:id="1101560946">
          <w:marLeft w:val="0"/>
          <w:marRight w:val="0"/>
          <w:marTop w:val="0"/>
          <w:marBottom w:val="0"/>
          <w:divBdr>
            <w:top w:val="none" w:sz="0" w:space="0" w:color="auto"/>
            <w:left w:val="none" w:sz="0" w:space="0" w:color="auto"/>
            <w:bottom w:val="none" w:sz="0" w:space="0" w:color="auto"/>
            <w:right w:val="none" w:sz="0" w:space="0" w:color="auto"/>
          </w:divBdr>
        </w:div>
        <w:div w:id="1059016953">
          <w:marLeft w:val="0"/>
          <w:marRight w:val="0"/>
          <w:marTop w:val="0"/>
          <w:marBottom w:val="0"/>
          <w:divBdr>
            <w:top w:val="none" w:sz="0" w:space="0" w:color="auto"/>
            <w:left w:val="none" w:sz="0" w:space="0" w:color="auto"/>
            <w:bottom w:val="none" w:sz="0" w:space="0" w:color="auto"/>
            <w:right w:val="none" w:sz="0" w:space="0" w:color="auto"/>
          </w:divBdr>
        </w:div>
        <w:div w:id="1996178080">
          <w:marLeft w:val="0"/>
          <w:marRight w:val="0"/>
          <w:marTop w:val="0"/>
          <w:marBottom w:val="0"/>
          <w:divBdr>
            <w:top w:val="none" w:sz="0" w:space="0" w:color="auto"/>
            <w:left w:val="none" w:sz="0" w:space="0" w:color="auto"/>
            <w:bottom w:val="none" w:sz="0" w:space="0" w:color="auto"/>
            <w:right w:val="none" w:sz="0" w:space="0" w:color="auto"/>
          </w:divBdr>
        </w:div>
        <w:div w:id="363555326">
          <w:marLeft w:val="0"/>
          <w:marRight w:val="0"/>
          <w:marTop w:val="0"/>
          <w:marBottom w:val="0"/>
          <w:divBdr>
            <w:top w:val="none" w:sz="0" w:space="0" w:color="auto"/>
            <w:left w:val="none" w:sz="0" w:space="0" w:color="auto"/>
            <w:bottom w:val="none" w:sz="0" w:space="0" w:color="auto"/>
            <w:right w:val="none" w:sz="0" w:space="0" w:color="auto"/>
          </w:divBdr>
        </w:div>
        <w:div w:id="1435634270">
          <w:marLeft w:val="0"/>
          <w:marRight w:val="0"/>
          <w:marTop w:val="0"/>
          <w:marBottom w:val="0"/>
          <w:divBdr>
            <w:top w:val="none" w:sz="0" w:space="0" w:color="auto"/>
            <w:left w:val="none" w:sz="0" w:space="0" w:color="auto"/>
            <w:bottom w:val="none" w:sz="0" w:space="0" w:color="auto"/>
            <w:right w:val="none" w:sz="0" w:space="0" w:color="auto"/>
          </w:divBdr>
        </w:div>
        <w:div w:id="1437024434">
          <w:marLeft w:val="0"/>
          <w:marRight w:val="0"/>
          <w:marTop w:val="0"/>
          <w:marBottom w:val="0"/>
          <w:divBdr>
            <w:top w:val="none" w:sz="0" w:space="0" w:color="auto"/>
            <w:left w:val="none" w:sz="0" w:space="0" w:color="auto"/>
            <w:bottom w:val="none" w:sz="0" w:space="0" w:color="auto"/>
            <w:right w:val="none" w:sz="0" w:space="0" w:color="auto"/>
          </w:divBdr>
        </w:div>
        <w:div w:id="225574921">
          <w:marLeft w:val="0"/>
          <w:marRight w:val="0"/>
          <w:marTop w:val="0"/>
          <w:marBottom w:val="0"/>
          <w:divBdr>
            <w:top w:val="none" w:sz="0" w:space="0" w:color="auto"/>
            <w:left w:val="none" w:sz="0" w:space="0" w:color="auto"/>
            <w:bottom w:val="none" w:sz="0" w:space="0" w:color="auto"/>
            <w:right w:val="none" w:sz="0" w:space="0" w:color="auto"/>
          </w:divBdr>
        </w:div>
        <w:div w:id="1669823189">
          <w:marLeft w:val="0"/>
          <w:marRight w:val="0"/>
          <w:marTop w:val="0"/>
          <w:marBottom w:val="0"/>
          <w:divBdr>
            <w:top w:val="none" w:sz="0" w:space="0" w:color="auto"/>
            <w:left w:val="none" w:sz="0" w:space="0" w:color="auto"/>
            <w:bottom w:val="none" w:sz="0" w:space="0" w:color="auto"/>
            <w:right w:val="none" w:sz="0" w:space="0" w:color="auto"/>
          </w:divBdr>
        </w:div>
        <w:div w:id="1714504628">
          <w:marLeft w:val="0"/>
          <w:marRight w:val="0"/>
          <w:marTop w:val="0"/>
          <w:marBottom w:val="0"/>
          <w:divBdr>
            <w:top w:val="none" w:sz="0" w:space="0" w:color="auto"/>
            <w:left w:val="none" w:sz="0" w:space="0" w:color="auto"/>
            <w:bottom w:val="none" w:sz="0" w:space="0" w:color="auto"/>
            <w:right w:val="none" w:sz="0" w:space="0" w:color="auto"/>
          </w:divBdr>
        </w:div>
        <w:div w:id="1592667732">
          <w:marLeft w:val="0"/>
          <w:marRight w:val="0"/>
          <w:marTop w:val="0"/>
          <w:marBottom w:val="0"/>
          <w:divBdr>
            <w:top w:val="none" w:sz="0" w:space="0" w:color="auto"/>
            <w:left w:val="none" w:sz="0" w:space="0" w:color="auto"/>
            <w:bottom w:val="none" w:sz="0" w:space="0" w:color="auto"/>
            <w:right w:val="none" w:sz="0" w:space="0" w:color="auto"/>
          </w:divBdr>
        </w:div>
        <w:div w:id="1637569731">
          <w:marLeft w:val="0"/>
          <w:marRight w:val="0"/>
          <w:marTop w:val="0"/>
          <w:marBottom w:val="0"/>
          <w:divBdr>
            <w:top w:val="none" w:sz="0" w:space="0" w:color="auto"/>
            <w:left w:val="none" w:sz="0" w:space="0" w:color="auto"/>
            <w:bottom w:val="none" w:sz="0" w:space="0" w:color="auto"/>
            <w:right w:val="none" w:sz="0" w:space="0" w:color="auto"/>
          </w:divBdr>
        </w:div>
        <w:div w:id="1551260378">
          <w:marLeft w:val="0"/>
          <w:marRight w:val="0"/>
          <w:marTop w:val="0"/>
          <w:marBottom w:val="0"/>
          <w:divBdr>
            <w:top w:val="none" w:sz="0" w:space="0" w:color="auto"/>
            <w:left w:val="none" w:sz="0" w:space="0" w:color="auto"/>
            <w:bottom w:val="none" w:sz="0" w:space="0" w:color="auto"/>
            <w:right w:val="none" w:sz="0" w:space="0" w:color="auto"/>
          </w:divBdr>
        </w:div>
        <w:div w:id="1960523312">
          <w:marLeft w:val="0"/>
          <w:marRight w:val="0"/>
          <w:marTop w:val="0"/>
          <w:marBottom w:val="0"/>
          <w:divBdr>
            <w:top w:val="none" w:sz="0" w:space="0" w:color="auto"/>
            <w:left w:val="none" w:sz="0" w:space="0" w:color="auto"/>
            <w:bottom w:val="none" w:sz="0" w:space="0" w:color="auto"/>
            <w:right w:val="none" w:sz="0" w:space="0" w:color="auto"/>
          </w:divBdr>
        </w:div>
        <w:div w:id="1922371534">
          <w:marLeft w:val="0"/>
          <w:marRight w:val="0"/>
          <w:marTop w:val="0"/>
          <w:marBottom w:val="0"/>
          <w:divBdr>
            <w:top w:val="none" w:sz="0" w:space="0" w:color="auto"/>
            <w:left w:val="none" w:sz="0" w:space="0" w:color="auto"/>
            <w:bottom w:val="none" w:sz="0" w:space="0" w:color="auto"/>
            <w:right w:val="none" w:sz="0" w:space="0" w:color="auto"/>
          </w:divBdr>
        </w:div>
        <w:div w:id="1596981454">
          <w:marLeft w:val="0"/>
          <w:marRight w:val="0"/>
          <w:marTop w:val="0"/>
          <w:marBottom w:val="0"/>
          <w:divBdr>
            <w:top w:val="none" w:sz="0" w:space="0" w:color="auto"/>
            <w:left w:val="none" w:sz="0" w:space="0" w:color="auto"/>
            <w:bottom w:val="none" w:sz="0" w:space="0" w:color="auto"/>
            <w:right w:val="none" w:sz="0" w:space="0" w:color="auto"/>
          </w:divBdr>
        </w:div>
        <w:div w:id="2018918689">
          <w:marLeft w:val="0"/>
          <w:marRight w:val="0"/>
          <w:marTop w:val="0"/>
          <w:marBottom w:val="0"/>
          <w:divBdr>
            <w:top w:val="none" w:sz="0" w:space="0" w:color="auto"/>
            <w:left w:val="none" w:sz="0" w:space="0" w:color="auto"/>
            <w:bottom w:val="none" w:sz="0" w:space="0" w:color="auto"/>
            <w:right w:val="none" w:sz="0" w:space="0" w:color="auto"/>
          </w:divBdr>
        </w:div>
        <w:div w:id="805512316">
          <w:marLeft w:val="0"/>
          <w:marRight w:val="0"/>
          <w:marTop w:val="0"/>
          <w:marBottom w:val="0"/>
          <w:divBdr>
            <w:top w:val="none" w:sz="0" w:space="0" w:color="auto"/>
            <w:left w:val="none" w:sz="0" w:space="0" w:color="auto"/>
            <w:bottom w:val="none" w:sz="0" w:space="0" w:color="auto"/>
            <w:right w:val="none" w:sz="0" w:space="0" w:color="auto"/>
          </w:divBdr>
        </w:div>
        <w:div w:id="879173953">
          <w:marLeft w:val="0"/>
          <w:marRight w:val="0"/>
          <w:marTop w:val="0"/>
          <w:marBottom w:val="0"/>
          <w:divBdr>
            <w:top w:val="none" w:sz="0" w:space="0" w:color="auto"/>
            <w:left w:val="none" w:sz="0" w:space="0" w:color="auto"/>
            <w:bottom w:val="none" w:sz="0" w:space="0" w:color="auto"/>
            <w:right w:val="none" w:sz="0" w:space="0" w:color="auto"/>
          </w:divBdr>
        </w:div>
        <w:div w:id="1358120605">
          <w:marLeft w:val="0"/>
          <w:marRight w:val="0"/>
          <w:marTop w:val="0"/>
          <w:marBottom w:val="0"/>
          <w:divBdr>
            <w:top w:val="none" w:sz="0" w:space="0" w:color="auto"/>
            <w:left w:val="none" w:sz="0" w:space="0" w:color="auto"/>
            <w:bottom w:val="none" w:sz="0" w:space="0" w:color="auto"/>
            <w:right w:val="none" w:sz="0" w:space="0" w:color="auto"/>
          </w:divBdr>
        </w:div>
        <w:div w:id="219561069">
          <w:marLeft w:val="0"/>
          <w:marRight w:val="0"/>
          <w:marTop w:val="0"/>
          <w:marBottom w:val="0"/>
          <w:divBdr>
            <w:top w:val="none" w:sz="0" w:space="0" w:color="auto"/>
            <w:left w:val="none" w:sz="0" w:space="0" w:color="auto"/>
            <w:bottom w:val="none" w:sz="0" w:space="0" w:color="auto"/>
            <w:right w:val="none" w:sz="0" w:space="0" w:color="auto"/>
          </w:divBdr>
        </w:div>
        <w:div w:id="953294409">
          <w:marLeft w:val="0"/>
          <w:marRight w:val="0"/>
          <w:marTop w:val="0"/>
          <w:marBottom w:val="0"/>
          <w:divBdr>
            <w:top w:val="none" w:sz="0" w:space="0" w:color="auto"/>
            <w:left w:val="none" w:sz="0" w:space="0" w:color="auto"/>
            <w:bottom w:val="none" w:sz="0" w:space="0" w:color="auto"/>
            <w:right w:val="none" w:sz="0" w:space="0" w:color="auto"/>
          </w:divBdr>
        </w:div>
        <w:div w:id="1613321050">
          <w:marLeft w:val="0"/>
          <w:marRight w:val="0"/>
          <w:marTop w:val="0"/>
          <w:marBottom w:val="0"/>
          <w:divBdr>
            <w:top w:val="none" w:sz="0" w:space="0" w:color="auto"/>
            <w:left w:val="none" w:sz="0" w:space="0" w:color="auto"/>
            <w:bottom w:val="none" w:sz="0" w:space="0" w:color="auto"/>
            <w:right w:val="none" w:sz="0" w:space="0" w:color="auto"/>
          </w:divBdr>
        </w:div>
        <w:div w:id="1413812189">
          <w:marLeft w:val="0"/>
          <w:marRight w:val="0"/>
          <w:marTop w:val="0"/>
          <w:marBottom w:val="0"/>
          <w:divBdr>
            <w:top w:val="none" w:sz="0" w:space="0" w:color="auto"/>
            <w:left w:val="none" w:sz="0" w:space="0" w:color="auto"/>
            <w:bottom w:val="none" w:sz="0" w:space="0" w:color="auto"/>
            <w:right w:val="none" w:sz="0" w:space="0" w:color="auto"/>
          </w:divBdr>
        </w:div>
        <w:div w:id="402989296">
          <w:marLeft w:val="0"/>
          <w:marRight w:val="0"/>
          <w:marTop w:val="0"/>
          <w:marBottom w:val="0"/>
          <w:divBdr>
            <w:top w:val="none" w:sz="0" w:space="0" w:color="auto"/>
            <w:left w:val="none" w:sz="0" w:space="0" w:color="auto"/>
            <w:bottom w:val="none" w:sz="0" w:space="0" w:color="auto"/>
            <w:right w:val="none" w:sz="0" w:space="0" w:color="auto"/>
          </w:divBdr>
        </w:div>
        <w:div w:id="766577146">
          <w:marLeft w:val="0"/>
          <w:marRight w:val="0"/>
          <w:marTop w:val="0"/>
          <w:marBottom w:val="0"/>
          <w:divBdr>
            <w:top w:val="none" w:sz="0" w:space="0" w:color="auto"/>
            <w:left w:val="none" w:sz="0" w:space="0" w:color="auto"/>
            <w:bottom w:val="none" w:sz="0" w:space="0" w:color="auto"/>
            <w:right w:val="none" w:sz="0" w:space="0" w:color="auto"/>
          </w:divBdr>
        </w:div>
        <w:div w:id="1276214395">
          <w:marLeft w:val="0"/>
          <w:marRight w:val="0"/>
          <w:marTop w:val="0"/>
          <w:marBottom w:val="0"/>
          <w:divBdr>
            <w:top w:val="none" w:sz="0" w:space="0" w:color="auto"/>
            <w:left w:val="none" w:sz="0" w:space="0" w:color="auto"/>
            <w:bottom w:val="none" w:sz="0" w:space="0" w:color="auto"/>
            <w:right w:val="none" w:sz="0" w:space="0" w:color="auto"/>
          </w:divBdr>
        </w:div>
        <w:div w:id="776484565">
          <w:marLeft w:val="0"/>
          <w:marRight w:val="0"/>
          <w:marTop w:val="0"/>
          <w:marBottom w:val="0"/>
          <w:divBdr>
            <w:top w:val="none" w:sz="0" w:space="0" w:color="auto"/>
            <w:left w:val="none" w:sz="0" w:space="0" w:color="auto"/>
            <w:bottom w:val="none" w:sz="0" w:space="0" w:color="auto"/>
            <w:right w:val="none" w:sz="0" w:space="0" w:color="auto"/>
          </w:divBdr>
        </w:div>
        <w:div w:id="267323137">
          <w:marLeft w:val="0"/>
          <w:marRight w:val="0"/>
          <w:marTop w:val="0"/>
          <w:marBottom w:val="0"/>
          <w:divBdr>
            <w:top w:val="none" w:sz="0" w:space="0" w:color="auto"/>
            <w:left w:val="none" w:sz="0" w:space="0" w:color="auto"/>
            <w:bottom w:val="none" w:sz="0" w:space="0" w:color="auto"/>
            <w:right w:val="none" w:sz="0" w:space="0" w:color="auto"/>
          </w:divBdr>
        </w:div>
        <w:div w:id="947274479">
          <w:marLeft w:val="0"/>
          <w:marRight w:val="0"/>
          <w:marTop w:val="0"/>
          <w:marBottom w:val="0"/>
          <w:divBdr>
            <w:top w:val="none" w:sz="0" w:space="0" w:color="auto"/>
            <w:left w:val="none" w:sz="0" w:space="0" w:color="auto"/>
            <w:bottom w:val="none" w:sz="0" w:space="0" w:color="auto"/>
            <w:right w:val="none" w:sz="0" w:space="0" w:color="auto"/>
          </w:divBdr>
        </w:div>
        <w:div w:id="358361219">
          <w:marLeft w:val="0"/>
          <w:marRight w:val="0"/>
          <w:marTop w:val="0"/>
          <w:marBottom w:val="0"/>
          <w:divBdr>
            <w:top w:val="none" w:sz="0" w:space="0" w:color="auto"/>
            <w:left w:val="none" w:sz="0" w:space="0" w:color="auto"/>
            <w:bottom w:val="none" w:sz="0" w:space="0" w:color="auto"/>
            <w:right w:val="none" w:sz="0" w:space="0" w:color="auto"/>
          </w:divBdr>
        </w:div>
        <w:div w:id="1181045087">
          <w:marLeft w:val="0"/>
          <w:marRight w:val="0"/>
          <w:marTop w:val="0"/>
          <w:marBottom w:val="0"/>
          <w:divBdr>
            <w:top w:val="none" w:sz="0" w:space="0" w:color="auto"/>
            <w:left w:val="none" w:sz="0" w:space="0" w:color="auto"/>
            <w:bottom w:val="none" w:sz="0" w:space="0" w:color="auto"/>
            <w:right w:val="none" w:sz="0" w:space="0" w:color="auto"/>
          </w:divBdr>
        </w:div>
        <w:div w:id="955912214">
          <w:marLeft w:val="0"/>
          <w:marRight w:val="0"/>
          <w:marTop w:val="0"/>
          <w:marBottom w:val="0"/>
          <w:divBdr>
            <w:top w:val="none" w:sz="0" w:space="0" w:color="auto"/>
            <w:left w:val="none" w:sz="0" w:space="0" w:color="auto"/>
            <w:bottom w:val="none" w:sz="0" w:space="0" w:color="auto"/>
            <w:right w:val="none" w:sz="0" w:space="0" w:color="auto"/>
          </w:divBdr>
        </w:div>
        <w:div w:id="727609559">
          <w:marLeft w:val="0"/>
          <w:marRight w:val="0"/>
          <w:marTop w:val="0"/>
          <w:marBottom w:val="0"/>
          <w:divBdr>
            <w:top w:val="none" w:sz="0" w:space="0" w:color="auto"/>
            <w:left w:val="none" w:sz="0" w:space="0" w:color="auto"/>
            <w:bottom w:val="none" w:sz="0" w:space="0" w:color="auto"/>
            <w:right w:val="none" w:sz="0" w:space="0" w:color="auto"/>
          </w:divBdr>
        </w:div>
        <w:div w:id="306740783">
          <w:marLeft w:val="0"/>
          <w:marRight w:val="0"/>
          <w:marTop w:val="0"/>
          <w:marBottom w:val="0"/>
          <w:divBdr>
            <w:top w:val="none" w:sz="0" w:space="0" w:color="auto"/>
            <w:left w:val="none" w:sz="0" w:space="0" w:color="auto"/>
            <w:bottom w:val="none" w:sz="0" w:space="0" w:color="auto"/>
            <w:right w:val="none" w:sz="0" w:space="0" w:color="auto"/>
          </w:divBdr>
        </w:div>
        <w:div w:id="236398582">
          <w:marLeft w:val="0"/>
          <w:marRight w:val="0"/>
          <w:marTop w:val="0"/>
          <w:marBottom w:val="0"/>
          <w:divBdr>
            <w:top w:val="none" w:sz="0" w:space="0" w:color="auto"/>
            <w:left w:val="none" w:sz="0" w:space="0" w:color="auto"/>
            <w:bottom w:val="none" w:sz="0" w:space="0" w:color="auto"/>
            <w:right w:val="none" w:sz="0" w:space="0" w:color="auto"/>
          </w:divBdr>
        </w:div>
        <w:div w:id="596593990">
          <w:marLeft w:val="0"/>
          <w:marRight w:val="0"/>
          <w:marTop w:val="0"/>
          <w:marBottom w:val="0"/>
          <w:divBdr>
            <w:top w:val="none" w:sz="0" w:space="0" w:color="auto"/>
            <w:left w:val="none" w:sz="0" w:space="0" w:color="auto"/>
            <w:bottom w:val="none" w:sz="0" w:space="0" w:color="auto"/>
            <w:right w:val="none" w:sz="0" w:space="0" w:color="auto"/>
          </w:divBdr>
        </w:div>
        <w:div w:id="135530061">
          <w:marLeft w:val="0"/>
          <w:marRight w:val="0"/>
          <w:marTop w:val="0"/>
          <w:marBottom w:val="0"/>
          <w:divBdr>
            <w:top w:val="none" w:sz="0" w:space="0" w:color="auto"/>
            <w:left w:val="none" w:sz="0" w:space="0" w:color="auto"/>
            <w:bottom w:val="none" w:sz="0" w:space="0" w:color="auto"/>
            <w:right w:val="none" w:sz="0" w:space="0" w:color="auto"/>
          </w:divBdr>
        </w:div>
        <w:div w:id="1090002550">
          <w:marLeft w:val="0"/>
          <w:marRight w:val="0"/>
          <w:marTop w:val="0"/>
          <w:marBottom w:val="0"/>
          <w:divBdr>
            <w:top w:val="none" w:sz="0" w:space="0" w:color="auto"/>
            <w:left w:val="none" w:sz="0" w:space="0" w:color="auto"/>
            <w:bottom w:val="none" w:sz="0" w:space="0" w:color="auto"/>
            <w:right w:val="none" w:sz="0" w:space="0" w:color="auto"/>
          </w:divBdr>
        </w:div>
        <w:div w:id="417293165">
          <w:marLeft w:val="0"/>
          <w:marRight w:val="0"/>
          <w:marTop w:val="0"/>
          <w:marBottom w:val="0"/>
          <w:divBdr>
            <w:top w:val="none" w:sz="0" w:space="0" w:color="auto"/>
            <w:left w:val="none" w:sz="0" w:space="0" w:color="auto"/>
            <w:bottom w:val="none" w:sz="0" w:space="0" w:color="auto"/>
            <w:right w:val="none" w:sz="0" w:space="0" w:color="auto"/>
          </w:divBdr>
        </w:div>
        <w:div w:id="2015103668">
          <w:marLeft w:val="0"/>
          <w:marRight w:val="0"/>
          <w:marTop w:val="0"/>
          <w:marBottom w:val="0"/>
          <w:divBdr>
            <w:top w:val="none" w:sz="0" w:space="0" w:color="auto"/>
            <w:left w:val="none" w:sz="0" w:space="0" w:color="auto"/>
            <w:bottom w:val="none" w:sz="0" w:space="0" w:color="auto"/>
            <w:right w:val="none" w:sz="0" w:space="0" w:color="auto"/>
          </w:divBdr>
        </w:div>
        <w:div w:id="564144675">
          <w:marLeft w:val="0"/>
          <w:marRight w:val="0"/>
          <w:marTop w:val="0"/>
          <w:marBottom w:val="0"/>
          <w:divBdr>
            <w:top w:val="none" w:sz="0" w:space="0" w:color="auto"/>
            <w:left w:val="none" w:sz="0" w:space="0" w:color="auto"/>
            <w:bottom w:val="none" w:sz="0" w:space="0" w:color="auto"/>
            <w:right w:val="none" w:sz="0" w:space="0" w:color="auto"/>
          </w:divBdr>
        </w:div>
        <w:div w:id="378210579">
          <w:marLeft w:val="0"/>
          <w:marRight w:val="0"/>
          <w:marTop w:val="0"/>
          <w:marBottom w:val="0"/>
          <w:divBdr>
            <w:top w:val="none" w:sz="0" w:space="0" w:color="auto"/>
            <w:left w:val="none" w:sz="0" w:space="0" w:color="auto"/>
            <w:bottom w:val="none" w:sz="0" w:space="0" w:color="auto"/>
            <w:right w:val="none" w:sz="0" w:space="0" w:color="auto"/>
          </w:divBdr>
        </w:div>
        <w:div w:id="492258881">
          <w:marLeft w:val="0"/>
          <w:marRight w:val="0"/>
          <w:marTop w:val="0"/>
          <w:marBottom w:val="0"/>
          <w:divBdr>
            <w:top w:val="none" w:sz="0" w:space="0" w:color="auto"/>
            <w:left w:val="none" w:sz="0" w:space="0" w:color="auto"/>
            <w:bottom w:val="none" w:sz="0" w:space="0" w:color="auto"/>
            <w:right w:val="none" w:sz="0" w:space="0" w:color="auto"/>
          </w:divBdr>
        </w:div>
        <w:div w:id="906889102">
          <w:marLeft w:val="0"/>
          <w:marRight w:val="0"/>
          <w:marTop w:val="0"/>
          <w:marBottom w:val="0"/>
          <w:divBdr>
            <w:top w:val="none" w:sz="0" w:space="0" w:color="auto"/>
            <w:left w:val="none" w:sz="0" w:space="0" w:color="auto"/>
            <w:bottom w:val="none" w:sz="0" w:space="0" w:color="auto"/>
            <w:right w:val="none" w:sz="0" w:space="0" w:color="auto"/>
          </w:divBdr>
        </w:div>
        <w:div w:id="1769616891">
          <w:marLeft w:val="0"/>
          <w:marRight w:val="0"/>
          <w:marTop w:val="0"/>
          <w:marBottom w:val="0"/>
          <w:divBdr>
            <w:top w:val="none" w:sz="0" w:space="0" w:color="auto"/>
            <w:left w:val="none" w:sz="0" w:space="0" w:color="auto"/>
            <w:bottom w:val="none" w:sz="0" w:space="0" w:color="auto"/>
            <w:right w:val="none" w:sz="0" w:space="0" w:color="auto"/>
          </w:divBdr>
        </w:div>
        <w:div w:id="44721543">
          <w:marLeft w:val="0"/>
          <w:marRight w:val="0"/>
          <w:marTop w:val="0"/>
          <w:marBottom w:val="0"/>
          <w:divBdr>
            <w:top w:val="none" w:sz="0" w:space="0" w:color="auto"/>
            <w:left w:val="none" w:sz="0" w:space="0" w:color="auto"/>
            <w:bottom w:val="none" w:sz="0" w:space="0" w:color="auto"/>
            <w:right w:val="none" w:sz="0" w:space="0" w:color="auto"/>
          </w:divBdr>
        </w:div>
        <w:div w:id="304357690">
          <w:marLeft w:val="0"/>
          <w:marRight w:val="0"/>
          <w:marTop w:val="0"/>
          <w:marBottom w:val="0"/>
          <w:divBdr>
            <w:top w:val="none" w:sz="0" w:space="0" w:color="auto"/>
            <w:left w:val="none" w:sz="0" w:space="0" w:color="auto"/>
            <w:bottom w:val="none" w:sz="0" w:space="0" w:color="auto"/>
            <w:right w:val="none" w:sz="0" w:space="0" w:color="auto"/>
          </w:divBdr>
        </w:div>
        <w:div w:id="936403328">
          <w:marLeft w:val="0"/>
          <w:marRight w:val="0"/>
          <w:marTop w:val="0"/>
          <w:marBottom w:val="0"/>
          <w:divBdr>
            <w:top w:val="none" w:sz="0" w:space="0" w:color="auto"/>
            <w:left w:val="none" w:sz="0" w:space="0" w:color="auto"/>
            <w:bottom w:val="none" w:sz="0" w:space="0" w:color="auto"/>
            <w:right w:val="none" w:sz="0" w:space="0" w:color="auto"/>
          </w:divBdr>
        </w:div>
        <w:div w:id="70350575">
          <w:marLeft w:val="0"/>
          <w:marRight w:val="0"/>
          <w:marTop w:val="0"/>
          <w:marBottom w:val="0"/>
          <w:divBdr>
            <w:top w:val="none" w:sz="0" w:space="0" w:color="auto"/>
            <w:left w:val="none" w:sz="0" w:space="0" w:color="auto"/>
            <w:bottom w:val="none" w:sz="0" w:space="0" w:color="auto"/>
            <w:right w:val="none" w:sz="0" w:space="0" w:color="auto"/>
          </w:divBdr>
        </w:div>
        <w:div w:id="1249314945">
          <w:marLeft w:val="0"/>
          <w:marRight w:val="0"/>
          <w:marTop w:val="0"/>
          <w:marBottom w:val="0"/>
          <w:divBdr>
            <w:top w:val="none" w:sz="0" w:space="0" w:color="auto"/>
            <w:left w:val="none" w:sz="0" w:space="0" w:color="auto"/>
            <w:bottom w:val="none" w:sz="0" w:space="0" w:color="auto"/>
            <w:right w:val="none" w:sz="0" w:space="0" w:color="auto"/>
          </w:divBdr>
        </w:div>
        <w:div w:id="1425414004">
          <w:marLeft w:val="0"/>
          <w:marRight w:val="0"/>
          <w:marTop w:val="0"/>
          <w:marBottom w:val="0"/>
          <w:divBdr>
            <w:top w:val="none" w:sz="0" w:space="0" w:color="auto"/>
            <w:left w:val="none" w:sz="0" w:space="0" w:color="auto"/>
            <w:bottom w:val="none" w:sz="0" w:space="0" w:color="auto"/>
            <w:right w:val="none" w:sz="0" w:space="0" w:color="auto"/>
          </w:divBdr>
        </w:div>
        <w:div w:id="1076710504">
          <w:marLeft w:val="0"/>
          <w:marRight w:val="0"/>
          <w:marTop w:val="0"/>
          <w:marBottom w:val="0"/>
          <w:divBdr>
            <w:top w:val="none" w:sz="0" w:space="0" w:color="auto"/>
            <w:left w:val="none" w:sz="0" w:space="0" w:color="auto"/>
            <w:bottom w:val="none" w:sz="0" w:space="0" w:color="auto"/>
            <w:right w:val="none" w:sz="0" w:space="0" w:color="auto"/>
          </w:divBdr>
        </w:div>
        <w:div w:id="1039402005">
          <w:marLeft w:val="0"/>
          <w:marRight w:val="0"/>
          <w:marTop w:val="0"/>
          <w:marBottom w:val="0"/>
          <w:divBdr>
            <w:top w:val="none" w:sz="0" w:space="0" w:color="auto"/>
            <w:left w:val="none" w:sz="0" w:space="0" w:color="auto"/>
            <w:bottom w:val="none" w:sz="0" w:space="0" w:color="auto"/>
            <w:right w:val="none" w:sz="0" w:space="0" w:color="auto"/>
          </w:divBdr>
        </w:div>
        <w:div w:id="511798366">
          <w:marLeft w:val="0"/>
          <w:marRight w:val="0"/>
          <w:marTop w:val="0"/>
          <w:marBottom w:val="0"/>
          <w:divBdr>
            <w:top w:val="none" w:sz="0" w:space="0" w:color="auto"/>
            <w:left w:val="none" w:sz="0" w:space="0" w:color="auto"/>
            <w:bottom w:val="none" w:sz="0" w:space="0" w:color="auto"/>
            <w:right w:val="none" w:sz="0" w:space="0" w:color="auto"/>
          </w:divBdr>
        </w:div>
        <w:div w:id="2123569845">
          <w:marLeft w:val="0"/>
          <w:marRight w:val="0"/>
          <w:marTop w:val="0"/>
          <w:marBottom w:val="0"/>
          <w:divBdr>
            <w:top w:val="none" w:sz="0" w:space="0" w:color="auto"/>
            <w:left w:val="none" w:sz="0" w:space="0" w:color="auto"/>
            <w:bottom w:val="none" w:sz="0" w:space="0" w:color="auto"/>
            <w:right w:val="none" w:sz="0" w:space="0" w:color="auto"/>
          </w:divBdr>
        </w:div>
        <w:div w:id="268894297">
          <w:marLeft w:val="0"/>
          <w:marRight w:val="0"/>
          <w:marTop w:val="0"/>
          <w:marBottom w:val="0"/>
          <w:divBdr>
            <w:top w:val="none" w:sz="0" w:space="0" w:color="auto"/>
            <w:left w:val="none" w:sz="0" w:space="0" w:color="auto"/>
            <w:bottom w:val="none" w:sz="0" w:space="0" w:color="auto"/>
            <w:right w:val="none" w:sz="0" w:space="0" w:color="auto"/>
          </w:divBdr>
        </w:div>
        <w:div w:id="1500999628">
          <w:marLeft w:val="0"/>
          <w:marRight w:val="0"/>
          <w:marTop w:val="0"/>
          <w:marBottom w:val="0"/>
          <w:divBdr>
            <w:top w:val="none" w:sz="0" w:space="0" w:color="auto"/>
            <w:left w:val="none" w:sz="0" w:space="0" w:color="auto"/>
            <w:bottom w:val="none" w:sz="0" w:space="0" w:color="auto"/>
            <w:right w:val="none" w:sz="0" w:space="0" w:color="auto"/>
          </w:divBdr>
        </w:div>
        <w:div w:id="304773616">
          <w:marLeft w:val="0"/>
          <w:marRight w:val="0"/>
          <w:marTop w:val="0"/>
          <w:marBottom w:val="0"/>
          <w:divBdr>
            <w:top w:val="none" w:sz="0" w:space="0" w:color="auto"/>
            <w:left w:val="none" w:sz="0" w:space="0" w:color="auto"/>
            <w:bottom w:val="none" w:sz="0" w:space="0" w:color="auto"/>
            <w:right w:val="none" w:sz="0" w:space="0" w:color="auto"/>
          </w:divBdr>
        </w:div>
        <w:div w:id="325784574">
          <w:marLeft w:val="0"/>
          <w:marRight w:val="0"/>
          <w:marTop w:val="0"/>
          <w:marBottom w:val="0"/>
          <w:divBdr>
            <w:top w:val="none" w:sz="0" w:space="0" w:color="auto"/>
            <w:left w:val="none" w:sz="0" w:space="0" w:color="auto"/>
            <w:bottom w:val="none" w:sz="0" w:space="0" w:color="auto"/>
            <w:right w:val="none" w:sz="0" w:space="0" w:color="auto"/>
          </w:divBdr>
        </w:div>
        <w:div w:id="260067051">
          <w:marLeft w:val="0"/>
          <w:marRight w:val="0"/>
          <w:marTop w:val="0"/>
          <w:marBottom w:val="0"/>
          <w:divBdr>
            <w:top w:val="none" w:sz="0" w:space="0" w:color="auto"/>
            <w:left w:val="none" w:sz="0" w:space="0" w:color="auto"/>
            <w:bottom w:val="none" w:sz="0" w:space="0" w:color="auto"/>
            <w:right w:val="none" w:sz="0" w:space="0" w:color="auto"/>
          </w:divBdr>
        </w:div>
        <w:div w:id="553391198">
          <w:marLeft w:val="0"/>
          <w:marRight w:val="0"/>
          <w:marTop w:val="0"/>
          <w:marBottom w:val="0"/>
          <w:divBdr>
            <w:top w:val="none" w:sz="0" w:space="0" w:color="auto"/>
            <w:left w:val="none" w:sz="0" w:space="0" w:color="auto"/>
            <w:bottom w:val="none" w:sz="0" w:space="0" w:color="auto"/>
            <w:right w:val="none" w:sz="0" w:space="0" w:color="auto"/>
          </w:divBdr>
        </w:div>
        <w:div w:id="1839803659">
          <w:marLeft w:val="0"/>
          <w:marRight w:val="0"/>
          <w:marTop w:val="0"/>
          <w:marBottom w:val="0"/>
          <w:divBdr>
            <w:top w:val="none" w:sz="0" w:space="0" w:color="auto"/>
            <w:left w:val="none" w:sz="0" w:space="0" w:color="auto"/>
            <w:bottom w:val="none" w:sz="0" w:space="0" w:color="auto"/>
            <w:right w:val="none" w:sz="0" w:space="0" w:color="auto"/>
          </w:divBdr>
        </w:div>
        <w:div w:id="255090316">
          <w:marLeft w:val="0"/>
          <w:marRight w:val="0"/>
          <w:marTop w:val="0"/>
          <w:marBottom w:val="0"/>
          <w:divBdr>
            <w:top w:val="none" w:sz="0" w:space="0" w:color="auto"/>
            <w:left w:val="none" w:sz="0" w:space="0" w:color="auto"/>
            <w:bottom w:val="none" w:sz="0" w:space="0" w:color="auto"/>
            <w:right w:val="none" w:sz="0" w:space="0" w:color="auto"/>
          </w:divBdr>
        </w:div>
        <w:div w:id="988168348">
          <w:marLeft w:val="0"/>
          <w:marRight w:val="0"/>
          <w:marTop w:val="0"/>
          <w:marBottom w:val="0"/>
          <w:divBdr>
            <w:top w:val="none" w:sz="0" w:space="0" w:color="auto"/>
            <w:left w:val="none" w:sz="0" w:space="0" w:color="auto"/>
            <w:bottom w:val="none" w:sz="0" w:space="0" w:color="auto"/>
            <w:right w:val="none" w:sz="0" w:space="0" w:color="auto"/>
          </w:divBdr>
        </w:div>
        <w:div w:id="1250191355">
          <w:marLeft w:val="0"/>
          <w:marRight w:val="0"/>
          <w:marTop w:val="0"/>
          <w:marBottom w:val="0"/>
          <w:divBdr>
            <w:top w:val="none" w:sz="0" w:space="0" w:color="auto"/>
            <w:left w:val="none" w:sz="0" w:space="0" w:color="auto"/>
            <w:bottom w:val="none" w:sz="0" w:space="0" w:color="auto"/>
            <w:right w:val="none" w:sz="0" w:space="0" w:color="auto"/>
          </w:divBdr>
        </w:div>
        <w:div w:id="877470275">
          <w:marLeft w:val="0"/>
          <w:marRight w:val="0"/>
          <w:marTop w:val="0"/>
          <w:marBottom w:val="0"/>
          <w:divBdr>
            <w:top w:val="none" w:sz="0" w:space="0" w:color="auto"/>
            <w:left w:val="none" w:sz="0" w:space="0" w:color="auto"/>
            <w:bottom w:val="none" w:sz="0" w:space="0" w:color="auto"/>
            <w:right w:val="none" w:sz="0" w:space="0" w:color="auto"/>
          </w:divBdr>
        </w:div>
        <w:div w:id="56561972">
          <w:marLeft w:val="0"/>
          <w:marRight w:val="0"/>
          <w:marTop w:val="0"/>
          <w:marBottom w:val="0"/>
          <w:divBdr>
            <w:top w:val="none" w:sz="0" w:space="0" w:color="auto"/>
            <w:left w:val="none" w:sz="0" w:space="0" w:color="auto"/>
            <w:bottom w:val="none" w:sz="0" w:space="0" w:color="auto"/>
            <w:right w:val="none" w:sz="0" w:space="0" w:color="auto"/>
          </w:divBdr>
        </w:div>
        <w:div w:id="5788319">
          <w:marLeft w:val="0"/>
          <w:marRight w:val="0"/>
          <w:marTop w:val="0"/>
          <w:marBottom w:val="0"/>
          <w:divBdr>
            <w:top w:val="none" w:sz="0" w:space="0" w:color="auto"/>
            <w:left w:val="none" w:sz="0" w:space="0" w:color="auto"/>
            <w:bottom w:val="none" w:sz="0" w:space="0" w:color="auto"/>
            <w:right w:val="none" w:sz="0" w:space="0" w:color="auto"/>
          </w:divBdr>
        </w:div>
        <w:div w:id="782308458">
          <w:marLeft w:val="0"/>
          <w:marRight w:val="0"/>
          <w:marTop w:val="0"/>
          <w:marBottom w:val="0"/>
          <w:divBdr>
            <w:top w:val="none" w:sz="0" w:space="0" w:color="auto"/>
            <w:left w:val="none" w:sz="0" w:space="0" w:color="auto"/>
            <w:bottom w:val="none" w:sz="0" w:space="0" w:color="auto"/>
            <w:right w:val="none" w:sz="0" w:space="0" w:color="auto"/>
          </w:divBdr>
        </w:div>
        <w:div w:id="790829089">
          <w:marLeft w:val="0"/>
          <w:marRight w:val="0"/>
          <w:marTop w:val="0"/>
          <w:marBottom w:val="0"/>
          <w:divBdr>
            <w:top w:val="none" w:sz="0" w:space="0" w:color="auto"/>
            <w:left w:val="none" w:sz="0" w:space="0" w:color="auto"/>
            <w:bottom w:val="none" w:sz="0" w:space="0" w:color="auto"/>
            <w:right w:val="none" w:sz="0" w:space="0" w:color="auto"/>
          </w:divBdr>
        </w:div>
        <w:div w:id="1129854653">
          <w:marLeft w:val="0"/>
          <w:marRight w:val="0"/>
          <w:marTop w:val="0"/>
          <w:marBottom w:val="0"/>
          <w:divBdr>
            <w:top w:val="none" w:sz="0" w:space="0" w:color="auto"/>
            <w:left w:val="none" w:sz="0" w:space="0" w:color="auto"/>
            <w:bottom w:val="none" w:sz="0" w:space="0" w:color="auto"/>
            <w:right w:val="none" w:sz="0" w:space="0" w:color="auto"/>
          </w:divBdr>
        </w:div>
        <w:div w:id="204608359">
          <w:marLeft w:val="0"/>
          <w:marRight w:val="0"/>
          <w:marTop w:val="0"/>
          <w:marBottom w:val="0"/>
          <w:divBdr>
            <w:top w:val="none" w:sz="0" w:space="0" w:color="auto"/>
            <w:left w:val="none" w:sz="0" w:space="0" w:color="auto"/>
            <w:bottom w:val="none" w:sz="0" w:space="0" w:color="auto"/>
            <w:right w:val="none" w:sz="0" w:space="0" w:color="auto"/>
          </w:divBdr>
        </w:div>
        <w:div w:id="1408960610">
          <w:marLeft w:val="0"/>
          <w:marRight w:val="0"/>
          <w:marTop w:val="0"/>
          <w:marBottom w:val="0"/>
          <w:divBdr>
            <w:top w:val="none" w:sz="0" w:space="0" w:color="auto"/>
            <w:left w:val="none" w:sz="0" w:space="0" w:color="auto"/>
            <w:bottom w:val="none" w:sz="0" w:space="0" w:color="auto"/>
            <w:right w:val="none" w:sz="0" w:space="0" w:color="auto"/>
          </w:divBdr>
        </w:div>
        <w:div w:id="882063115">
          <w:marLeft w:val="0"/>
          <w:marRight w:val="0"/>
          <w:marTop w:val="0"/>
          <w:marBottom w:val="0"/>
          <w:divBdr>
            <w:top w:val="none" w:sz="0" w:space="0" w:color="auto"/>
            <w:left w:val="none" w:sz="0" w:space="0" w:color="auto"/>
            <w:bottom w:val="none" w:sz="0" w:space="0" w:color="auto"/>
            <w:right w:val="none" w:sz="0" w:space="0" w:color="auto"/>
          </w:divBdr>
        </w:div>
        <w:div w:id="838228473">
          <w:marLeft w:val="0"/>
          <w:marRight w:val="0"/>
          <w:marTop w:val="0"/>
          <w:marBottom w:val="0"/>
          <w:divBdr>
            <w:top w:val="none" w:sz="0" w:space="0" w:color="auto"/>
            <w:left w:val="none" w:sz="0" w:space="0" w:color="auto"/>
            <w:bottom w:val="none" w:sz="0" w:space="0" w:color="auto"/>
            <w:right w:val="none" w:sz="0" w:space="0" w:color="auto"/>
          </w:divBdr>
        </w:div>
        <w:div w:id="1376932230">
          <w:marLeft w:val="0"/>
          <w:marRight w:val="0"/>
          <w:marTop w:val="0"/>
          <w:marBottom w:val="0"/>
          <w:divBdr>
            <w:top w:val="none" w:sz="0" w:space="0" w:color="auto"/>
            <w:left w:val="none" w:sz="0" w:space="0" w:color="auto"/>
            <w:bottom w:val="none" w:sz="0" w:space="0" w:color="auto"/>
            <w:right w:val="none" w:sz="0" w:space="0" w:color="auto"/>
          </w:divBdr>
        </w:div>
        <w:div w:id="437876501">
          <w:marLeft w:val="0"/>
          <w:marRight w:val="0"/>
          <w:marTop w:val="0"/>
          <w:marBottom w:val="0"/>
          <w:divBdr>
            <w:top w:val="none" w:sz="0" w:space="0" w:color="auto"/>
            <w:left w:val="none" w:sz="0" w:space="0" w:color="auto"/>
            <w:bottom w:val="none" w:sz="0" w:space="0" w:color="auto"/>
            <w:right w:val="none" w:sz="0" w:space="0" w:color="auto"/>
          </w:divBdr>
        </w:div>
        <w:div w:id="411045849">
          <w:marLeft w:val="0"/>
          <w:marRight w:val="0"/>
          <w:marTop w:val="0"/>
          <w:marBottom w:val="0"/>
          <w:divBdr>
            <w:top w:val="none" w:sz="0" w:space="0" w:color="auto"/>
            <w:left w:val="none" w:sz="0" w:space="0" w:color="auto"/>
            <w:bottom w:val="none" w:sz="0" w:space="0" w:color="auto"/>
            <w:right w:val="none" w:sz="0" w:space="0" w:color="auto"/>
          </w:divBdr>
        </w:div>
        <w:div w:id="366025458">
          <w:marLeft w:val="0"/>
          <w:marRight w:val="0"/>
          <w:marTop w:val="0"/>
          <w:marBottom w:val="0"/>
          <w:divBdr>
            <w:top w:val="none" w:sz="0" w:space="0" w:color="auto"/>
            <w:left w:val="none" w:sz="0" w:space="0" w:color="auto"/>
            <w:bottom w:val="none" w:sz="0" w:space="0" w:color="auto"/>
            <w:right w:val="none" w:sz="0" w:space="0" w:color="auto"/>
          </w:divBdr>
        </w:div>
        <w:div w:id="992758242">
          <w:marLeft w:val="0"/>
          <w:marRight w:val="0"/>
          <w:marTop w:val="0"/>
          <w:marBottom w:val="0"/>
          <w:divBdr>
            <w:top w:val="none" w:sz="0" w:space="0" w:color="auto"/>
            <w:left w:val="none" w:sz="0" w:space="0" w:color="auto"/>
            <w:bottom w:val="none" w:sz="0" w:space="0" w:color="auto"/>
            <w:right w:val="none" w:sz="0" w:space="0" w:color="auto"/>
          </w:divBdr>
        </w:div>
        <w:div w:id="305547625">
          <w:marLeft w:val="0"/>
          <w:marRight w:val="0"/>
          <w:marTop w:val="0"/>
          <w:marBottom w:val="0"/>
          <w:divBdr>
            <w:top w:val="none" w:sz="0" w:space="0" w:color="auto"/>
            <w:left w:val="none" w:sz="0" w:space="0" w:color="auto"/>
            <w:bottom w:val="none" w:sz="0" w:space="0" w:color="auto"/>
            <w:right w:val="none" w:sz="0" w:space="0" w:color="auto"/>
          </w:divBdr>
        </w:div>
        <w:div w:id="1661692963">
          <w:marLeft w:val="0"/>
          <w:marRight w:val="0"/>
          <w:marTop w:val="0"/>
          <w:marBottom w:val="0"/>
          <w:divBdr>
            <w:top w:val="none" w:sz="0" w:space="0" w:color="auto"/>
            <w:left w:val="none" w:sz="0" w:space="0" w:color="auto"/>
            <w:bottom w:val="none" w:sz="0" w:space="0" w:color="auto"/>
            <w:right w:val="none" w:sz="0" w:space="0" w:color="auto"/>
          </w:divBdr>
        </w:div>
        <w:div w:id="670524052">
          <w:marLeft w:val="0"/>
          <w:marRight w:val="0"/>
          <w:marTop w:val="0"/>
          <w:marBottom w:val="0"/>
          <w:divBdr>
            <w:top w:val="none" w:sz="0" w:space="0" w:color="auto"/>
            <w:left w:val="none" w:sz="0" w:space="0" w:color="auto"/>
            <w:bottom w:val="none" w:sz="0" w:space="0" w:color="auto"/>
            <w:right w:val="none" w:sz="0" w:space="0" w:color="auto"/>
          </w:divBdr>
        </w:div>
        <w:div w:id="2114742193">
          <w:marLeft w:val="0"/>
          <w:marRight w:val="0"/>
          <w:marTop w:val="0"/>
          <w:marBottom w:val="0"/>
          <w:divBdr>
            <w:top w:val="none" w:sz="0" w:space="0" w:color="auto"/>
            <w:left w:val="none" w:sz="0" w:space="0" w:color="auto"/>
            <w:bottom w:val="none" w:sz="0" w:space="0" w:color="auto"/>
            <w:right w:val="none" w:sz="0" w:space="0" w:color="auto"/>
          </w:divBdr>
        </w:div>
        <w:div w:id="498348018">
          <w:marLeft w:val="0"/>
          <w:marRight w:val="0"/>
          <w:marTop w:val="0"/>
          <w:marBottom w:val="0"/>
          <w:divBdr>
            <w:top w:val="none" w:sz="0" w:space="0" w:color="auto"/>
            <w:left w:val="none" w:sz="0" w:space="0" w:color="auto"/>
            <w:bottom w:val="none" w:sz="0" w:space="0" w:color="auto"/>
            <w:right w:val="none" w:sz="0" w:space="0" w:color="auto"/>
          </w:divBdr>
        </w:div>
        <w:div w:id="1853492569">
          <w:marLeft w:val="0"/>
          <w:marRight w:val="0"/>
          <w:marTop w:val="0"/>
          <w:marBottom w:val="0"/>
          <w:divBdr>
            <w:top w:val="none" w:sz="0" w:space="0" w:color="auto"/>
            <w:left w:val="none" w:sz="0" w:space="0" w:color="auto"/>
            <w:bottom w:val="none" w:sz="0" w:space="0" w:color="auto"/>
            <w:right w:val="none" w:sz="0" w:space="0" w:color="auto"/>
          </w:divBdr>
        </w:div>
        <w:div w:id="285165936">
          <w:marLeft w:val="0"/>
          <w:marRight w:val="0"/>
          <w:marTop w:val="0"/>
          <w:marBottom w:val="0"/>
          <w:divBdr>
            <w:top w:val="none" w:sz="0" w:space="0" w:color="auto"/>
            <w:left w:val="none" w:sz="0" w:space="0" w:color="auto"/>
            <w:bottom w:val="none" w:sz="0" w:space="0" w:color="auto"/>
            <w:right w:val="none" w:sz="0" w:space="0" w:color="auto"/>
          </w:divBdr>
        </w:div>
        <w:div w:id="2122718519">
          <w:marLeft w:val="0"/>
          <w:marRight w:val="0"/>
          <w:marTop w:val="0"/>
          <w:marBottom w:val="0"/>
          <w:divBdr>
            <w:top w:val="none" w:sz="0" w:space="0" w:color="auto"/>
            <w:left w:val="none" w:sz="0" w:space="0" w:color="auto"/>
            <w:bottom w:val="none" w:sz="0" w:space="0" w:color="auto"/>
            <w:right w:val="none" w:sz="0" w:space="0" w:color="auto"/>
          </w:divBdr>
        </w:div>
        <w:div w:id="1780106794">
          <w:marLeft w:val="0"/>
          <w:marRight w:val="0"/>
          <w:marTop w:val="0"/>
          <w:marBottom w:val="0"/>
          <w:divBdr>
            <w:top w:val="none" w:sz="0" w:space="0" w:color="auto"/>
            <w:left w:val="none" w:sz="0" w:space="0" w:color="auto"/>
            <w:bottom w:val="none" w:sz="0" w:space="0" w:color="auto"/>
            <w:right w:val="none" w:sz="0" w:space="0" w:color="auto"/>
          </w:divBdr>
        </w:div>
        <w:div w:id="1196968930">
          <w:marLeft w:val="0"/>
          <w:marRight w:val="0"/>
          <w:marTop w:val="0"/>
          <w:marBottom w:val="0"/>
          <w:divBdr>
            <w:top w:val="none" w:sz="0" w:space="0" w:color="auto"/>
            <w:left w:val="none" w:sz="0" w:space="0" w:color="auto"/>
            <w:bottom w:val="none" w:sz="0" w:space="0" w:color="auto"/>
            <w:right w:val="none" w:sz="0" w:space="0" w:color="auto"/>
          </w:divBdr>
        </w:div>
        <w:div w:id="1275331607">
          <w:marLeft w:val="0"/>
          <w:marRight w:val="0"/>
          <w:marTop w:val="0"/>
          <w:marBottom w:val="0"/>
          <w:divBdr>
            <w:top w:val="none" w:sz="0" w:space="0" w:color="auto"/>
            <w:left w:val="none" w:sz="0" w:space="0" w:color="auto"/>
            <w:bottom w:val="none" w:sz="0" w:space="0" w:color="auto"/>
            <w:right w:val="none" w:sz="0" w:space="0" w:color="auto"/>
          </w:divBdr>
        </w:div>
        <w:div w:id="1595623435">
          <w:marLeft w:val="0"/>
          <w:marRight w:val="0"/>
          <w:marTop w:val="0"/>
          <w:marBottom w:val="0"/>
          <w:divBdr>
            <w:top w:val="none" w:sz="0" w:space="0" w:color="auto"/>
            <w:left w:val="none" w:sz="0" w:space="0" w:color="auto"/>
            <w:bottom w:val="none" w:sz="0" w:space="0" w:color="auto"/>
            <w:right w:val="none" w:sz="0" w:space="0" w:color="auto"/>
          </w:divBdr>
        </w:div>
        <w:div w:id="1389568117">
          <w:marLeft w:val="0"/>
          <w:marRight w:val="0"/>
          <w:marTop w:val="0"/>
          <w:marBottom w:val="0"/>
          <w:divBdr>
            <w:top w:val="none" w:sz="0" w:space="0" w:color="auto"/>
            <w:left w:val="none" w:sz="0" w:space="0" w:color="auto"/>
            <w:bottom w:val="none" w:sz="0" w:space="0" w:color="auto"/>
            <w:right w:val="none" w:sz="0" w:space="0" w:color="auto"/>
          </w:divBdr>
        </w:div>
        <w:div w:id="673992672">
          <w:marLeft w:val="0"/>
          <w:marRight w:val="0"/>
          <w:marTop w:val="0"/>
          <w:marBottom w:val="0"/>
          <w:divBdr>
            <w:top w:val="none" w:sz="0" w:space="0" w:color="auto"/>
            <w:left w:val="none" w:sz="0" w:space="0" w:color="auto"/>
            <w:bottom w:val="none" w:sz="0" w:space="0" w:color="auto"/>
            <w:right w:val="none" w:sz="0" w:space="0" w:color="auto"/>
          </w:divBdr>
        </w:div>
        <w:div w:id="1779448436">
          <w:marLeft w:val="0"/>
          <w:marRight w:val="0"/>
          <w:marTop w:val="0"/>
          <w:marBottom w:val="0"/>
          <w:divBdr>
            <w:top w:val="none" w:sz="0" w:space="0" w:color="auto"/>
            <w:left w:val="none" w:sz="0" w:space="0" w:color="auto"/>
            <w:bottom w:val="none" w:sz="0" w:space="0" w:color="auto"/>
            <w:right w:val="none" w:sz="0" w:space="0" w:color="auto"/>
          </w:divBdr>
        </w:div>
        <w:div w:id="481119119">
          <w:marLeft w:val="0"/>
          <w:marRight w:val="0"/>
          <w:marTop w:val="0"/>
          <w:marBottom w:val="0"/>
          <w:divBdr>
            <w:top w:val="none" w:sz="0" w:space="0" w:color="auto"/>
            <w:left w:val="none" w:sz="0" w:space="0" w:color="auto"/>
            <w:bottom w:val="none" w:sz="0" w:space="0" w:color="auto"/>
            <w:right w:val="none" w:sz="0" w:space="0" w:color="auto"/>
          </w:divBdr>
        </w:div>
        <w:div w:id="1392995293">
          <w:marLeft w:val="0"/>
          <w:marRight w:val="0"/>
          <w:marTop w:val="0"/>
          <w:marBottom w:val="0"/>
          <w:divBdr>
            <w:top w:val="none" w:sz="0" w:space="0" w:color="auto"/>
            <w:left w:val="none" w:sz="0" w:space="0" w:color="auto"/>
            <w:bottom w:val="none" w:sz="0" w:space="0" w:color="auto"/>
            <w:right w:val="none" w:sz="0" w:space="0" w:color="auto"/>
          </w:divBdr>
        </w:div>
        <w:div w:id="688990239">
          <w:marLeft w:val="0"/>
          <w:marRight w:val="0"/>
          <w:marTop w:val="0"/>
          <w:marBottom w:val="0"/>
          <w:divBdr>
            <w:top w:val="none" w:sz="0" w:space="0" w:color="auto"/>
            <w:left w:val="none" w:sz="0" w:space="0" w:color="auto"/>
            <w:bottom w:val="none" w:sz="0" w:space="0" w:color="auto"/>
            <w:right w:val="none" w:sz="0" w:space="0" w:color="auto"/>
          </w:divBdr>
        </w:div>
        <w:div w:id="1402947222">
          <w:marLeft w:val="0"/>
          <w:marRight w:val="0"/>
          <w:marTop w:val="0"/>
          <w:marBottom w:val="0"/>
          <w:divBdr>
            <w:top w:val="none" w:sz="0" w:space="0" w:color="auto"/>
            <w:left w:val="none" w:sz="0" w:space="0" w:color="auto"/>
            <w:bottom w:val="none" w:sz="0" w:space="0" w:color="auto"/>
            <w:right w:val="none" w:sz="0" w:space="0" w:color="auto"/>
          </w:divBdr>
        </w:div>
        <w:div w:id="2069839436">
          <w:marLeft w:val="0"/>
          <w:marRight w:val="0"/>
          <w:marTop w:val="0"/>
          <w:marBottom w:val="0"/>
          <w:divBdr>
            <w:top w:val="none" w:sz="0" w:space="0" w:color="auto"/>
            <w:left w:val="none" w:sz="0" w:space="0" w:color="auto"/>
            <w:bottom w:val="none" w:sz="0" w:space="0" w:color="auto"/>
            <w:right w:val="none" w:sz="0" w:space="0" w:color="auto"/>
          </w:divBdr>
        </w:div>
        <w:div w:id="2072805194">
          <w:marLeft w:val="0"/>
          <w:marRight w:val="0"/>
          <w:marTop w:val="0"/>
          <w:marBottom w:val="0"/>
          <w:divBdr>
            <w:top w:val="none" w:sz="0" w:space="0" w:color="auto"/>
            <w:left w:val="none" w:sz="0" w:space="0" w:color="auto"/>
            <w:bottom w:val="none" w:sz="0" w:space="0" w:color="auto"/>
            <w:right w:val="none" w:sz="0" w:space="0" w:color="auto"/>
          </w:divBdr>
        </w:div>
        <w:div w:id="1575122270">
          <w:marLeft w:val="0"/>
          <w:marRight w:val="0"/>
          <w:marTop w:val="0"/>
          <w:marBottom w:val="0"/>
          <w:divBdr>
            <w:top w:val="none" w:sz="0" w:space="0" w:color="auto"/>
            <w:left w:val="none" w:sz="0" w:space="0" w:color="auto"/>
            <w:bottom w:val="none" w:sz="0" w:space="0" w:color="auto"/>
            <w:right w:val="none" w:sz="0" w:space="0" w:color="auto"/>
          </w:divBdr>
        </w:div>
        <w:div w:id="1037587695">
          <w:marLeft w:val="0"/>
          <w:marRight w:val="0"/>
          <w:marTop w:val="0"/>
          <w:marBottom w:val="0"/>
          <w:divBdr>
            <w:top w:val="none" w:sz="0" w:space="0" w:color="auto"/>
            <w:left w:val="none" w:sz="0" w:space="0" w:color="auto"/>
            <w:bottom w:val="none" w:sz="0" w:space="0" w:color="auto"/>
            <w:right w:val="none" w:sz="0" w:space="0" w:color="auto"/>
          </w:divBdr>
        </w:div>
        <w:div w:id="69040902">
          <w:marLeft w:val="0"/>
          <w:marRight w:val="0"/>
          <w:marTop w:val="0"/>
          <w:marBottom w:val="0"/>
          <w:divBdr>
            <w:top w:val="none" w:sz="0" w:space="0" w:color="auto"/>
            <w:left w:val="none" w:sz="0" w:space="0" w:color="auto"/>
            <w:bottom w:val="none" w:sz="0" w:space="0" w:color="auto"/>
            <w:right w:val="none" w:sz="0" w:space="0" w:color="auto"/>
          </w:divBdr>
        </w:div>
        <w:div w:id="1119035602">
          <w:marLeft w:val="0"/>
          <w:marRight w:val="0"/>
          <w:marTop w:val="0"/>
          <w:marBottom w:val="0"/>
          <w:divBdr>
            <w:top w:val="none" w:sz="0" w:space="0" w:color="auto"/>
            <w:left w:val="none" w:sz="0" w:space="0" w:color="auto"/>
            <w:bottom w:val="none" w:sz="0" w:space="0" w:color="auto"/>
            <w:right w:val="none" w:sz="0" w:space="0" w:color="auto"/>
          </w:divBdr>
        </w:div>
        <w:div w:id="493957481">
          <w:marLeft w:val="0"/>
          <w:marRight w:val="0"/>
          <w:marTop w:val="0"/>
          <w:marBottom w:val="0"/>
          <w:divBdr>
            <w:top w:val="none" w:sz="0" w:space="0" w:color="auto"/>
            <w:left w:val="none" w:sz="0" w:space="0" w:color="auto"/>
            <w:bottom w:val="none" w:sz="0" w:space="0" w:color="auto"/>
            <w:right w:val="none" w:sz="0" w:space="0" w:color="auto"/>
          </w:divBdr>
        </w:div>
        <w:div w:id="481119970">
          <w:marLeft w:val="0"/>
          <w:marRight w:val="0"/>
          <w:marTop w:val="0"/>
          <w:marBottom w:val="0"/>
          <w:divBdr>
            <w:top w:val="none" w:sz="0" w:space="0" w:color="auto"/>
            <w:left w:val="none" w:sz="0" w:space="0" w:color="auto"/>
            <w:bottom w:val="none" w:sz="0" w:space="0" w:color="auto"/>
            <w:right w:val="none" w:sz="0" w:space="0" w:color="auto"/>
          </w:divBdr>
        </w:div>
        <w:div w:id="1530489404">
          <w:marLeft w:val="0"/>
          <w:marRight w:val="0"/>
          <w:marTop w:val="0"/>
          <w:marBottom w:val="0"/>
          <w:divBdr>
            <w:top w:val="none" w:sz="0" w:space="0" w:color="auto"/>
            <w:left w:val="none" w:sz="0" w:space="0" w:color="auto"/>
            <w:bottom w:val="none" w:sz="0" w:space="0" w:color="auto"/>
            <w:right w:val="none" w:sz="0" w:space="0" w:color="auto"/>
          </w:divBdr>
        </w:div>
        <w:div w:id="454492633">
          <w:marLeft w:val="0"/>
          <w:marRight w:val="0"/>
          <w:marTop w:val="0"/>
          <w:marBottom w:val="0"/>
          <w:divBdr>
            <w:top w:val="none" w:sz="0" w:space="0" w:color="auto"/>
            <w:left w:val="none" w:sz="0" w:space="0" w:color="auto"/>
            <w:bottom w:val="none" w:sz="0" w:space="0" w:color="auto"/>
            <w:right w:val="none" w:sz="0" w:space="0" w:color="auto"/>
          </w:divBdr>
        </w:div>
        <w:div w:id="1961063851">
          <w:marLeft w:val="0"/>
          <w:marRight w:val="0"/>
          <w:marTop w:val="0"/>
          <w:marBottom w:val="0"/>
          <w:divBdr>
            <w:top w:val="none" w:sz="0" w:space="0" w:color="auto"/>
            <w:left w:val="none" w:sz="0" w:space="0" w:color="auto"/>
            <w:bottom w:val="none" w:sz="0" w:space="0" w:color="auto"/>
            <w:right w:val="none" w:sz="0" w:space="0" w:color="auto"/>
          </w:divBdr>
        </w:div>
        <w:div w:id="1069888273">
          <w:marLeft w:val="0"/>
          <w:marRight w:val="0"/>
          <w:marTop w:val="0"/>
          <w:marBottom w:val="0"/>
          <w:divBdr>
            <w:top w:val="none" w:sz="0" w:space="0" w:color="auto"/>
            <w:left w:val="none" w:sz="0" w:space="0" w:color="auto"/>
            <w:bottom w:val="none" w:sz="0" w:space="0" w:color="auto"/>
            <w:right w:val="none" w:sz="0" w:space="0" w:color="auto"/>
          </w:divBdr>
        </w:div>
        <w:div w:id="670449512">
          <w:marLeft w:val="0"/>
          <w:marRight w:val="0"/>
          <w:marTop w:val="0"/>
          <w:marBottom w:val="0"/>
          <w:divBdr>
            <w:top w:val="none" w:sz="0" w:space="0" w:color="auto"/>
            <w:left w:val="none" w:sz="0" w:space="0" w:color="auto"/>
            <w:bottom w:val="none" w:sz="0" w:space="0" w:color="auto"/>
            <w:right w:val="none" w:sz="0" w:space="0" w:color="auto"/>
          </w:divBdr>
        </w:div>
        <w:div w:id="316760708">
          <w:marLeft w:val="0"/>
          <w:marRight w:val="0"/>
          <w:marTop w:val="0"/>
          <w:marBottom w:val="0"/>
          <w:divBdr>
            <w:top w:val="none" w:sz="0" w:space="0" w:color="auto"/>
            <w:left w:val="none" w:sz="0" w:space="0" w:color="auto"/>
            <w:bottom w:val="none" w:sz="0" w:space="0" w:color="auto"/>
            <w:right w:val="none" w:sz="0" w:space="0" w:color="auto"/>
          </w:divBdr>
        </w:div>
        <w:div w:id="189804654">
          <w:marLeft w:val="0"/>
          <w:marRight w:val="0"/>
          <w:marTop w:val="0"/>
          <w:marBottom w:val="0"/>
          <w:divBdr>
            <w:top w:val="none" w:sz="0" w:space="0" w:color="auto"/>
            <w:left w:val="none" w:sz="0" w:space="0" w:color="auto"/>
            <w:bottom w:val="none" w:sz="0" w:space="0" w:color="auto"/>
            <w:right w:val="none" w:sz="0" w:space="0" w:color="auto"/>
          </w:divBdr>
        </w:div>
        <w:div w:id="2122219280">
          <w:marLeft w:val="0"/>
          <w:marRight w:val="0"/>
          <w:marTop w:val="0"/>
          <w:marBottom w:val="0"/>
          <w:divBdr>
            <w:top w:val="none" w:sz="0" w:space="0" w:color="auto"/>
            <w:left w:val="none" w:sz="0" w:space="0" w:color="auto"/>
            <w:bottom w:val="none" w:sz="0" w:space="0" w:color="auto"/>
            <w:right w:val="none" w:sz="0" w:space="0" w:color="auto"/>
          </w:divBdr>
        </w:div>
        <w:div w:id="1035042606">
          <w:marLeft w:val="0"/>
          <w:marRight w:val="0"/>
          <w:marTop w:val="0"/>
          <w:marBottom w:val="0"/>
          <w:divBdr>
            <w:top w:val="none" w:sz="0" w:space="0" w:color="auto"/>
            <w:left w:val="none" w:sz="0" w:space="0" w:color="auto"/>
            <w:bottom w:val="none" w:sz="0" w:space="0" w:color="auto"/>
            <w:right w:val="none" w:sz="0" w:space="0" w:color="auto"/>
          </w:divBdr>
        </w:div>
        <w:div w:id="1197965261">
          <w:marLeft w:val="0"/>
          <w:marRight w:val="0"/>
          <w:marTop w:val="0"/>
          <w:marBottom w:val="0"/>
          <w:divBdr>
            <w:top w:val="none" w:sz="0" w:space="0" w:color="auto"/>
            <w:left w:val="none" w:sz="0" w:space="0" w:color="auto"/>
            <w:bottom w:val="none" w:sz="0" w:space="0" w:color="auto"/>
            <w:right w:val="none" w:sz="0" w:space="0" w:color="auto"/>
          </w:divBdr>
        </w:div>
        <w:div w:id="482740055">
          <w:marLeft w:val="0"/>
          <w:marRight w:val="0"/>
          <w:marTop w:val="0"/>
          <w:marBottom w:val="0"/>
          <w:divBdr>
            <w:top w:val="none" w:sz="0" w:space="0" w:color="auto"/>
            <w:left w:val="none" w:sz="0" w:space="0" w:color="auto"/>
            <w:bottom w:val="none" w:sz="0" w:space="0" w:color="auto"/>
            <w:right w:val="none" w:sz="0" w:space="0" w:color="auto"/>
          </w:divBdr>
        </w:div>
        <w:div w:id="558706755">
          <w:marLeft w:val="0"/>
          <w:marRight w:val="0"/>
          <w:marTop w:val="0"/>
          <w:marBottom w:val="0"/>
          <w:divBdr>
            <w:top w:val="none" w:sz="0" w:space="0" w:color="auto"/>
            <w:left w:val="none" w:sz="0" w:space="0" w:color="auto"/>
            <w:bottom w:val="none" w:sz="0" w:space="0" w:color="auto"/>
            <w:right w:val="none" w:sz="0" w:space="0" w:color="auto"/>
          </w:divBdr>
        </w:div>
        <w:div w:id="120809289">
          <w:marLeft w:val="0"/>
          <w:marRight w:val="0"/>
          <w:marTop w:val="0"/>
          <w:marBottom w:val="0"/>
          <w:divBdr>
            <w:top w:val="none" w:sz="0" w:space="0" w:color="auto"/>
            <w:left w:val="none" w:sz="0" w:space="0" w:color="auto"/>
            <w:bottom w:val="none" w:sz="0" w:space="0" w:color="auto"/>
            <w:right w:val="none" w:sz="0" w:space="0" w:color="auto"/>
          </w:divBdr>
        </w:div>
        <w:div w:id="2141917822">
          <w:marLeft w:val="0"/>
          <w:marRight w:val="0"/>
          <w:marTop w:val="0"/>
          <w:marBottom w:val="0"/>
          <w:divBdr>
            <w:top w:val="none" w:sz="0" w:space="0" w:color="auto"/>
            <w:left w:val="none" w:sz="0" w:space="0" w:color="auto"/>
            <w:bottom w:val="none" w:sz="0" w:space="0" w:color="auto"/>
            <w:right w:val="none" w:sz="0" w:space="0" w:color="auto"/>
          </w:divBdr>
        </w:div>
        <w:div w:id="1966427529">
          <w:marLeft w:val="0"/>
          <w:marRight w:val="0"/>
          <w:marTop w:val="0"/>
          <w:marBottom w:val="0"/>
          <w:divBdr>
            <w:top w:val="none" w:sz="0" w:space="0" w:color="auto"/>
            <w:left w:val="none" w:sz="0" w:space="0" w:color="auto"/>
            <w:bottom w:val="none" w:sz="0" w:space="0" w:color="auto"/>
            <w:right w:val="none" w:sz="0" w:space="0" w:color="auto"/>
          </w:divBdr>
        </w:div>
        <w:div w:id="281351381">
          <w:marLeft w:val="0"/>
          <w:marRight w:val="0"/>
          <w:marTop w:val="0"/>
          <w:marBottom w:val="0"/>
          <w:divBdr>
            <w:top w:val="none" w:sz="0" w:space="0" w:color="auto"/>
            <w:left w:val="none" w:sz="0" w:space="0" w:color="auto"/>
            <w:bottom w:val="none" w:sz="0" w:space="0" w:color="auto"/>
            <w:right w:val="none" w:sz="0" w:space="0" w:color="auto"/>
          </w:divBdr>
        </w:div>
        <w:div w:id="813839454">
          <w:marLeft w:val="0"/>
          <w:marRight w:val="0"/>
          <w:marTop w:val="0"/>
          <w:marBottom w:val="0"/>
          <w:divBdr>
            <w:top w:val="none" w:sz="0" w:space="0" w:color="auto"/>
            <w:left w:val="none" w:sz="0" w:space="0" w:color="auto"/>
            <w:bottom w:val="none" w:sz="0" w:space="0" w:color="auto"/>
            <w:right w:val="none" w:sz="0" w:space="0" w:color="auto"/>
          </w:divBdr>
        </w:div>
        <w:div w:id="30152520">
          <w:marLeft w:val="0"/>
          <w:marRight w:val="0"/>
          <w:marTop w:val="0"/>
          <w:marBottom w:val="0"/>
          <w:divBdr>
            <w:top w:val="none" w:sz="0" w:space="0" w:color="auto"/>
            <w:left w:val="none" w:sz="0" w:space="0" w:color="auto"/>
            <w:bottom w:val="none" w:sz="0" w:space="0" w:color="auto"/>
            <w:right w:val="none" w:sz="0" w:space="0" w:color="auto"/>
          </w:divBdr>
        </w:div>
        <w:div w:id="1103762041">
          <w:marLeft w:val="0"/>
          <w:marRight w:val="0"/>
          <w:marTop w:val="0"/>
          <w:marBottom w:val="0"/>
          <w:divBdr>
            <w:top w:val="none" w:sz="0" w:space="0" w:color="auto"/>
            <w:left w:val="none" w:sz="0" w:space="0" w:color="auto"/>
            <w:bottom w:val="none" w:sz="0" w:space="0" w:color="auto"/>
            <w:right w:val="none" w:sz="0" w:space="0" w:color="auto"/>
          </w:divBdr>
        </w:div>
        <w:div w:id="982664546">
          <w:marLeft w:val="0"/>
          <w:marRight w:val="0"/>
          <w:marTop w:val="0"/>
          <w:marBottom w:val="0"/>
          <w:divBdr>
            <w:top w:val="none" w:sz="0" w:space="0" w:color="auto"/>
            <w:left w:val="none" w:sz="0" w:space="0" w:color="auto"/>
            <w:bottom w:val="none" w:sz="0" w:space="0" w:color="auto"/>
            <w:right w:val="none" w:sz="0" w:space="0" w:color="auto"/>
          </w:divBdr>
        </w:div>
        <w:div w:id="1677341944">
          <w:marLeft w:val="0"/>
          <w:marRight w:val="0"/>
          <w:marTop w:val="0"/>
          <w:marBottom w:val="0"/>
          <w:divBdr>
            <w:top w:val="none" w:sz="0" w:space="0" w:color="auto"/>
            <w:left w:val="none" w:sz="0" w:space="0" w:color="auto"/>
            <w:bottom w:val="none" w:sz="0" w:space="0" w:color="auto"/>
            <w:right w:val="none" w:sz="0" w:space="0" w:color="auto"/>
          </w:divBdr>
        </w:div>
        <w:div w:id="711421891">
          <w:marLeft w:val="0"/>
          <w:marRight w:val="0"/>
          <w:marTop w:val="0"/>
          <w:marBottom w:val="0"/>
          <w:divBdr>
            <w:top w:val="none" w:sz="0" w:space="0" w:color="auto"/>
            <w:left w:val="none" w:sz="0" w:space="0" w:color="auto"/>
            <w:bottom w:val="none" w:sz="0" w:space="0" w:color="auto"/>
            <w:right w:val="none" w:sz="0" w:space="0" w:color="auto"/>
          </w:divBdr>
        </w:div>
        <w:div w:id="977076518">
          <w:marLeft w:val="0"/>
          <w:marRight w:val="0"/>
          <w:marTop w:val="0"/>
          <w:marBottom w:val="0"/>
          <w:divBdr>
            <w:top w:val="none" w:sz="0" w:space="0" w:color="auto"/>
            <w:left w:val="none" w:sz="0" w:space="0" w:color="auto"/>
            <w:bottom w:val="none" w:sz="0" w:space="0" w:color="auto"/>
            <w:right w:val="none" w:sz="0" w:space="0" w:color="auto"/>
          </w:divBdr>
        </w:div>
        <w:div w:id="445850433">
          <w:marLeft w:val="0"/>
          <w:marRight w:val="0"/>
          <w:marTop w:val="0"/>
          <w:marBottom w:val="0"/>
          <w:divBdr>
            <w:top w:val="none" w:sz="0" w:space="0" w:color="auto"/>
            <w:left w:val="none" w:sz="0" w:space="0" w:color="auto"/>
            <w:bottom w:val="none" w:sz="0" w:space="0" w:color="auto"/>
            <w:right w:val="none" w:sz="0" w:space="0" w:color="auto"/>
          </w:divBdr>
        </w:div>
        <w:div w:id="369381934">
          <w:marLeft w:val="0"/>
          <w:marRight w:val="0"/>
          <w:marTop w:val="0"/>
          <w:marBottom w:val="0"/>
          <w:divBdr>
            <w:top w:val="none" w:sz="0" w:space="0" w:color="auto"/>
            <w:left w:val="none" w:sz="0" w:space="0" w:color="auto"/>
            <w:bottom w:val="none" w:sz="0" w:space="0" w:color="auto"/>
            <w:right w:val="none" w:sz="0" w:space="0" w:color="auto"/>
          </w:divBdr>
        </w:div>
        <w:div w:id="1177573089">
          <w:marLeft w:val="0"/>
          <w:marRight w:val="0"/>
          <w:marTop w:val="0"/>
          <w:marBottom w:val="0"/>
          <w:divBdr>
            <w:top w:val="none" w:sz="0" w:space="0" w:color="auto"/>
            <w:left w:val="none" w:sz="0" w:space="0" w:color="auto"/>
            <w:bottom w:val="none" w:sz="0" w:space="0" w:color="auto"/>
            <w:right w:val="none" w:sz="0" w:space="0" w:color="auto"/>
          </w:divBdr>
        </w:div>
        <w:div w:id="319580751">
          <w:marLeft w:val="0"/>
          <w:marRight w:val="0"/>
          <w:marTop w:val="0"/>
          <w:marBottom w:val="0"/>
          <w:divBdr>
            <w:top w:val="none" w:sz="0" w:space="0" w:color="auto"/>
            <w:left w:val="none" w:sz="0" w:space="0" w:color="auto"/>
            <w:bottom w:val="none" w:sz="0" w:space="0" w:color="auto"/>
            <w:right w:val="none" w:sz="0" w:space="0" w:color="auto"/>
          </w:divBdr>
        </w:div>
        <w:div w:id="2010987529">
          <w:marLeft w:val="0"/>
          <w:marRight w:val="0"/>
          <w:marTop w:val="0"/>
          <w:marBottom w:val="0"/>
          <w:divBdr>
            <w:top w:val="none" w:sz="0" w:space="0" w:color="auto"/>
            <w:left w:val="none" w:sz="0" w:space="0" w:color="auto"/>
            <w:bottom w:val="none" w:sz="0" w:space="0" w:color="auto"/>
            <w:right w:val="none" w:sz="0" w:space="0" w:color="auto"/>
          </w:divBdr>
        </w:div>
        <w:div w:id="1104154573">
          <w:marLeft w:val="0"/>
          <w:marRight w:val="0"/>
          <w:marTop w:val="0"/>
          <w:marBottom w:val="0"/>
          <w:divBdr>
            <w:top w:val="none" w:sz="0" w:space="0" w:color="auto"/>
            <w:left w:val="none" w:sz="0" w:space="0" w:color="auto"/>
            <w:bottom w:val="none" w:sz="0" w:space="0" w:color="auto"/>
            <w:right w:val="none" w:sz="0" w:space="0" w:color="auto"/>
          </w:divBdr>
        </w:div>
        <w:div w:id="1211847214">
          <w:marLeft w:val="0"/>
          <w:marRight w:val="0"/>
          <w:marTop w:val="0"/>
          <w:marBottom w:val="0"/>
          <w:divBdr>
            <w:top w:val="none" w:sz="0" w:space="0" w:color="auto"/>
            <w:left w:val="none" w:sz="0" w:space="0" w:color="auto"/>
            <w:bottom w:val="none" w:sz="0" w:space="0" w:color="auto"/>
            <w:right w:val="none" w:sz="0" w:space="0" w:color="auto"/>
          </w:divBdr>
        </w:div>
        <w:div w:id="1460875619">
          <w:marLeft w:val="0"/>
          <w:marRight w:val="0"/>
          <w:marTop w:val="0"/>
          <w:marBottom w:val="0"/>
          <w:divBdr>
            <w:top w:val="none" w:sz="0" w:space="0" w:color="auto"/>
            <w:left w:val="none" w:sz="0" w:space="0" w:color="auto"/>
            <w:bottom w:val="none" w:sz="0" w:space="0" w:color="auto"/>
            <w:right w:val="none" w:sz="0" w:space="0" w:color="auto"/>
          </w:divBdr>
        </w:div>
        <w:div w:id="1118716007">
          <w:marLeft w:val="0"/>
          <w:marRight w:val="0"/>
          <w:marTop w:val="0"/>
          <w:marBottom w:val="0"/>
          <w:divBdr>
            <w:top w:val="none" w:sz="0" w:space="0" w:color="auto"/>
            <w:left w:val="none" w:sz="0" w:space="0" w:color="auto"/>
            <w:bottom w:val="none" w:sz="0" w:space="0" w:color="auto"/>
            <w:right w:val="none" w:sz="0" w:space="0" w:color="auto"/>
          </w:divBdr>
        </w:div>
        <w:div w:id="1048800712">
          <w:marLeft w:val="0"/>
          <w:marRight w:val="0"/>
          <w:marTop w:val="0"/>
          <w:marBottom w:val="0"/>
          <w:divBdr>
            <w:top w:val="none" w:sz="0" w:space="0" w:color="auto"/>
            <w:left w:val="none" w:sz="0" w:space="0" w:color="auto"/>
            <w:bottom w:val="none" w:sz="0" w:space="0" w:color="auto"/>
            <w:right w:val="none" w:sz="0" w:space="0" w:color="auto"/>
          </w:divBdr>
        </w:div>
        <w:div w:id="1196384057">
          <w:marLeft w:val="0"/>
          <w:marRight w:val="0"/>
          <w:marTop w:val="0"/>
          <w:marBottom w:val="0"/>
          <w:divBdr>
            <w:top w:val="none" w:sz="0" w:space="0" w:color="auto"/>
            <w:left w:val="none" w:sz="0" w:space="0" w:color="auto"/>
            <w:bottom w:val="none" w:sz="0" w:space="0" w:color="auto"/>
            <w:right w:val="none" w:sz="0" w:space="0" w:color="auto"/>
          </w:divBdr>
        </w:div>
        <w:div w:id="1027484824">
          <w:marLeft w:val="0"/>
          <w:marRight w:val="0"/>
          <w:marTop w:val="0"/>
          <w:marBottom w:val="0"/>
          <w:divBdr>
            <w:top w:val="none" w:sz="0" w:space="0" w:color="auto"/>
            <w:left w:val="none" w:sz="0" w:space="0" w:color="auto"/>
            <w:bottom w:val="none" w:sz="0" w:space="0" w:color="auto"/>
            <w:right w:val="none" w:sz="0" w:space="0" w:color="auto"/>
          </w:divBdr>
        </w:div>
        <w:div w:id="1432125085">
          <w:marLeft w:val="0"/>
          <w:marRight w:val="0"/>
          <w:marTop w:val="0"/>
          <w:marBottom w:val="0"/>
          <w:divBdr>
            <w:top w:val="none" w:sz="0" w:space="0" w:color="auto"/>
            <w:left w:val="none" w:sz="0" w:space="0" w:color="auto"/>
            <w:bottom w:val="none" w:sz="0" w:space="0" w:color="auto"/>
            <w:right w:val="none" w:sz="0" w:space="0" w:color="auto"/>
          </w:divBdr>
        </w:div>
        <w:div w:id="2011564225">
          <w:marLeft w:val="0"/>
          <w:marRight w:val="0"/>
          <w:marTop w:val="0"/>
          <w:marBottom w:val="0"/>
          <w:divBdr>
            <w:top w:val="none" w:sz="0" w:space="0" w:color="auto"/>
            <w:left w:val="none" w:sz="0" w:space="0" w:color="auto"/>
            <w:bottom w:val="none" w:sz="0" w:space="0" w:color="auto"/>
            <w:right w:val="none" w:sz="0" w:space="0" w:color="auto"/>
          </w:divBdr>
        </w:div>
        <w:div w:id="1380860194">
          <w:marLeft w:val="0"/>
          <w:marRight w:val="0"/>
          <w:marTop w:val="0"/>
          <w:marBottom w:val="0"/>
          <w:divBdr>
            <w:top w:val="none" w:sz="0" w:space="0" w:color="auto"/>
            <w:left w:val="none" w:sz="0" w:space="0" w:color="auto"/>
            <w:bottom w:val="none" w:sz="0" w:space="0" w:color="auto"/>
            <w:right w:val="none" w:sz="0" w:space="0" w:color="auto"/>
          </w:divBdr>
        </w:div>
        <w:div w:id="1379821690">
          <w:marLeft w:val="0"/>
          <w:marRight w:val="0"/>
          <w:marTop w:val="0"/>
          <w:marBottom w:val="0"/>
          <w:divBdr>
            <w:top w:val="none" w:sz="0" w:space="0" w:color="auto"/>
            <w:left w:val="none" w:sz="0" w:space="0" w:color="auto"/>
            <w:bottom w:val="none" w:sz="0" w:space="0" w:color="auto"/>
            <w:right w:val="none" w:sz="0" w:space="0" w:color="auto"/>
          </w:divBdr>
        </w:div>
        <w:div w:id="1119493971">
          <w:marLeft w:val="0"/>
          <w:marRight w:val="0"/>
          <w:marTop w:val="0"/>
          <w:marBottom w:val="0"/>
          <w:divBdr>
            <w:top w:val="none" w:sz="0" w:space="0" w:color="auto"/>
            <w:left w:val="none" w:sz="0" w:space="0" w:color="auto"/>
            <w:bottom w:val="none" w:sz="0" w:space="0" w:color="auto"/>
            <w:right w:val="none" w:sz="0" w:space="0" w:color="auto"/>
          </w:divBdr>
        </w:div>
        <w:div w:id="1450708872">
          <w:marLeft w:val="0"/>
          <w:marRight w:val="0"/>
          <w:marTop w:val="0"/>
          <w:marBottom w:val="0"/>
          <w:divBdr>
            <w:top w:val="none" w:sz="0" w:space="0" w:color="auto"/>
            <w:left w:val="none" w:sz="0" w:space="0" w:color="auto"/>
            <w:bottom w:val="none" w:sz="0" w:space="0" w:color="auto"/>
            <w:right w:val="none" w:sz="0" w:space="0" w:color="auto"/>
          </w:divBdr>
        </w:div>
        <w:div w:id="1713769434">
          <w:marLeft w:val="0"/>
          <w:marRight w:val="0"/>
          <w:marTop w:val="0"/>
          <w:marBottom w:val="0"/>
          <w:divBdr>
            <w:top w:val="none" w:sz="0" w:space="0" w:color="auto"/>
            <w:left w:val="none" w:sz="0" w:space="0" w:color="auto"/>
            <w:bottom w:val="none" w:sz="0" w:space="0" w:color="auto"/>
            <w:right w:val="none" w:sz="0" w:space="0" w:color="auto"/>
          </w:divBdr>
        </w:div>
        <w:div w:id="650334189">
          <w:marLeft w:val="0"/>
          <w:marRight w:val="0"/>
          <w:marTop w:val="0"/>
          <w:marBottom w:val="0"/>
          <w:divBdr>
            <w:top w:val="none" w:sz="0" w:space="0" w:color="auto"/>
            <w:left w:val="none" w:sz="0" w:space="0" w:color="auto"/>
            <w:bottom w:val="none" w:sz="0" w:space="0" w:color="auto"/>
            <w:right w:val="none" w:sz="0" w:space="0" w:color="auto"/>
          </w:divBdr>
        </w:div>
        <w:div w:id="1190995992">
          <w:marLeft w:val="0"/>
          <w:marRight w:val="0"/>
          <w:marTop w:val="0"/>
          <w:marBottom w:val="0"/>
          <w:divBdr>
            <w:top w:val="none" w:sz="0" w:space="0" w:color="auto"/>
            <w:left w:val="none" w:sz="0" w:space="0" w:color="auto"/>
            <w:bottom w:val="none" w:sz="0" w:space="0" w:color="auto"/>
            <w:right w:val="none" w:sz="0" w:space="0" w:color="auto"/>
          </w:divBdr>
        </w:div>
        <w:div w:id="771708318">
          <w:marLeft w:val="0"/>
          <w:marRight w:val="0"/>
          <w:marTop w:val="0"/>
          <w:marBottom w:val="0"/>
          <w:divBdr>
            <w:top w:val="none" w:sz="0" w:space="0" w:color="auto"/>
            <w:left w:val="none" w:sz="0" w:space="0" w:color="auto"/>
            <w:bottom w:val="none" w:sz="0" w:space="0" w:color="auto"/>
            <w:right w:val="none" w:sz="0" w:space="0" w:color="auto"/>
          </w:divBdr>
        </w:div>
        <w:div w:id="1043478232">
          <w:marLeft w:val="0"/>
          <w:marRight w:val="0"/>
          <w:marTop w:val="0"/>
          <w:marBottom w:val="0"/>
          <w:divBdr>
            <w:top w:val="none" w:sz="0" w:space="0" w:color="auto"/>
            <w:left w:val="none" w:sz="0" w:space="0" w:color="auto"/>
            <w:bottom w:val="none" w:sz="0" w:space="0" w:color="auto"/>
            <w:right w:val="none" w:sz="0" w:space="0" w:color="auto"/>
          </w:divBdr>
        </w:div>
        <w:div w:id="97719257">
          <w:marLeft w:val="0"/>
          <w:marRight w:val="0"/>
          <w:marTop w:val="0"/>
          <w:marBottom w:val="0"/>
          <w:divBdr>
            <w:top w:val="none" w:sz="0" w:space="0" w:color="auto"/>
            <w:left w:val="none" w:sz="0" w:space="0" w:color="auto"/>
            <w:bottom w:val="none" w:sz="0" w:space="0" w:color="auto"/>
            <w:right w:val="none" w:sz="0" w:space="0" w:color="auto"/>
          </w:divBdr>
        </w:div>
        <w:div w:id="1915579941">
          <w:marLeft w:val="0"/>
          <w:marRight w:val="0"/>
          <w:marTop w:val="0"/>
          <w:marBottom w:val="0"/>
          <w:divBdr>
            <w:top w:val="none" w:sz="0" w:space="0" w:color="auto"/>
            <w:left w:val="none" w:sz="0" w:space="0" w:color="auto"/>
            <w:bottom w:val="none" w:sz="0" w:space="0" w:color="auto"/>
            <w:right w:val="none" w:sz="0" w:space="0" w:color="auto"/>
          </w:divBdr>
        </w:div>
        <w:div w:id="761686430">
          <w:marLeft w:val="0"/>
          <w:marRight w:val="0"/>
          <w:marTop w:val="0"/>
          <w:marBottom w:val="0"/>
          <w:divBdr>
            <w:top w:val="none" w:sz="0" w:space="0" w:color="auto"/>
            <w:left w:val="none" w:sz="0" w:space="0" w:color="auto"/>
            <w:bottom w:val="none" w:sz="0" w:space="0" w:color="auto"/>
            <w:right w:val="none" w:sz="0" w:space="0" w:color="auto"/>
          </w:divBdr>
        </w:div>
        <w:div w:id="12344223">
          <w:marLeft w:val="0"/>
          <w:marRight w:val="0"/>
          <w:marTop w:val="0"/>
          <w:marBottom w:val="0"/>
          <w:divBdr>
            <w:top w:val="none" w:sz="0" w:space="0" w:color="auto"/>
            <w:left w:val="none" w:sz="0" w:space="0" w:color="auto"/>
            <w:bottom w:val="none" w:sz="0" w:space="0" w:color="auto"/>
            <w:right w:val="none" w:sz="0" w:space="0" w:color="auto"/>
          </w:divBdr>
        </w:div>
        <w:div w:id="340937904">
          <w:marLeft w:val="0"/>
          <w:marRight w:val="0"/>
          <w:marTop w:val="0"/>
          <w:marBottom w:val="0"/>
          <w:divBdr>
            <w:top w:val="none" w:sz="0" w:space="0" w:color="auto"/>
            <w:left w:val="none" w:sz="0" w:space="0" w:color="auto"/>
            <w:bottom w:val="none" w:sz="0" w:space="0" w:color="auto"/>
            <w:right w:val="none" w:sz="0" w:space="0" w:color="auto"/>
          </w:divBdr>
        </w:div>
        <w:div w:id="215047075">
          <w:marLeft w:val="0"/>
          <w:marRight w:val="0"/>
          <w:marTop w:val="0"/>
          <w:marBottom w:val="0"/>
          <w:divBdr>
            <w:top w:val="none" w:sz="0" w:space="0" w:color="auto"/>
            <w:left w:val="none" w:sz="0" w:space="0" w:color="auto"/>
            <w:bottom w:val="none" w:sz="0" w:space="0" w:color="auto"/>
            <w:right w:val="none" w:sz="0" w:space="0" w:color="auto"/>
          </w:divBdr>
        </w:div>
        <w:div w:id="560944449">
          <w:marLeft w:val="0"/>
          <w:marRight w:val="0"/>
          <w:marTop w:val="0"/>
          <w:marBottom w:val="0"/>
          <w:divBdr>
            <w:top w:val="none" w:sz="0" w:space="0" w:color="auto"/>
            <w:left w:val="none" w:sz="0" w:space="0" w:color="auto"/>
            <w:bottom w:val="none" w:sz="0" w:space="0" w:color="auto"/>
            <w:right w:val="none" w:sz="0" w:space="0" w:color="auto"/>
          </w:divBdr>
        </w:div>
        <w:div w:id="1216964454">
          <w:marLeft w:val="0"/>
          <w:marRight w:val="0"/>
          <w:marTop w:val="0"/>
          <w:marBottom w:val="0"/>
          <w:divBdr>
            <w:top w:val="none" w:sz="0" w:space="0" w:color="auto"/>
            <w:left w:val="none" w:sz="0" w:space="0" w:color="auto"/>
            <w:bottom w:val="none" w:sz="0" w:space="0" w:color="auto"/>
            <w:right w:val="none" w:sz="0" w:space="0" w:color="auto"/>
          </w:divBdr>
        </w:div>
        <w:div w:id="1303272893">
          <w:marLeft w:val="0"/>
          <w:marRight w:val="0"/>
          <w:marTop w:val="0"/>
          <w:marBottom w:val="0"/>
          <w:divBdr>
            <w:top w:val="none" w:sz="0" w:space="0" w:color="auto"/>
            <w:left w:val="none" w:sz="0" w:space="0" w:color="auto"/>
            <w:bottom w:val="none" w:sz="0" w:space="0" w:color="auto"/>
            <w:right w:val="none" w:sz="0" w:space="0" w:color="auto"/>
          </w:divBdr>
        </w:div>
        <w:div w:id="1175417194">
          <w:marLeft w:val="0"/>
          <w:marRight w:val="0"/>
          <w:marTop w:val="0"/>
          <w:marBottom w:val="0"/>
          <w:divBdr>
            <w:top w:val="none" w:sz="0" w:space="0" w:color="auto"/>
            <w:left w:val="none" w:sz="0" w:space="0" w:color="auto"/>
            <w:bottom w:val="none" w:sz="0" w:space="0" w:color="auto"/>
            <w:right w:val="none" w:sz="0" w:space="0" w:color="auto"/>
          </w:divBdr>
        </w:div>
        <w:div w:id="393699741">
          <w:marLeft w:val="0"/>
          <w:marRight w:val="0"/>
          <w:marTop w:val="0"/>
          <w:marBottom w:val="0"/>
          <w:divBdr>
            <w:top w:val="none" w:sz="0" w:space="0" w:color="auto"/>
            <w:left w:val="none" w:sz="0" w:space="0" w:color="auto"/>
            <w:bottom w:val="none" w:sz="0" w:space="0" w:color="auto"/>
            <w:right w:val="none" w:sz="0" w:space="0" w:color="auto"/>
          </w:divBdr>
        </w:div>
        <w:div w:id="2026320655">
          <w:marLeft w:val="0"/>
          <w:marRight w:val="0"/>
          <w:marTop w:val="0"/>
          <w:marBottom w:val="0"/>
          <w:divBdr>
            <w:top w:val="none" w:sz="0" w:space="0" w:color="auto"/>
            <w:left w:val="none" w:sz="0" w:space="0" w:color="auto"/>
            <w:bottom w:val="none" w:sz="0" w:space="0" w:color="auto"/>
            <w:right w:val="none" w:sz="0" w:space="0" w:color="auto"/>
          </w:divBdr>
        </w:div>
        <w:div w:id="1352532150">
          <w:marLeft w:val="0"/>
          <w:marRight w:val="0"/>
          <w:marTop w:val="0"/>
          <w:marBottom w:val="0"/>
          <w:divBdr>
            <w:top w:val="none" w:sz="0" w:space="0" w:color="auto"/>
            <w:left w:val="none" w:sz="0" w:space="0" w:color="auto"/>
            <w:bottom w:val="none" w:sz="0" w:space="0" w:color="auto"/>
            <w:right w:val="none" w:sz="0" w:space="0" w:color="auto"/>
          </w:divBdr>
        </w:div>
        <w:div w:id="1020929763">
          <w:marLeft w:val="0"/>
          <w:marRight w:val="0"/>
          <w:marTop w:val="0"/>
          <w:marBottom w:val="0"/>
          <w:divBdr>
            <w:top w:val="none" w:sz="0" w:space="0" w:color="auto"/>
            <w:left w:val="none" w:sz="0" w:space="0" w:color="auto"/>
            <w:bottom w:val="none" w:sz="0" w:space="0" w:color="auto"/>
            <w:right w:val="none" w:sz="0" w:space="0" w:color="auto"/>
          </w:divBdr>
        </w:div>
        <w:div w:id="1523741677">
          <w:marLeft w:val="0"/>
          <w:marRight w:val="0"/>
          <w:marTop w:val="0"/>
          <w:marBottom w:val="0"/>
          <w:divBdr>
            <w:top w:val="none" w:sz="0" w:space="0" w:color="auto"/>
            <w:left w:val="none" w:sz="0" w:space="0" w:color="auto"/>
            <w:bottom w:val="none" w:sz="0" w:space="0" w:color="auto"/>
            <w:right w:val="none" w:sz="0" w:space="0" w:color="auto"/>
          </w:divBdr>
        </w:div>
        <w:div w:id="1717240109">
          <w:marLeft w:val="0"/>
          <w:marRight w:val="0"/>
          <w:marTop w:val="0"/>
          <w:marBottom w:val="0"/>
          <w:divBdr>
            <w:top w:val="none" w:sz="0" w:space="0" w:color="auto"/>
            <w:left w:val="none" w:sz="0" w:space="0" w:color="auto"/>
            <w:bottom w:val="none" w:sz="0" w:space="0" w:color="auto"/>
            <w:right w:val="none" w:sz="0" w:space="0" w:color="auto"/>
          </w:divBdr>
        </w:div>
        <w:div w:id="1553273705">
          <w:marLeft w:val="0"/>
          <w:marRight w:val="0"/>
          <w:marTop w:val="0"/>
          <w:marBottom w:val="0"/>
          <w:divBdr>
            <w:top w:val="none" w:sz="0" w:space="0" w:color="auto"/>
            <w:left w:val="none" w:sz="0" w:space="0" w:color="auto"/>
            <w:bottom w:val="none" w:sz="0" w:space="0" w:color="auto"/>
            <w:right w:val="none" w:sz="0" w:space="0" w:color="auto"/>
          </w:divBdr>
        </w:div>
        <w:div w:id="877858198">
          <w:marLeft w:val="0"/>
          <w:marRight w:val="0"/>
          <w:marTop w:val="0"/>
          <w:marBottom w:val="0"/>
          <w:divBdr>
            <w:top w:val="none" w:sz="0" w:space="0" w:color="auto"/>
            <w:left w:val="none" w:sz="0" w:space="0" w:color="auto"/>
            <w:bottom w:val="none" w:sz="0" w:space="0" w:color="auto"/>
            <w:right w:val="none" w:sz="0" w:space="0" w:color="auto"/>
          </w:divBdr>
        </w:div>
        <w:div w:id="1051344318">
          <w:marLeft w:val="0"/>
          <w:marRight w:val="0"/>
          <w:marTop w:val="0"/>
          <w:marBottom w:val="0"/>
          <w:divBdr>
            <w:top w:val="none" w:sz="0" w:space="0" w:color="auto"/>
            <w:left w:val="none" w:sz="0" w:space="0" w:color="auto"/>
            <w:bottom w:val="none" w:sz="0" w:space="0" w:color="auto"/>
            <w:right w:val="none" w:sz="0" w:space="0" w:color="auto"/>
          </w:divBdr>
        </w:div>
        <w:div w:id="839389496">
          <w:marLeft w:val="0"/>
          <w:marRight w:val="0"/>
          <w:marTop w:val="0"/>
          <w:marBottom w:val="0"/>
          <w:divBdr>
            <w:top w:val="none" w:sz="0" w:space="0" w:color="auto"/>
            <w:left w:val="none" w:sz="0" w:space="0" w:color="auto"/>
            <w:bottom w:val="none" w:sz="0" w:space="0" w:color="auto"/>
            <w:right w:val="none" w:sz="0" w:space="0" w:color="auto"/>
          </w:divBdr>
        </w:div>
        <w:div w:id="818813670">
          <w:marLeft w:val="0"/>
          <w:marRight w:val="0"/>
          <w:marTop w:val="0"/>
          <w:marBottom w:val="0"/>
          <w:divBdr>
            <w:top w:val="none" w:sz="0" w:space="0" w:color="auto"/>
            <w:left w:val="none" w:sz="0" w:space="0" w:color="auto"/>
            <w:bottom w:val="none" w:sz="0" w:space="0" w:color="auto"/>
            <w:right w:val="none" w:sz="0" w:space="0" w:color="auto"/>
          </w:divBdr>
        </w:div>
        <w:div w:id="2069647484">
          <w:marLeft w:val="0"/>
          <w:marRight w:val="0"/>
          <w:marTop w:val="0"/>
          <w:marBottom w:val="0"/>
          <w:divBdr>
            <w:top w:val="none" w:sz="0" w:space="0" w:color="auto"/>
            <w:left w:val="none" w:sz="0" w:space="0" w:color="auto"/>
            <w:bottom w:val="none" w:sz="0" w:space="0" w:color="auto"/>
            <w:right w:val="none" w:sz="0" w:space="0" w:color="auto"/>
          </w:divBdr>
        </w:div>
        <w:div w:id="1106802816">
          <w:marLeft w:val="0"/>
          <w:marRight w:val="0"/>
          <w:marTop w:val="0"/>
          <w:marBottom w:val="0"/>
          <w:divBdr>
            <w:top w:val="none" w:sz="0" w:space="0" w:color="auto"/>
            <w:left w:val="none" w:sz="0" w:space="0" w:color="auto"/>
            <w:bottom w:val="none" w:sz="0" w:space="0" w:color="auto"/>
            <w:right w:val="none" w:sz="0" w:space="0" w:color="auto"/>
          </w:divBdr>
        </w:div>
        <w:div w:id="1865243772">
          <w:marLeft w:val="0"/>
          <w:marRight w:val="0"/>
          <w:marTop w:val="0"/>
          <w:marBottom w:val="0"/>
          <w:divBdr>
            <w:top w:val="none" w:sz="0" w:space="0" w:color="auto"/>
            <w:left w:val="none" w:sz="0" w:space="0" w:color="auto"/>
            <w:bottom w:val="none" w:sz="0" w:space="0" w:color="auto"/>
            <w:right w:val="none" w:sz="0" w:space="0" w:color="auto"/>
          </w:divBdr>
        </w:div>
        <w:div w:id="746878686">
          <w:marLeft w:val="0"/>
          <w:marRight w:val="0"/>
          <w:marTop w:val="0"/>
          <w:marBottom w:val="0"/>
          <w:divBdr>
            <w:top w:val="none" w:sz="0" w:space="0" w:color="auto"/>
            <w:left w:val="none" w:sz="0" w:space="0" w:color="auto"/>
            <w:bottom w:val="none" w:sz="0" w:space="0" w:color="auto"/>
            <w:right w:val="none" w:sz="0" w:space="0" w:color="auto"/>
          </w:divBdr>
        </w:div>
        <w:div w:id="1312438945">
          <w:marLeft w:val="0"/>
          <w:marRight w:val="0"/>
          <w:marTop w:val="0"/>
          <w:marBottom w:val="0"/>
          <w:divBdr>
            <w:top w:val="none" w:sz="0" w:space="0" w:color="auto"/>
            <w:left w:val="none" w:sz="0" w:space="0" w:color="auto"/>
            <w:bottom w:val="none" w:sz="0" w:space="0" w:color="auto"/>
            <w:right w:val="none" w:sz="0" w:space="0" w:color="auto"/>
          </w:divBdr>
        </w:div>
        <w:div w:id="1187796358">
          <w:marLeft w:val="0"/>
          <w:marRight w:val="0"/>
          <w:marTop w:val="0"/>
          <w:marBottom w:val="0"/>
          <w:divBdr>
            <w:top w:val="none" w:sz="0" w:space="0" w:color="auto"/>
            <w:left w:val="none" w:sz="0" w:space="0" w:color="auto"/>
            <w:bottom w:val="none" w:sz="0" w:space="0" w:color="auto"/>
            <w:right w:val="none" w:sz="0" w:space="0" w:color="auto"/>
          </w:divBdr>
        </w:div>
        <w:div w:id="396512872">
          <w:marLeft w:val="0"/>
          <w:marRight w:val="0"/>
          <w:marTop w:val="0"/>
          <w:marBottom w:val="0"/>
          <w:divBdr>
            <w:top w:val="none" w:sz="0" w:space="0" w:color="auto"/>
            <w:left w:val="none" w:sz="0" w:space="0" w:color="auto"/>
            <w:bottom w:val="none" w:sz="0" w:space="0" w:color="auto"/>
            <w:right w:val="none" w:sz="0" w:space="0" w:color="auto"/>
          </w:divBdr>
        </w:div>
        <w:div w:id="28802502">
          <w:marLeft w:val="0"/>
          <w:marRight w:val="0"/>
          <w:marTop w:val="0"/>
          <w:marBottom w:val="0"/>
          <w:divBdr>
            <w:top w:val="none" w:sz="0" w:space="0" w:color="auto"/>
            <w:left w:val="none" w:sz="0" w:space="0" w:color="auto"/>
            <w:bottom w:val="none" w:sz="0" w:space="0" w:color="auto"/>
            <w:right w:val="none" w:sz="0" w:space="0" w:color="auto"/>
          </w:divBdr>
        </w:div>
        <w:div w:id="905411350">
          <w:marLeft w:val="0"/>
          <w:marRight w:val="0"/>
          <w:marTop w:val="0"/>
          <w:marBottom w:val="0"/>
          <w:divBdr>
            <w:top w:val="none" w:sz="0" w:space="0" w:color="auto"/>
            <w:left w:val="none" w:sz="0" w:space="0" w:color="auto"/>
            <w:bottom w:val="none" w:sz="0" w:space="0" w:color="auto"/>
            <w:right w:val="none" w:sz="0" w:space="0" w:color="auto"/>
          </w:divBdr>
        </w:div>
        <w:div w:id="771439260">
          <w:marLeft w:val="0"/>
          <w:marRight w:val="0"/>
          <w:marTop w:val="0"/>
          <w:marBottom w:val="0"/>
          <w:divBdr>
            <w:top w:val="none" w:sz="0" w:space="0" w:color="auto"/>
            <w:left w:val="none" w:sz="0" w:space="0" w:color="auto"/>
            <w:bottom w:val="none" w:sz="0" w:space="0" w:color="auto"/>
            <w:right w:val="none" w:sz="0" w:space="0" w:color="auto"/>
          </w:divBdr>
        </w:div>
        <w:div w:id="54623427">
          <w:marLeft w:val="0"/>
          <w:marRight w:val="0"/>
          <w:marTop w:val="0"/>
          <w:marBottom w:val="0"/>
          <w:divBdr>
            <w:top w:val="none" w:sz="0" w:space="0" w:color="auto"/>
            <w:left w:val="none" w:sz="0" w:space="0" w:color="auto"/>
            <w:bottom w:val="none" w:sz="0" w:space="0" w:color="auto"/>
            <w:right w:val="none" w:sz="0" w:space="0" w:color="auto"/>
          </w:divBdr>
        </w:div>
        <w:div w:id="1812094832">
          <w:marLeft w:val="0"/>
          <w:marRight w:val="0"/>
          <w:marTop w:val="0"/>
          <w:marBottom w:val="0"/>
          <w:divBdr>
            <w:top w:val="none" w:sz="0" w:space="0" w:color="auto"/>
            <w:left w:val="none" w:sz="0" w:space="0" w:color="auto"/>
            <w:bottom w:val="none" w:sz="0" w:space="0" w:color="auto"/>
            <w:right w:val="none" w:sz="0" w:space="0" w:color="auto"/>
          </w:divBdr>
        </w:div>
        <w:div w:id="1952586169">
          <w:marLeft w:val="0"/>
          <w:marRight w:val="0"/>
          <w:marTop w:val="0"/>
          <w:marBottom w:val="0"/>
          <w:divBdr>
            <w:top w:val="none" w:sz="0" w:space="0" w:color="auto"/>
            <w:left w:val="none" w:sz="0" w:space="0" w:color="auto"/>
            <w:bottom w:val="none" w:sz="0" w:space="0" w:color="auto"/>
            <w:right w:val="none" w:sz="0" w:space="0" w:color="auto"/>
          </w:divBdr>
        </w:div>
        <w:div w:id="1459254705">
          <w:marLeft w:val="0"/>
          <w:marRight w:val="0"/>
          <w:marTop w:val="0"/>
          <w:marBottom w:val="0"/>
          <w:divBdr>
            <w:top w:val="none" w:sz="0" w:space="0" w:color="auto"/>
            <w:left w:val="none" w:sz="0" w:space="0" w:color="auto"/>
            <w:bottom w:val="none" w:sz="0" w:space="0" w:color="auto"/>
            <w:right w:val="none" w:sz="0" w:space="0" w:color="auto"/>
          </w:divBdr>
        </w:div>
        <w:div w:id="620958600">
          <w:marLeft w:val="0"/>
          <w:marRight w:val="0"/>
          <w:marTop w:val="0"/>
          <w:marBottom w:val="0"/>
          <w:divBdr>
            <w:top w:val="none" w:sz="0" w:space="0" w:color="auto"/>
            <w:left w:val="none" w:sz="0" w:space="0" w:color="auto"/>
            <w:bottom w:val="none" w:sz="0" w:space="0" w:color="auto"/>
            <w:right w:val="none" w:sz="0" w:space="0" w:color="auto"/>
          </w:divBdr>
        </w:div>
        <w:div w:id="1374428581">
          <w:marLeft w:val="0"/>
          <w:marRight w:val="0"/>
          <w:marTop w:val="0"/>
          <w:marBottom w:val="0"/>
          <w:divBdr>
            <w:top w:val="none" w:sz="0" w:space="0" w:color="auto"/>
            <w:left w:val="none" w:sz="0" w:space="0" w:color="auto"/>
            <w:bottom w:val="none" w:sz="0" w:space="0" w:color="auto"/>
            <w:right w:val="none" w:sz="0" w:space="0" w:color="auto"/>
          </w:divBdr>
        </w:div>
        <w:div w:id="1234318055">
          <w:marLeft w:val="0"/>
          <w:marRight w:val="0"/>
          <w:marTop w:val="0"/>
          <w:marBottom w:val="0"/>
          <w:divBdr>
            <w:top w:val="none" w:sz="0" w:space="0" w:color="auto"/>
            <w:left w:val="none" w:sz="0" w:space="0" w:color="auto"/>
            <w:bottom w:val="none" w:sz="0" w:space="0" w:color="auto"/>
            <w:right w:val="none" w:sz="0" w:space="0" w:color="auto"/>
          </w:divBdr>
        </w:div>
        <w:div w:id="1660571926">
          <w:marLeft w:val="0"/>
          <w:marRight w:val="0"/>
          <w:marTop w:val="0"/>
          <w:marBottom w:val="0"/>
          <w:divBdr>
            <w:top w:val="none" w:sz="0" w:space="0" w:color="auto"/>
            <w:left w:val="none" w:sz="0" w:space="0" w:color="auto"/>
            <w:bottom w:val="none" w:sz="0" w:space="0" w:color="auto"/>
            <w:right w:val="none" w:sz="0" w:space="0" w:color="auto"/>
          </w:divBdr>
        </w:div>
        <w:div w:id="1642615616">
          <w:marLeft w:val="0"/>
          <w:marRight w:val="0"/>
          <w:marTop w:val="0"/>
          <w:marBottom w:val="0"/>
          <w:divBdr>
            <w:top w:val="none" w:sz="0" w:space="0" w:color="auto"/>
            <w:left w:val="none" w:sz="0" w:space="0" w:color="auto"/>
            <w:bottom w:val="none" w:sz="0" w:space="0" w:color="auto"/>
            <w:right w:val="none" w:sz="0" w:space="0" w:color="auto"/>
          </w:divBdr>
        </w:div>
        <w:div w:id="1633095924">
          <w:marLeft w:val="0"/>
          <w:marRight w:val="0"/>
          <w:marTop w:val="0"/>
          <w:marBottom w:val="0"/>
          <w:divBdr>
            <w:top w:val="none" w:sz="0" w:space="0" w:color="auto"/>
            <w:left w:val="none" w:sz="0" w:space="0" w:color="auto"/>
            <w:bottom w:val="none" w:sz="0" w:space="0" w:color="auto"/>
            <w:right w:val="none" w:sz="0" w:space="0" w:color="auto"/>
          </w:divBdr>
        </w:div>
        <w:div w:id="1921713804">
          <w:marLeft w:val="0"/>
          <w:marRight w:val="0"/>
          <w:marTop w:val="0"/>
          <w:marBottom w:val="0"/>
          <w:divBdr>
            <w:top w:val="none" w:sz="0" w:space="0" w:color="auto"/>
            <w:left w:val="none" w:sz="0" w:space="0" w:color="auto"/>
            <w:bottom w:val="none" w:sz="0" w:space="0" w:color="auto"/>
            <w:right w:val="none" w:sz="0" w:space="0" w:color="auto"/>
          </w:divBdr>
        </w:div>
        <w:div w:id="1135609847">
          <w:marLeft w:val="0"/>
          <w:marRight w:val="0"/>
          <w:marTop w:val="0"/>
          <w:marBottom w:val="0"/>
          <w:divBdr>
            <w:top w:val="none" w:sz="0" w:space="0" w:color="auto"/>
            <w:left w:val="none" w:sz="0" w:space="0" w:color="auto"/>
            <w:bottom w:val="none" w:sz="0" w:space="0" w:color="auto"/>
            <w:right w:val="none" w:sz="0" w:space="0" w:color="auto"/>
          </w:divBdr>
        </w:div>
        <w:div w:id="260914500">
          <w:marLeft w:val="0"/>
          <w:marRight w:val="0"/>
          <w:marTop w:val="0"/>
          <w:marBottom w:val="0"/>
          <w:divBdr>
            <w:top w:val="none" w:sz="0" w:space="0" w:color="auto"/>
            <w:left w:val="none" w:sz="0" w:space="0" w:color="auto"/>
            <w:bottom w:val="none" w:sz="0" w:space="0" w:color="auto"/>
            <w:right w:val="none" w:sz="0" w:space="0" w:color="auto"/>
          </w:divBdr>
        </w:div>
        <w:div w:id="1663966626">
          <w:marLeft w:val="0"/>
          <w:marRight w:val="0"/>
          <w:marTop w:val="0"/>
          <w:marBottom w:val="0"/>
          <w:divBdr>
            <w:top w:val="none" w:sz="0" w:space="0" w:color="auto"/>
            <w:left w:val="none" w:sz="0" w:space="0" w:color="auto"/>
            <w:bottom w:val="none" w:sz="0" w:space="0" w:color="auto"/>
            <w:right w:val="none" w:sz="0" w:space="0" w:color="auto"/>
          </w:divBdr>
        </w:div>
        <w:div w:id="1386102917">
          <w:marLeft w:val="0"/>
          <w:marRight w:val="0"/>
          <w:marTop w:val="0"/>
          <w:marBottom w:val="0"/>
          <w:divBdr>
            <w:top w:val="none" w:sz="0" w:space="0" w:color="auto"/>
            <w:left w:val="none" w:sz="0" w:space="0" w:color="auto"/>
            <w:bottom w:val="none" w:sz="0" w:space="0" w:color="auto"/>
            <w:right w:val="none" w:sz="0" w:space="0" w:color="auto"/>
          </w:divBdr>
        </w:div>
        <w:div w:id="1264992300">
          <w:marLeft w:val="0"/>
          <w:marRight w:val="0"/>
          <w:marTop w:val="0"/>
          <w:marBottom w:val="0"/>
          <w:divBdr>
            <w:top w:val="none" w:sz="0" w:space="0" w:color="auto"/>
            <w:left w:val="none" w:sz="0" w:space="0" w:color="auto"/>
            <w:bottom w:val="none" w:sz="0" w:space="0" w:color="auto"/>
            <w:right w:val="none" w:sz="0" w:space="0" w:color="auto"/>
          </w:divBdr>
        </w:div>
        <w:div w:id="1632326855">
          <w:marLeft w:val="0"/>
          <w:marRight w:val="0"/>
          <w:marTop w:val="0"/>
          <w:marBottom w:val="0"/>
          <w:divBdr>
            <w:top w:val="none" w:sz="0" w:space="0" w:color="auto"/>
            <w:left w:val="none" w:sz="0" w:space="0" w:color="auto"/>
            <w:bottom w:val="none" w:sz="0" w:space="0" w:color="auto"/>
            <w:right w:val="none" w:sz="0" w:space="0" w:color="auto"/>
          </w:divBdr>
        </w:div>
        <w:div w:id="1726250104">
          <w:marLeft w:val="0"/>
          <w:marRight w:val="0"/>
          <w:marTop w:val="0"/>
          <w:marBottom w:val="0"/>
          <w:divBdr>
            <w:top w:val="none" w:sz="0" w:space="0" w:color="auto"/>
            <w:left w:val="none" w:sz="0" w:space="0" w:color="auto"/>
            <w:bottom w:val="none" w:sz="0" w:space="0" w:color="auto"/>
            <w:right w:val="none" w:sz="0" w:space="0" w:color="auto"/>
          </w:divBdr>
        </w:div>
        <w:div w:id="1096099432">
          <w:marLeft w:val="0"/>
          <w:marRight w:val="0"/>
          <w:marTop w:val="0"/>
          <w:marBottom w:val="0"/>
          <w:divBdr>
            <w:top w:val="none" w:sz="0" w:space="0" w:color="auto"/>
            <w:left w:val="none" w:sz="0" w:space="0" w:color="auto"/>
            <w:bottom w:val="none" w:sz="0" w:space="0" w:color="auto"/>
            <w:right w:val="none" w:sz="0" w:space="0" w:color="auto"/>
          </w:divBdr>
        </w:div>
        <w:div w:id="2107192138">
          <w:marLeft w:val="0"/>
          <w:marRight w:val="0"/>
          <w:marTop w:val="0"/>
          <w:marBottom w:val="0"/>
          <w:divBdr>
            <w:top w:val="none" w:sz="0" w:space="0" w:color="auto"/>
            <w:left w:val="none" w:sz="0" w:space="0" w:color="auto"/>
            <w:bottom w:val="none" w:sz="0" w:space="0" w:color="auto"/>
            <w:right w:val="none" w:sz="0" w:space="0" w:color="auto"/>
          </w:divBdr>
        </w:div>
        <w:div w:id="1082873236">
          <w:marLeft w:val="0"/>
          <w:marRight w:val="0"/>
          <w:marTop w:val="0"/>
          <w:marBottom w:val="0"/>
          <w:divBdr>
            <w:top w:val="none" w:sz="0" w:space="0" w:color="auto"/>
            <w:left w:val="none" w:sz="0" w:space="0" w:color="auto"/>
            <w:bottom w:val="none" w:sz="0" w:space="0" w:color="auto"/>
            <w:right w:val="none" w:sz="0" w:space="0" w:color="auto"/>
          </w:divBdr>
        </w:div>
        <w:div w:id="967277696">
          <w:marLeft w:val="0"/>
          <w:marRight w:val="0"/>
          <w:marTop w:val="0"/>
          <w:marBottom w:val="0"/>
          <w:divBdr>
            <w:top w:val="none" w:sz="0" w:space="0" w:color="auto"/>
            <w:left w:val="none" w:sz="0" w:space="0" w:color="auto"/>
            <w:bottom w:val="none" w:sz="0" w:space="0" w:color="auto"/>
            <w:right w:val="none" w:sz="0" w:space="0" w:color="auto"/>
          </w:divBdr>
        </w:div>
        <w:div w:id="1581987973">
          <w:marLeft w:val="0"/>
          <w:marRight w:val="0"/>
          <w:marTop w:val="0"/>
          <w:marBottom w:val="0"/>
          <w:divBdr>
            <w:top w:val="none" w:sz="0" w:space="0" w:color="auto"/>
            <w:left w:val="none" w:sz="0" w:space="0" w:color="auto"/>
            <w:bottom w:val="none" w:sz="0" w:space="0" w:color="auto"/>
            <w:right w:val="none" w:sz="0" w:space="0" w:color="auto"/>
          </w:divBdr>
        </w:div>
        <w:div w:id="1289973326">
          <w:marLeft w:val="0"/>
          <w:marRight w:val="0"/>
          <w:marTop w:val="0"/>
          <w:marBottom w:val="0"/>
          <w:divBdr>
            <w:top w:val="none" w:sz="0" w:space="0" w:color="auto"/>
            <w:left w:val="none" w:sz="0" w:space="0" w:color="auto"/>
            <w:bottom w:val="none" w:sz="0" w:space="0" w:color="auto"/>
            <w:right w:val="none" w:sz="0" w:space="0" w:color="auto"/>
          </w:divBdr>
        </w:div>
        <w:div w:id="1158955170">
          <w:marLeft w:val="0"/>
          <w:marRight w:val="0"/>
          <w:marTop w:val="0"/>
          <w:marBottom w:val="0"/>
          <w:divBdr>
            <w:top w:val="none" w:sz="0" w:space="0" w:color="auto"/>
            <w:left w:val="none" w:sz="0" w:space="0" w:color="auto"/>
            <w:bottom w:val="none" w:sz="0" w:space="0" w:color="auto"/>
            <w:right w:val="none" w:sz="0" w:space="0" w:color="auto"/>
          </w:divBdr>
        </w:div>
        <w:div w:id="384257545">
          <w:marLeft w:val="0"/>
          <w:marRight w:val="0"/>
          <w:marTop w:val="0"/>
          <w:marBottom w:val="0"/>
          <w:divBdr>
            <w:top w:val="none" w:sz="0" w:space="0" w:color="auto"/>
            <w:left w:val="none" w:sz="0" w:space="0" w:color="auto"/>
            <w:bottom w:val="none" w:sz="0" w:space="0" w:color="auto"/>
            <w:right w:val="none" w:sz="0" w:space="0" w:color="auto"/>
          </w:divBdr>
        </w:div>
        <w:div w:id="1152212239">
          <w:marLeft w:val="0"/>
          <w:marRight w:val="0"/>
          <w:marTop w:val="0"/>
          <w:marBottom w:val="0"/>
          <w:divBdr>
            <w:top w:val="none" w:sz="0" w:space="0" w:color="auto"/>
            <w:left w:val="none" w:sz="0" w:space="0" w:color="auto"/>
            <w:bottom w:val="none" w:sz="0" w:space="0" w:color="auto"/>
            <w:right w:val="none" w:sz="0" w:space="0" w:color="auto"/>
          </w:divBdr>
        </w:div>
        <w:div w:id="472794957">
          <w:marLeft w:val="0"/>
          <w:marRight w:val="0"/>
          <w:marTop w:val="0"/>
          <w:marBottom w:val="0"/>
          <w:divBdr>
            <w:top w:val="none" w:sz="0" w:space="0" w:color="auto"/>
            <w:left w:val="none" w:sz="0" w:space="0" w:color="auto"/>
            <w:bottom w:val="none" w:sz="0" w:space="0" w:color="auto"/>
            <w:right w:val="none" w:sz="0" w:space="0" w:color="auto"/>
          </w:divBdr>
        </w:div>
        <w:div w:id="2049332271">
          <w:marLeft w:val="0"/>
          <w:marRight w:val="0"/>
          <w:marTop w:val="0"/>
          <w:marBottom w:val="0"/>
          <w:divBdr>
            <w:top w:val="none" w:sz="0" w:space="0" w:color="auto"/>
            <w:left w:val="none" w:sz="0" w:space="0" w:color="auto"/>
            <w:bottom w:val="none" w:sz="0" w:space="0" w:color="auto"/>
            <w:right w:val="none" w:sz="0" w:space="0" w:color="auto"/>
          </w:divBdr>
        </w:div>
        <w:div w:id="1066294546">
          <w:marLeft w:val="0"/>
          <w:marRight w:val="0"/>
          <w:marTop w:val="0"/>
          <w:marBottom w:val="0"/>
          <w:divBdr>
            <w:top w:val="none" w:sz="0" w:space="0" w:color="auto"/>
            <w:left w:val="none" w:sz="0" w:space="0" w:color="auto"/>
            <w:bottom w:val="none" w:sz="0" w:space="0" w:color="auto"/>
            <w:right w:val="none" w:sz="0" w:space="0" w:color="auto"/>
          </w:divBdr>
        </w:div>
        <w:div w:id="699626731">
          <w:marLeft w:val="0"/>
          <w:marRight w:val="0"/>
          <w:marTop w:val="0"/>
          <w:marBottom w:val="0"/>
          <w:divBdr>
            <w:top w:val="none" w:sz="0" w:space="0" w:color="auto"/>
            <w:left w:val="none" w:sz="0" w:space="0" w:color="auto"/>
            <w:bottom w:val="none" w:sz="0" w:space="0" w:color="auto"/>
            <w:right w:val="none" w:sz="0" w:space="0" w:color="auto"/>
          </w:divBdr>
        </w:div>
        <w:div w:id="2000423347">
          <w:marLeft w:val="0"/>
          <w:marRight w:val="0"/>
          <w:marTop w:val="0"/>
          <w:marBottom w:val="0"/>
          <w:divBdr>
            <w:top w:val="none" w:sz="0" w:space="0" w:color="auto"/>
            <w:left w:val="none" w:sz="0" w:space="0" w:color="auto"/>
            <w:bottom w:val="none" w:sz="0" w:space="0" w:color="auto"/>
            <w:right w:val="none" w:sz="0" w:space="0" w:color="auto"/>
          </w:divBdr>
        </w:div>
        <w:div w:id="492260143">
          <w:marLeft w:val="0"/>
          <w:marRight w:val="0"/>
          <w:marTop w:val="0"/>
          <w:marBottom w:val="0"/>
          <w:divBdr>
            <w:top w:val="none" w:sz="0" w:space="0" w:color="auto"/>
            <w:left w:val="none" w:sz="0" w:space="0" w:color="auto"/>
            <w:bottom w:val="none" w:sz="0" w:space="0" w:color="auto"/>
            <w:right w:val="none" w:sz="0" w:space="0" w:color="auto"/>
          </w:divBdr>
        </w:div>
        <w:div w:id="1502429104">
          <w:marLeft w:val="0"/>
          <w:marRight w:val="0"/>
          <w:marTop w:val="0"/>
          <w:marBottom w:val="0"/>
          <w:divBdr>
            <w:top w:val="none" w:sz="0" w:space="0" w:color="auto"/>
            <w:left w:val="none" w:sz="0" w:space="0" w:color="auto"/>
            <w:bottom w:val="none" w:sz="0" w:space="0" w:color="auto"/>
            <w:right w:val="none" w:sz="0" w:space="0" w:color="auto"/>
          </w:divBdr>
        </w:div>
        <w:div w:id="1350764744">
          <w:marLeft w:val="0"/>
          <w:marRight w:val="0"/>
          <w:marTop w:val="0"/>
          <w:marBottom w:val="0"/>
          <w:divBdr>
            <w:top w:val="none" w:sz="0" w:space="0" w:color="auto"/>
            <w:left w:val="none" w:sz="0" w:space="0" w:color="auto"/>
            <w:bottom w:val="none" w:sz="0" w:space="0" w:color="auto"/>
            <w:right w:val="none" w:sz="0" w:space="0" w:color="auto"/>
          </w:divBdr>
        </w:div>
        <w:div w:id="1651254670">
          <w:marLeft w:val="0"/>
          <w:marRight w:val="0"/>
          <w:marTop w:val="0"/>
          <w:marBottom w:val="0"/>
          <w:divBdr>
            <w:top w:val="none" w:sz="0" w:space="0" w:color="auto"/>
            <w:left w:val="none" w:sz="0" w:space="0" w:color="auto"/>
            <w:bottom w:val="none" w:sz="0" w:space="0" w:color="auto"/>
            <w:right w:val="none" w:sz="0" w:space="0" w:color="auto"/>
          </w:divBdr>
        </w:div>
        <w:div w:id="1109737940">
          <w:marLeft w:val="0"/>
          <w:marRight w:val="0"/>
          <w:marTop w:val="0"/>
          <w:marBottom w:val="0"/>
          <w:divBdr>
            <w:top w:val="none" w:sz="0" w:space="0" w:color="auto"/>
            <w:left w:val="none" w:sz="0" w:space="0" w:color="auto"/>
            <w:bottom w:val="none" w:sz="0" w:space="0" w:color="auto"/>
            <w:right w:val="none" w:sz="0" w:space="0" w:color="auto"/>
          </w:divBdr>
        </w:div>
        <w:div w:id="188951619">
          <w:marLeft w:val="0"/>
          <w:marRight w:val="0"/>
          <w:marTop w:val="0"/>
          <w:marBottom w:val="0"/>
          <w:divBdr>
            <w:top w:val="none" w:sz="0" w:space="0" w:color="auto"/>
            <w:left w:val="none" w:sz="0" w:space="0" w:color="auto"/>
            <w:bottom w:val="none" w:sz="0" w:space="0" w:color="auto"/>
            <w:right w:val="none" w:sz="0" w:space="0" w:color="auto"/>
          </w:divBdr>
        </w:div>
        <w:div w:id="2134056236">
          <w:marLeft w:val="0"/>
          <w:marRight w:val="0"/>
          <w:marTop w:val="0"/>
          <w:marBottom w:val="0"/>
          <w:divBdr>
            <w:top w:val="none" w:sz="0" w:space="0" w:color="auto"/>
            <w:left w:val="none" w:sz="0" w:space="0" w:color="auto"/>
            <w:bottom w:val="none" w:sz="0" w:space="0" w:color="auto"/>
            <w:right w:val="none" w:sz="0" w:space="0" w:color="auto"/>
          </w:divBdr>
        </w:div>
        <w:div w:id="779879557">
          <w:marLeft w:val="0"/>
          <w:marRight w:val="0"/>
          <w:marTop w:val="0"/>
          <w:marBottom w:val="0"/>
          <w:divBdr>
            <w:top w:val="none" w:sz="0" w:space="0" w:color="auto"/>
            <w:left w:val="none" w:sz="0" w:space="0" w:color="auto"/>
            <w:bottom w:val="none" w:sz="0" w:space="0" w:color="auto"/>
            <w:right w:val="none" w:sz="0" w:space="0" w:color="auto"/>
          </w:divBdr>
        </w:div>
        <w:div w:id="1924297123">
          <w:marLeft w:val="0"/>
          <w:marRight w:val="0"/>
          <w:marTop w:val="0"/>
          <w:marBottom w:val="0"/>
          <w:divBdr>
            <w:top w:val="none" w:sz="0" w:space="0" w:color="auto"/>
            <w:left w:val="none" w:sz="0" w:space="0" w:color="auto"/>
            <w:bottom w:val="none" w:sz="0" w:space="0" w:color="auto"/>
            <w:right w:val="none" w:sz="0" w:space="0" w:color="auto"/>
          </w:divBdr>
        </w:div>
        <w:div w:id="296380091">
          <w:marLeft w:val="0"/>
          <w:marRight w:val="0"/>
          <w:marTop w:val="0"/>
          <w:marBottom w:val="0"/>
          <w:divBdr>
            <w:top w:val="none" w:sz="0" w:space="0" w:color="auto"/>
            <w:left w:val="none" w:sz="0" w:space="0" w:color="auto"/>
            <w:bottom w:val="none" w:sz="0" w:space="0" w:color="auto"/>
            <w:right w:val="none" w:sz="0" w:space="0" w:color="auto"/>
          </w:divBdr>
        </w:div>
        <w:div w:id="672222858">
          <w:marLeft w:val="0"/>
          <w:marRight w:val="0"/>
          <w:marTop w:val="0"/>
          <w:marBottom w:val="0"/>
          <w:divBdr>
            <w:top w:val="none" w:sz="0" w:space="0" w:color="auto"/>
            <w:left w:val="none" w:sz="0" w:space="0" w:color="auto"/>
            <w:bottom w:val="none" w:sz="0" w:space="0" w:color="auto"/>
            <w:right w:val="none" w:sz="0" w:space="0" w:color="auto"/>
          </w:divBdr>
        </w:div>
        <w:div w:id="887913399">
          <w:marLeft w:val="0"/>
          <w:marRight w:val="0"/>
          <w:marTop w:val="0"/>
          <w:marBottom w:val="0"/>
          <w:divBdr>
            <w:top w:val="none" w:sz="0" w:space="0" w:color="auto"/>
            <w:left w:val="none" w:sz="0" w:space="0" w:color="auto"/>
            <w:bottom w:val="none" w:sz="0" w:space="0" w:color="auto"/>
            <w:right w:val="none" w:sz="0" w:space="0" w:color="auto"/>
          </w:divBdr>
        </w:div>
        <w:div w:id="1193108092">
          <w:marLeft w:val="0"/>
          <w:marRight w:val="0"/>
          <w:marTop w:val="0"/>
          <w:marBottom w:val="0"/>
          <w:divBdr>
            <w:top w:val="none" w:sz="0" w:space="0" w:color="auto"/>
            <w:left w:val="none" w:sz="0" w:space="0" w:color="auto"/>
            <w:bottom w:val="none" w:sz="0" w:space="0" w:color="auto"/>
            <w:right w:val="none" w:sz="0" w:space="0" w:color="auto"/>
          </w:divBdr>
        </w:div>
        <w:div w:id="1418557860">
          <w:marLeft w:val="0"/>
          <w:marRight w:val="0"/>
          <w:marTop w:val="0"/>
          <w:marBottom w:val="0"/>
          <w:divBdr>
            <w:top w:val="none" w:sz="0" w:space="0" w:color="auto"/>
            <w:left w:val="none" w:sz="0" w:space="0" w:color="auto"/>
            <w:bottom w:val="none" w:sz="0" w:space="0" w:color="auto"/>
            <w:right w:val="none" w:sz="0" w:space="0" w:color="auto"/>
          </w:divBdr>
        </w:div>
        <w:div w:id="690028881">
          <w:marLeft w:val="0"/>
          <w:marRight w:val="0"/>
          <w:marTop w:val="0"/>
          <w:marBottom w:val="0"/>
          <w:divBdr>
            <w:top w:val="none" w:sz="0" w:space="0" w:color="auto"/>
            <w:left w:val="none" w:sz="0" w:space="0" w:color="auto"/>
            <w:bottom w:val="none" w:sz="0" w:space="0" w:color="auto"/>
            <w:right w:val="none" w:sz="0" w:space="0" w:color="auto"/>
          </w:divBdr>
        </w:div>
        <w:div w:id="42171182">
          <w:marLeft w:val="0"/>
          <w:marRight w:val="0"/>
          <w:marTop w:val="0"/>
          <w:marBottom w:val="0"/>
          <w:divBdr>
            <w:top w:val="none" w:sz="0" w:space="0" w:color="auto"/>
            <w:left w:val="none" w:sz="0" w:space="0" w:color="auto"/>
            <w:bottom w:val="none" w:sz="0" w:space="0" w:color="auto"/>
            <w:right w:val="none" w:sz="0" w:space="0" w:color="auto"/>
          </w:divBdr>
        </w:div>
        <w:div w:id="1183284464">
          <w:marLeft w:val="0"/>
          <w:marRight w:val="0"/>
          <w:marTop w:val="0"/>
          <w:marBottom w:val="0"/>
          <w:divBdr>
            <w:top w:val="none" w:sz="0" w:space="0" w:color="auto"/>
            <w:left w:val="none" w:sz="0" w:space="0" w:color="auto"/>
            <w:bottom w:val="none" w:sz="0" w:space="0" w:color="auto"/>
            <w:right w:val="none" w:sz="0" w:space="0" w:color="auto"/>
          </w:divBdr>
        </w:div>
        <w:div w:id="795215544">
          <w:marLeft w:val="0"/>
          <w:marRight w:val="0"/>
          <w:marTop w:val="0"/>
          <w:marBottom w:val="0"/>
          <w:divBdr>
            <w:top w:val="none" w:sz="0" w:space="0" w:color="auto"/>
            <w:left w:val="none" w:sz="0" w:space="0" w:color="auto"/>
            <w:bottom w:val="none" w:sz="0" w:space="0" w:color="auto"/>
            <w:right w:val="none" w:sz="0" w:space="0" w:color="auto"/>
          </w:divBdr>
        </w:div>
        <w:div w:id="1212226370">
          <w:marLeft w:val="0"/>
          <w:marRight w:val="0"/>
          <w:marTop w:val="0"/>
          <w:marBottom w:val="0"/>
          <w:divBdr>
            <w:top w:val="none" w:sz="0" w:space="0" w:color="auto"/>
            <w:left w:val="none" w:sz="0" w:space="0" w:color="auto"/>
            <w:bottom w:val="none" w:sz="0" w:space="0" w:color="auto"/>
            <w:right w:val="none" w:sz="0" w:space="0" w:color="auto"/>
          </w:divBdr>
        </w:div>
        <w:div w:id="888107776">
          <w:marLeft w:val="0"/>
          <w:marRight w:val="0"/>
          <w:marTop w:val="0"/>
          <w:marBottom w:val="0"/>
          <w:divBdr>
            <w:top w:val="none" w:sz="0" w:space="0" w:color="auto"/>
            <w:left w:val="none" w:sz="0" w:space="0" w:color="auto"/>
            <w:bottom w:val="none" w:sz="0" w:space="0" w:color="auto"/>
            <w:right w:val="none" w:sz="0" w:space="0" w:color="auto"/>
          </w:divBdr>
        </w:div>
        <w:div w:id="1774594547">
          <w:marLeft w:val="0"/>
          <w:marRight w:val="0"/>
          <w:marTop w:val="0"/>
          <w:marBottom w:val="0"/>
          <w:divBdr>
            <w:top w:val="none" w:sz="0" w:space="0" w:color="auto"/>
            <w:left w:val="none" w:sz="0" w:space="0" w:color="auto"/>
            <w:bottom w:val="none" w:sz="0" w:space="0" w:color="auto"/>
            <w:right w:val="none" w:sz="0" w:space="0" w:color="auto"/>
          </w:divBdr>
        </w:div>
        <w:div w:id="1563176080">
          <w:marLeft w:val="0"/>
          <w:marRight w:val="0"/>
          <w:marTop w:val="0"/>
          <w:marBottom w:val="0"/>
          <w:divBdr>
            <w:top w:val="none" w:sz="0" w:space="0" w:color="auto"/>
            <w:left w:val="none" w:sz="0" w:space="0" w:color="auto"/>
            <w:bottom w:val="none" w:sz="0" w:space="0" w:color="auto"/>
            <w:right w:val="none" w:sz="0" w:space="0" w:color="auto"/>
          </w:divBdr>
        </w:div>
        <w:div w:id="377972653">
          <w:marLeft w:val="0"/>
          <w:marRight w:val="0"/>
          <w:marTop w:val="0"/>
          <w:marBottom w:val="0"/>
          <w:divBdr>
            <w:top w:val="none" w:sz="0" w:space="0" w:color="auto"/>
            <w:left w:val="none" w:sz="0" w:space="0" w:color="auto"/>
            <w:bottom w:val="none" w:sz="0" w:space="0" w:color="auto"/>
            <w:right w:val="none" w:sz="0" w:space="0" w:color="auto"/>
          </w:divBdr>
        </w:div>
        <w:div w:id="1809126912">
          <w:marLeft w:val="0"/>
          <w:marRight w:val="0"/>
          <w:marTop w:val="0"/>
          <w:marBottom w:val="0"/>
          <w:divBdr>
            <w:top w:val="none" w:sz="0" w:space="0" w:color="auto"/>
            <w:left w:val="none" w:sz="0" w:space="0" w:color="auto"/>
            <w:bottom w:val="none" w:sz="0" w:space="0" w:color="auto"/>
            <w:right w:val="none" w:sz="0" w:space="0" w:color="auto"/>
          </w:divBdr>
        </w:div>
        <w:div w:id="502745347">
          <w:marLeft w:val="0"/>
          <w:marRight w:val="0"/>
          <w:marTop w:val="0"/>
          <w:marBottom w:val="0"/>
          <w:divBdr>
            <w:top w:val="none" w:sz="0" w:space="0" w:color="auto"/>
            <w:left w:val="none" w:sz="0" w:space="0" w:color="auto"/>
            <w:bottom w:val="none" w:sz="0" w:space="0" w:color="auto"/>
            <w:right w:val="none" w:sz="0" w:space="0" w:color="auto"/>
          </w:divBdr>
        </w:div>
        <w:div w:id="202521933">
          <w:marLeft w:val="0"/>
          <w:marRight w:val="0"/>
          <w:marTop w:val="0"/>
          <w:marBottom w:val="0"/>
          <w:divBdr>
            <w:top w:val="none" w:sz="0" w:space="0" w:color="auto"/>
            <w:left w:val="none" w:sz="0" w:space="0" w:color="auto"/>
            <w:bottom w:val="none" w:sz="0" w:space="0" w:color="auto"/>
            <w:right w:val="none" w:sz="0" w:space="0" w:color="auto"/>
          </w:divBdr>
        </w:div>
        <w:div w:id="1004943486">
          <w:marLeft w:val="0"/>
          <w:marRight w:val="0"/>
          <w:marTop w:val="0"/>
          <w:marBottom w:val="0"/>
          <w:divBdr>
            <w:top w:val="none" w:sz="0" w:space="0" w:color="auto"/>
            <w:left w:val="none" w:sz="0" w:space="0" w:color="auto"/>
            <w:bottom w:val="none" w:sz="0" w:space="0" w:color="auto"/>
            <w:right w:val="none" w:sz="0" w:space="0" w:color="auto"/>
          </w:divBdr>
        </w:div>
        <w:div w:id="1591503831">
          <w:marLeft w:val="0"/>
          <w:marRight w:val="0"/>
          <w:marTop w:val="0"/>
          <w:marBottom w:val="0"/>
          <w:divBdr>
            <w:top w:val="none" w:sz="0" w:space="0" w:color="auto"/>
            <w:left w:val="none" w:sz="0" w:space="0" w:color="auto"/>
            <w:bottom w:val="none" w:sz="0" w:space="0" w:color="auto"/>
            <w:right w:val="none" w:sz="0" w:space="0" w:color="auto"/>
          </w:divBdr>
        </w:div>
        <w:div w:id="1158301589">
          <w:marLeft w:val="0"/>
          <w:marRight w:val="0"/>
          <w:marTop w:val="0"/>
          <w:marBottom w:val="0"/>
          <w:divBdr>
            <w:top w:val="none" w:sz="0" w:space="0" w:color="auto"/>
            <w:left w:val="none" w:sz="0" w:space="0" w:color="auto"/>
            <w:bottom w:val="none" w:sz="0" w:space="0" w:color="auto"/>
            <w:right w:val="none" w:sz="0" w:space="0" w:color="auto"/>
          </w:divBdr>
        </w:div>
        <w:div w:id="909541365">
          <w:marLeft w:val="0"/>
          <w:marRight w:val="0"/>
          <w:marTop w:val="0"/>
          <w:marBottom w:val="0"/>
          <w:divBdr>
            <w:top w:val="none" w:sz="0" w:space="0" w:color="auto"/>
            <w:left w:val="none" w:sz="0" w:space="0" w:color="auto"/>
            <w:bottom w:val="none" w:sz="0" w:space="0" w:color="auto"/>
            <w:right w:val="none" w:sz="0" w:space="0" w:color="auto"/>
          </w:divBdr>
        </w:div>
        <w:div w:id="2106342290">
          <w:marLeft w:val="0"/>
          <w:marRight w:val="0"/>
          <w:marTop w:val="0"/>
          <w:marBottom w:val="0"/>
          <w:divBdr>
            <w:top w:val="none" w:sz="0" w:space="0" w:color="auto"/>
            <w:left w:val="none" w:sz="0" w:space="0" w:color="auto"/>
            <w:bottom w:val="none" w:sz="0" w:space="0" w:color="auto"/>
            <w:right w:val="none" w:sz="0" w:space="0" w:color="auto"/>
          </w:divBdr>
        </w:div>
        <w:div w:id="2082873439">
          <w:marLeft w:val="0"/>
          <w:marRight w:val="0"/>
          <w:marTop w:val="0"/>
          <w:marBottom w:val="0"/>
          <w:divBdr>
            <w:top w:val="none" w:sz="0" w:space="0" w:color="auto"/>
            <w:left w:val="none" w:sz="0" w:space="0" w:color="auto"/>
            <w:bottom w:val="none" w:sz="0" w:space="0" w:color="auto"/>
            <w:right w:val="none" w:sz="0" w:space="0" w:color="auto"/>
          </w:divBdr>
        </w:div>
        <w:div w:id="1667244041">
          <w:marLeft w:val="0"/>
          <w:marRight w:val="0"/>
          <w:marTop w:val="0"/>
          <w:marBottom w:val="0"/>
          <w:divBdr>
            <w:top w:val="none" w:sz="0" w:space="0" w:color="auto"/>
            <w:left w:val="none" w:sz="0" w:space="0" w:color="auto"/>
            <w:bottom w:val="none" w:sz="0" w:space="0" w:color="auto"/>
            <w:right w:val="none" w:sz="0" w:space="0" w:color="auto"/>
          </w:divBdr>
        </w:div>
        <w:div w:id="255406345">
          <w:marLeft w:val="0"/>
          <w:marRight w:val="0"/>
          <w:marTop w:val="0"/>
          <w:marBottom w:val="0"/>
          <w:divBdr>
            <w:top w:val="none" w:sz="0" w:space="0" w:color="auto"/>
            <w:left w:val="none" w:sz="0" w:space="0" w:color="auto"/>
            <w:bottom w:val="none" w:sz="0" w:space="0" w:color="auto"/>
            <w:right w:val="none" w:sz="0" w:space="0" w:color="auto"/>
          </w:divBdr>
        </w:div>
        <w:div w:id="1060134992">
          <w:marLeft w:val="0"/>
          <w:marRight w:val="0"/>
          <w:marTop w:val="0"/>
          <w:marBottom w:val="0"/>
          <w:divBdr>
            <w:top w:val="none" w:sz="0" w:space="0" w:color="auto"/>
            <w:left w:val="none" w:sz="0" w:space="0" w:color="auto"/>
            <w:bottom w:val="none" w:sz="0" w:space="0" w:color="auto"/>
            <w:right w:val="none" w:sz="0" w:space="0" w:color="auto"/>
          </w:divBdr>
        </w:div>
        <w:div w:id="227811523">
          <w:marLeft w:val="0"/>
          <w:marRight w:val="0"/>
          <w:marTop w:val="0"/>
          <w:marBottom w:val="0"/>
          <w:divBdr>
            <w:top w:val="none" w:sz="0" w:space="0" w:color="auto"/>
            <w:left w:val="none" w:sz="0" w:space="0" w:color="auto"/>
            <w:bottom w:val="none" w:sz="0" w:space="0" w:color="auto"/>
            <w:right w:val="none" w:sz="0" w:space="0" w:color="auto"/>
          </w:divBdr>
        </w:div>
        <w:div w:id="1542940295">
          <w:marLeft w:val="0"/>
          <w:marRight w:val="0"/>
          <w:marTop w:val="0"/>
          <w:marBottom w:val="0"/>
          <w:divBdr>
            <w:top w:val="none" w:sz="0" w:space="0" w:color="auto"/>
            <w:left w:val="none" w:sz="0" w:space="0" w:color="auto"/>
            <w:bottom w:val="none" w:sz="0" w:space="0" w:color="auto"/>
            <w:right w:val="none" w:sz="0" w:space="0" w:color="auto"/>
          </w:divBdr>
        </w:div>
        <w:div w:id="1699307290">
          <w:marLeft w:val="0"/>
          <w:marRight w:val="0"/>
          <w:marTop w:val="0"/>
          <w:marBottom w:val="0"/>
          <w:divBdr>
            <w:top w:val="none" w:sz="0" w:space="0" w:color="auto"/>
            <w:left w:val="none" w:sz="0" w:space="0" w:color="auto"/>
            <w:bottom w:val="none" w:sz="0" w:space="0" w:color="auto"/>
            <w:right w:val="none" w:sz="0" w:space="0" w:color="auto"/>
          </w:divBdr>
        </w:div>
        <w:div w:id="464541554">
          <w:marLeft w:val="0"/>
          <w:marRight w:val="0"/>
          <w:marTop w:val="0"/>
          <w:marBottom w:val="0"/>
          <w:divBdr>
            <w:top w:val="none" w:sz="0" w:space="0" w:color="auto"/>
            <w:left w:val="none" w:sz="0" w:space="0" w:color="auto"/>
            <w:bottom w:val="none" w:sz="0" w:space="0" w:color="auto"/>
            <w:right w:val="none" w:sz="0" w:space="0" w:color="auto"/>
          </w:divBdr>
        </w:div>
        <w:div w:id="1696157552">
          <w:marLeft w:val="0"/>
          <w:marRight w:val="0"/>
          <w:marTop w:val="0"/>
          <w:marBottom w:val="0"/>
          <w:divBdr>
            <w:top w:val="none" w:sz="0" w:space="0" w:color="auto"/>
            <w:left w:val="none" w:sz="0" w:space="0" w:color="auto"/>
            <w:bottom w:val="none" w:sz="0" w:space="0" w:color="auto"/>
            <w:right w:val="none" w:sz="0" w:space="0" w:color="auto"/>
          </w:divBdr>
        </w:div>
        <w:div w:id="419107354">
          <w:marLeft w:val="0"/>
          <w:marRight w:val="0"/>
          <w:marTop w:val="0"/>
          <w:marBottom w:val="0"/>
          <w:divBdr>
            <w:top w:val="none" w:sz="0" w:space="0" w:color="auto"/>
            <w:left w:val="none" w:sz="0" w:space="0" w:color="auto"/>
            <w:bottom w:val="none" w:sz="0" w:space="0" w:color="auto"/>
            <w:right w:val="none" w:sz="0" w:space="0" w:color="auto"/>
          </w:divBdr>
        </w:div>
        <w:div w:id="2077587777">
          <w:marLeft w:val="0"/>
          <w:marRight w:val="0"/>
          <w:marTop w:val="0"/>
          <w:marBottom w:val="0"/>
          <w:divBdr>
            <w:top w:val="none" w:sz="0" w:space="0" w:color="auto"/>
            <w:left w:val="none" w:sz="0" w:space="0" w:color="auto"/>
            <w:bottom w:val="none" w:sz="0" w:space="0" w:color="auto"/>
            <w:right w:val="none" w:sz="0" w:space="0" w:color="auto"/>
          </w:divBdr>
        </w:div>
        <w:div w:id="1269386974">
          <w:marLeft w:val="0"/>
          <w:marRight w:val="0"/>
          <w:marTop w:val="0"/>
          <w:marBottom w:val="0"/>
          <w:divBdr>
            <w:top w:val="none" w:sz="0" w:space="0" w:color="auto"/>
            <w:left w:val="none" w:sz="0" w:space="0" w:color="auto"/>
            <w:bottom w:val="none" w:sz="0" w:space="0" w:color="auto"/>
            <w:right w:val="none" w:sz="0" w:space="0" w:color="auto"/>
          </w:divBdr>
        </w:div>
        <w:div w:id="1090809294">
          <w:marLeft w:val="0"/>
          <w:marRight w:val="0"/>
          <w:marTop w:val="0"/>
          <w:marBottom w:val="0"/>
          <w:divBdr>
            <w:top w:val="none" w:sz="0" w:space="0" w:color="auto"/>
            <w:left w:val="none" w:sz="0" w:space="0" w:color="auto"/>
            <w:bottom w:val="none" w:sz="0" w:space="0" w:color="auto"/>
            <w:right w:val="none" w:sz="0" w:space="0" w:color="auto"/>
          </w:divBdr>
        </w:div>
        <w:div w:id="320816308">
          <w:marLeft w:val="0"/>
          <w:marRight w:val="0"/>
          <w:marTop w:val="0"/>
          <w:marBottom w:val="0"/>
          <w:divBdr>
            <w:top w:val="none" w:sz="0" w:space="0" w:color="auto"/>
            <w:left w:val="none" w:sz="0" w:space="0" w:color="auto"/>
            <w:bottom w:val="none" w:sz="0" w:space="0" w:color="auto"/>
            <w:right w:val="none" w:sz="0" w:space="0" w:color="auto"/>
          </w:divBdr>
        </w:div>
        <w:div w:id="1444305208">
          <w:marLeft w:val="0"/>
          <w:marRight w:val="0"/>
          <w:marTop w:val="0"/>
          <w:marBottom w:val="0"/>
          <w:divBdr>
            <w:top w:val="none" w:sz="0" w:space="0" w:color="auto"/>
            <w:left w:val="none" w:sz="0" w:space="0" w:color="auto"/>
            <w:bottom w:val="none" w:sz="0" w:space="0" w:color="auto"/>
            <w:right w:val="none" w:sz="0" w:space="0" w:color="auto"/>
          </w:divBdr>
        </w:div>
        <w:div w:id="1247768823">
          <w:marLeft w:val="0"/>
          <w:marRight w:val="0"/>
          <w:marTop w:val="0"/>
          <w:marBottom w:val="0"/>
          <w:divBdr>
            <w:top w:val="none" w:sz="0" w:space="0" w:color="auto"/>
            <w:left w:val="none" w:sz="0" w:space="0" w:color="auto"/>
            <w:bottom w:val="none" w:sz="0" w:space="0" w:color="auto"/>
            <w:right w:val="none" w:sz="0" w:space="0" w:color="auto"/>
          </w:divBdr>
        </w:div>
        <w:div w:id="1417745186">
          <w:marLeft w:val="0"/>
          <w:marRight w:val="0"/>
          <w:marTop w:val="0"/>
          <w:marBottom w:val="0"/>
          <w:divBdr>
            <w:top w:val="none" w:sz="0" w:space="0" w:color="auto"/>
            <w:left w:val="none" w:sz="0" w:space="0" w:color="auto"/>
            <w:bottom w:val="none" w:sz="0" w:space="0" w:color="auto"/>
            <w:right w:val="none" w:sz="0" w:space="0" w:color="auto"/>
          </w:divBdr>
        </w:div>
        <w:div w:id="121309643">
          <w:marLeft w:val="0"/>
          <w:marRight w:val="0"/>
          <w:marTop w:val="0"/>
          <w:marBottom w:val="0"/>
          <w:divBdr>
            <w:top w:val="none" w:sz="0" w:space="0" w:color="auto"/>
            <w:left w:val="none" w:sz="0" w:space="0" w:color="auto"/>
            <w:bottom w:val="none" w:sz="0" w:space="0" w:color="auto"/>
            <w:right w:val="none" w:sz="0" w:space="0" w:color="auto"/>
          </w:divBdr>
        </w:div>
        <w:div w:id="1187404411">
          <w:marLeft w:val="0"/>
          <w:marRight w:val="0"/>
          <w:marTop w:val="0"/>
          <w:marBottom w:val="0"/>
          <w:divBdr>
            <w:top w:val="none" w:sz="0" w:space="0" w:color="auto"/>
            <w:left w:val="none" w:sz="0" w:space="0" w:color="auto"/>
            <w:bottom w:val="none" w:sz="0" w:space="0" w:color="auto"/>
            <w:right w:val="none" w:sz="0" w:space="0" w:color="auto"/>
          </w:divBdr>
        </w:div>
        <w:div w:id="1123037570">
          <w:marLeft w:val="0"/>
          <w:marRight w:val="0"/>
          <w:marTop w:val="0"/>
          <w:marBottom w:val="0"/>
          <w:divBdr>
            <w:top w:val="none" w:sz="0" w:space="0" w:color="auto"/>
            <w:left w:val="none" w:sz="0" w:space="0" w:color="auto"/>
            <w:bottom w:val="none" w:sz="0" w:space="0" w:color="auto"/>
            <w:right w:val="none" w:sz="0" w:space="0" w:color="auto"/>
          </w:divBdr>
        </w:div>
        <w:div w:id="1578857264">
          <w:marLeft w:val="0"/>
          <w:marRight w:val="0"/>
          <w:marTop w:val="0"/>
          <w:marBottom w:val="0"/>
          <w:divBdr>
            <w:top w:val="none" w:sz="0" w:space="0" w:color="auto"/>
            <w:left w:val="none" w:sz="0" w:space="0" w:color="auto"/>
            <w:bottom w:val="none" w:sz="0" w:space="0" w:color="auto"/>
            <w:right w:val="none" w:sz="0" w:space="0" w:color="auto"/>
          </w:divBdr>
        </w:div>
        <w:div w:id="395321584">
          <w:marLeft w:val="0"/>
          <w:marRight w:val="0"/>
          <w:marTop w:val="0"/>
          <w:marBottom w:val="0"/>
          <w:divBdr>
            <w:top w:val="none" w:sz="0" w:space="0" w:color="auto"/>
            <w:left w:val="none" w:sz="0" w:space="0" w:color="auto"/>
            <w:bottom w:val="none" w:sz="0" w:space="0" w:color="auto"/>
            <w:right w:val="none" w:sz="0" w:space="0" w:color="auto"/>
          </w:divBdr>
        </w:div>
        <w:div w:id="929316027">
          <w:marLeft w:val="0"/>
          <w:marRight w:val="0"/>
          <w:marTop w:val="0"/>
          <w:marBottom w:val="0"/>
          <w:divBdr>
            <w:top w:val="none" w:sz="0" w:space="0" w:color="auto"/>
            <w:left w:val="none" w:sz="0" w:space="0" w:color="auto"/>
            <w:bottom w:val="none" w:sz="0" w:space="0" w:color="auto"/>
            <w:right w:val="none" w:sz="0" w:space="0" w:color="auto"/>
          </w:divBdr>
        </w:div>
        <w:div w:id="1824929781">
          <w:marLeft w:val="0"/>
          <w:marRight w:val="0"/>
          <w:marTop w:val="0"/>
          <w:marBottom w:val="0"/>
          <w:divBdr>
            <w:top w:val="none" w:sz="0" w:space="0" w:color="auto"/>
            <w:left w:val="none" w:sz="0" w:space="0" w:color="auto"/>
            <w:bottom w:val="none" w:sz="0" w:space="0" w:color="auto"/>
            <w:right w:val="none" w:sz="0" w:space="0" w:color="auto"/>
          </w:divBdr>
        </w:div>
        <w:div w:id="1330137761">
          <w:marLeft w:val="0"/>
          <w:marRight w:val="0"/>
          <w:marTop w:val="0"/>
          <w:marBottom w:val="0"/>
          <w:divBdr>
            <w:top w:val="none" w:sz="0" w:space="0" w:color="auto"/>
            <w:left w:val="none" w:sz="0" w:space="0" w:color="auto"/>
            <w:bottom w:val="none" w:sz="0" w:space="0" w:color="auto"/>
            <w:right w:val="none" w:sz="0" w:space="0" w:color="auto"/>
          </w:divBdr>
        </w:div>
        <w:div w:id="352075370">
          <w:marLeft w:val="0"/>
          <w:marRight w:val="0"/>
          <w:marTop w:val="0"/>
          <w:marBottom w:val="0"/>
          <w:divBdr>
            <w:top w:val="none" w:sz="0" w:space="0" w:color="auto"/>
            <w:left w:val="none" w:sz="0" w:space="0" w:color="auto"/>
            <w:bottom w:val="none" w:sz="0" w:space="0" w:color="auto"/>
            <w:right w:val="none" w:sz="0" w:space="0" w:color="auto"/>
          </w:divBdr>
        </w:div>
        <w:div w:id="247008681">
          <w:marLeft w:val="0"/>
          <w:marRight w:val="0"/>
          <w:marTop w:val="0"/>
          <w:marBottom w:val="0"/>
          <w:divBdr>
            <w:top w:val="none" w:sz="0" w:space="0" w:color="auto"/>
            <w:left w:val="none" w:sz="0" w:space="0" w:color="auto"/>
            <w:bottom w:val="none" w:sz="0" w:space="0" w:color="auto"/>
            <w:right w:val="none" w:sz="0" w:space="0" w:color="auto"/>
          </w:divBdr>
        </w:div>
        <w:div w:id="581642401">
          <w:marLeft w:val="0"/>
          <w:marRight w:val="0"/>
          <w:marTop w:val="0"/>
          <w:marBottom w:val="0"/>
          <w:divBdr>
            <w:top w:val="none" w:sz="0" w:space="0" w:color="auto"/>
            <w:left w:val="none" w:sz="0" w:space="0" w:color="auto"/>
            <w:bottom w:val="none" w:sz="0" w:space="0" w:color="auto"/>
            <w:right w:val="none" w:sz="0" w:space="0" w:color="auto"/>
          </w:divBdr>
        </w:div>
        <w:div w:id="1216550839">
          <w:marLeft w:val="0"/>
          <w:marRight w:val="0"/>
          <w:marTop w:val="0"/>
          <w:marBottom w:val="0"/>
          <w:divBdr>
            <w:top w:val="none" w:sz="0" w:space="0" w:color="auto"/>
            <w:left w:val="none" w:sz="0" w:space="0" w:color="auto"/>
            <w:bottom w:val="none" w:sz="0" w:space="0" w:color="auto"/>
            <w:right w:val="none" w:sz="0" w:space="0" w:color="auto"/>
          </w:divBdr>
        </w:div>
        <w:div w:id="1249538735">
          <w:marLeft w:val="0"/>
          <w:marRight w:val="0"/>
          <w:marTop w:val="0"/>
          <w:marBottom w:val="0"/>
          <w:divBdr>
            <w:top w:val="none" w:sz="0" w:space="0" w:color="auto"/>
            <w:left w:val="none" w:sz="0" w:space="0" w:color="auto"/>
            <w:bottom w:val="none" w:sz="0" w:space="0" w:color="auto"/>
            <w:right w:val="none" w:sz="0" w:space="0" w:color="auto"/>
          </w:divBdr>
        </w:div>
        <w:div w:id="1213693132">
          <w:marLeft w:val="0"/>
          <w:marRight w:val="0"/>
          <w:marTop w:val="0"/>
          <w:marBottom w:val="0"/>
          <w:divBdr>
            <w:top w:val="none" w:sz="0" w:space="0" w:color="auto"/>
            <w:left w:val="none" w:sz="0" w:space="0" w:color="auto"/>
            <w:bottom w:val="none" w:sz="0" w:space="0" w:color="auto"/>
            <w:right w:val="none" w:sz="0" w:space="0" w:color="auto"/>
          </w:divBdr>
        </w:div>
        <w:div w:id="1375235780">
          <w:marLeft w:val="0"/>
          <w:marRight w:val="0"/>
          <w:marTop w:val="0"/>
          <w:marBottom w:val="0"/>
          <w:divBdr>
            <w:top w:val="none" w:sz="0" w:space="0" w:color="auto"/>
            <w:left w:val="none" w:sz="0" w:space="0" w:color="auto"/>
            <w:bottom w:val="none" w:sz="0" w:space="0" w:color="auto"/>
            <w:right w:val="none" w:sz="0" w:space="0" w:color="auto"/>
          </w:divBdr>
        </w:div>
        <w:div w:id="1860267356">
          <w:marLeft w:val="0"/>
          <w:marRight w:val="0"/>
          <w:marTop w:val="0"/>
          <w:marBottom w:val="0"/>
          <w:divBdr>
            <w:top w:val="none" w:sz="0" w:space="0" w:color="auto"/>
            <w:left w:val="none" w:sz="0" w:space="0" w:color="auto"/>
            <w:bottom w:val="none" w:sz="0" w:space="0" w:color="auto"/>
            <w:right w:val="none" w:sz="0" w:space="0" w:color="auto"/>
          </w:divBdr>
        </w:div>
        <w:div w:id="49574670">
          <w:marLeft w:val="0"/>
          <w:marRight w:val="0"/>
          <w:marTop w:val="0"/>
          <w:marBottom w:val="0"/>
          <w:divBdr>
            <w:top w:val="none" w:sz="0" w:space="0" w:color="auto"/>
            <w:left w:val="none" w:sz="0" w:space="0" w:color="auto"/>
            <w:bottom w:val="none" w:sz="0" w:space="0" w:color="auto"/>
            <w:right w:val="none" w:sz="0" w:space="0" w:color="auto"/>
          </w:divBdr>
        </w:div>
        <w:div w:id="362751124">
          <w:marLeft w:val="0"/>
          <w:marRight w:val="0"/>
          <w:marTop w:val="0"/>
          <w:marBottom w:val="0"/>
          <w:divBdr>
            <w:top w:val="none" w:sz="0" w:space="0" w:color="auto"/>
            <w:left w:val="none" w:sz="0" w:space="0" w:color="auto"/>
            <w:bottom w:val="none" w:sz="0" w:space="0" w:color="auto"/>
            <w:right w:val="none" w:sz="0" w:space="0" w:color="auto"/>
          </w:divBdr>
        </w:div>
        <w:div w:id="1489521440">
          <w:marLeft w:val="0"/>
          <w:marRight w:val="0"/>
          <w:marTop w:val="0"/>
          <w:marBottom w:val="0"/>
          <w:divBdr>
            <w:top w:val="none" w:sz="0" w:space="0" w:color="auto"/>
            <w:left w:val="none" w:sz="0" w:space="0" w:color="auto"/>
            <w:bottom w:val="none" w:sz="0" w:space="0" w:color="auto"/>
            <w:right w:val="none" w:sz="0" w:space="0" w:color="auto"/>
          </w:divBdr>
        </w:div>
        <w:div w:id="366835878">
          <w:marLeft w:val="0"/>
          <w:marRight w:val="0"/>
          <w:marTop w:val="0"/>
          <w:marBottom w:val="0"/>
          <w:divBdr>
            <w:top w:val="none" w:sz="0" w:space="0" w:color="auto"/>
            <w:left w:val="none" w:sz="0" w:space="0" w:color="auto"/>
            <w:bottom w:val="none" w:sz="0" w:space="0" w:color="auto"/>
            <w:right w:val="none" w:sz="0" w:space="0" w:color="auto"/>
          </w:divBdr>
        </w:div>
        <w:div w:id="777212298">
          <w:marLeft w:val="0"/>
          <w:marRight w:val="0"/>
          <w:marTop w:val="0"/>
          <w:marBottom w:val="0"/>
          <w:divBdr>
            <w:top w:val="none" w:sz="0" w:space="0" w:color="auto"/>
            <w:left w:val="none" w:sz="0" w:space="0" w:color="auto"/>
            <w:bottom w:val="none" w:sz="0" w:space="0" w:color="auto"/>
            <w:right w:val="none" w:sz="0" w:space="0" w:color="auto"/>
          </w:divBdr>
        </w:div>
        <w:div w:id="896938634">
          <w:marLeft w:val="0"/>
          <w:marRight w:val="0"/>
          <w:marTop w:val="0"/>
          <w:marBottom w:val="0"/>
          <w:divBdr>
            <w:top w:val="none" w:sz="0" w:space="0" w:color="auto"/>
            <w:left w:val="none" w:sz="0" w:space="0" w:color="auto"/>
            <w:bottom w:val="none" w:sz="0" w:space="0" w:color="auto"/>
            <w:right w:val="none" w:sz="0" w:space="0" w:color="auto"/>
          </w:divBdr>
        </w:div>
        <w:div w:id="2102529179">
          <w:marLeft w:val="0"/>
          <w:marRight w:val="0"/>
          <w:marTop w:val="0"/>
          <w:marBottom w:val="0"/>
          <w:divBdr>
            <w:top w:val="none" w:sz="0" w:space="0" w:color="auto"/>
            <w:left w:val="none" w:sz="0" w:space="0" w:color="auto"/>
            <w:bottom w:val="none" w:sz="0" w:space="0" w:color="auto"/>
            <w:right w:val="none" w:sz="0" w:space="0" w:color="auto"/>
          </w:divBdr>
        </w:div>
        <w:div w:id="638997706">
          <w:marLeft w:val="0"/>
          <w:marRight w:val="0"/>
          <w:marTop w:val="0"/>
          <w:marBottom w:val="0"/>
          <w:divBdr>
            <w:top w:val="none" w:sz="0" w:space="0" w:color="auto"/>
            <w:left w:val="none" w:sz="0" w:space="0" w:color="auto"/>
            <w:bottom w:val="none" w:sz="0" w:space="0" w:color="auto"/>
            <w:right w:val="none" w:sz="0" w:space="0" w:color="auto"/>
          </w:divBdr>
        </w:div>
        <w:div w:id="1625119710">
          <w:marLeft w:val="0"/>
          <w:marRight w:val="0"/>
          <w:marTop w:val="0"/>
          <w:marBottom w:val="0"/>
          <w:divBdr>
            <w:top w:val="none" w:sz="0" w:space="0" w:color="auto"/>
            <w:left w:val="none" w:sz="0" w:space="0" w:color="auto"/>
            <w:bottom w:val="none" w:sz="0" w:space="0" w:color="auto"/>
            <w:right w:val="none" w:sz="0" w:space="0" w:color="auto"/>
          </w:divBdr>
        </w:div>
        <w:div w:id="2133401633">
          <w:marLeft w:val="0"/>
          <w:marRight w:val="0"/>
          <w:marTop w:val="0"/>
          <w:marBottom w:val="0"/>
          <w:divBdr>
            <w:top w:val="none" w:sz="0" w:space="0" w:color="auto"/>
            <w:left w:val="none" w:sz="0" w:space="0" w:color="auto"/>
            <w:bottom w:val="none" w:sz="0" w:space="0" w:color="auto"/>
            <w:right w:val="none" w:sz="0" w:space="0" w:color="auto"/>
          </w:divBdr>
        </w:div>
        <w:div w:id="444082091">
          <w:marLeft w:val="0"/>
          <w:marRight w:val="0"/>
          <w:marTop w:val="0"/>
          <w:marBottom w:val="0"/>
          <w:divBdr>
            <w:top w:val="none" w:sz="0" w:space="0" w:color="auto"/>
            <w:left w:val="none" w:sz="0" w:space="0" w:color="auto"/>
            <w:bottom w:val="none" w:sz="0" w:space="0" w:color="auto"/>
            <w:right w:val="none" w:sz="0" w:space="0" w:color="auto"/>
          </w:divBdr>
        </w:div>
        <w:div w:id="1295064081">
          <w:marLeft w:val="0"/>
          <w:marRight w:val="0"/>
          <w:marTop w:val="0"/>
          <w:marBottom w:val="0"/>
          <w:divBdr>
            <w:top w:val="none" w:sz="0" w:space="0" w:color="auto"/>
            <w:left w:val="none" w:sz="0" w:space="0" w:color="auto"/>
            <w:bottom w:val="none" w:sz="0" w:space="0" w:color="auto"/>
            <w:right w:val="none" w:sz="0" w:space="0" w:color="auto"/>
          </w:divBdr>
        </w:div>
        <w:div w:id="1192692527">
          <w:marLeft w:val="0"/>
          <w:marRight w:val="0"/>
          <w:marTop w:val="0"/>
          <w:marBottom w:val="0"/>
          <w:divBdr>
            <w:top w:val="none" w:sz="0" w:space="0" w:color="auto"/>
            <w:left w:val="none" w:sz="0" w:space="0" w:color="auto"/>
            <w:bottom w:val="none" w:sz="0" w:space="0" w:color="auto"/>
            <w:right w:val="none" w:sz="0" w:space="0" w:color="auto"/>
          </w:divBdr>
        </w:div>
        <w:div w:id="137500499">
          <w:marLeft w:val="0"/>
          <w:marRight w:val="0"/>
          <w:marTop w:val="0"/>
          <w:marBottom w:val="0"/>
          <w:divBdr>
            <w:top w:val="none" w:sz="0" w:space="0" w:color="auto"/>
            <w:left w:val="none" w:sz="0" w:space="0" w:color="auto"/>
            <w:bottom w:val="none" w:sz="0" w:space="0" w:color="auto"/>
            <w:right w:val="none" w:sz="0" w:space="0" w:color="auto"/>
          </w:divBdr>
        </w:div>
        <w:div w:id="1289553170">
          <w:marLeft w:val="0"/>
          <w:marRight w:val="0"/>
          <w:marTop w:val="0"/>
          <w:marBottom w:val="0"/>
          <w:divBdr>
            <w:top w:val="none" w:sz="0" w:space="0" w:color="auto"/>
            <w:left w:val="none" w:sz="0" w:space="0" w:color="auto"/>
            <w:bottom w:val="none" w:sz="0" w:space="0" w:color="auto"/>
            <w:right w:val="none" w:sz="0" w:space="0" w:color="auto"/>
          </w:divBdr>
        </w:div>
        <w:div w:id="350303237">
          <w:marLeft w:val="0"/>
          <w:marRight w:val="0"/>
          <w:marTop w:val="0"/>
          <w:marBottom w:val="0"/>
          <w:divBdr>
            <w:top w:val="none" w:sz="0" w:space="0" w:color="auto"/>
            <w:left w:val="none" w:sz="0" w:space="0" w:color="auto"/>
            <w:bottom w:val="none" w:sz="0" w:space="0" w:color="auto"/>
            <w:right w:val="none" w:sz="0" w:space="0" w:color="auto"/>
          </w:divBdr>
        </w:div>
        <w:div w:id="811558140">
          <w:marLeft w:val="0"/>
          <w:marRight w:val="0"/>
          <w:marTop w:val="0"/>
          <w:marBottom w:val="0"/>
          <w:divBdr>
            <w:top w:val="none" w:sz="0" w:space="0" w:color="auto"/>
            <w:left w:val="none" w:sz="0" w:space="0" w:color="auto"/>
            <w:bottom w:val="none" w:sz="0" w:space="0" w:color="auto"/>
            <w:right w:val="none" w:sz="0" w:space="0" w:color="auto"/>
          </w:divBdr>
        </w:div>
        <w:div w:id="1304311325">
          <w:marLeft w:val="0"/>
          <w:marRight w:val="0"/>
          <w:marTop w:val="0"/>
          <w:marBottom w:val="0"/>
          <w:divBdr>
            <w:top w:val="none" w:sz="0" w:space="0" w:color="auto"/>
            <w:left w:val="none" w:sz="0" w:space="0" w:color="auto"/>
            <w:bottom w:val="none" w:sz="0" w:space="0" w:color="auto"/>
            <w:right w:val="none" w:sz="0" w:space="0" w:color="auto"/>
          </w:divBdr>
        </w:div>
        <w:div w:id="182474589">
          <w:marLeft w:val="0"/>
          <w:marRight w:val="0"/>
          <w:marTop w:val="0"/>
          <w:marBottom w:val="0"/>
          <w:divBdr>
            <w:top w:val="none" w:sz="0" w:space="0" w:color="auto"/>
            <w:left w:val="none" w:sz="0" w:space="0" w:color="auto"/>
            <w:bottom w:val="none" w:sz="0" w:space="0" w:color="auto"/>
            <w:right w:val="none" w:sz="0" w:space="0" w:color="auto"/>
          </w:divBdr>
        </w:div>
        <w:div w:id="776826712">
          <w:marLeft w:val="0"/>
          <w:marRight w:val="0"/>
          <w:marTop w:val="0"/>
          <w:marBottom w:val="0"/>
          <w:divBdr>
            <w:top w:val="none" w:sz="0" w:space="0" w:color="auto"/>
            <w:left w:val="none" w:sz="0" w:space="0" w:color="auto"/>
            <w:bottom w:val="none" w:sz="0" w:space="0" w:color="auto"/>
            <w:right w:val="none" w:sz="0" w:space="0" w:color="auto"/>
          </w:divBdr>
        </w:div>
        <w:div w:id="482241757">
          <w:marLeft w:val="0"/>
          <w:marRight w:val="0"/>
          <w:marTop w:val="0"/>
          <w:marBottom w:val="0"/>
          <w:divBdr>
            <w:top w:val="none" w:sz="0" w:space="0" w:color="auto"/>
            <w:left w:val="none" w:sz="0" w:space="0" w:color="auto"/>
            <w:bottom w:val="none" w:sz="0" w:space="0" w:color="auto"/>
            <w:right w:val="none" w:sz="0" w:space="0" w:color="auto"/>
          </w:divBdr>
        </w:div>
        <w:div w:id="2128428919">
          <w:marLeft w:val="0"/>
          <w:marRight w:val="0"/>
          <w:marTop w:val="0"/>
          <w:marBottom w:val="0"/>
          <w:divBdr>
            <w:top w:val="none" w:sz="0" w:space="0" w:color="auto"/>
            <w:left w:val="none" w:sz="0" w:space="0" w:color="auto"/>
            <w:bottom w:val="none" w:sz="0" w:space="0" w:color="auto"/>
            <w:right w:val="none" w:sz="0" w:space="0" w:color="auto"/>
          </w:divBdr>
        </w:div>
        <w:div w:id="1654606910">
          <w:marLeft w:val="0"/>
          <w:marRight w:val="0"/>
          <w:marTop w:val="0"/>
          <w:marBottom w:val="0"/>
          <w:divBdr>
            <w:top w:val="none" w:sz="0" w:space="0" w:color="auto"/>
            <w:left w:val="none" w:sz="0" w:space="0" w:color="auto"/>
            <w:bottom w:val="none" w:sz="0" w:space="0" w:color="auto"/>
            <w:right w:val="none" w:sz="0" w:space="0" w:color="auto"/>
          </w:divBdr>
        </w:div>
        <w:div w:id="1913545566">
          <w:marLeft w:val="0"/>
          <w:marRight w:val="0"/>
          <w:marTop w:val="0"/>
          <w:marBottom w:val="0"/>
          <w:divBdr>
            <w:top w:val="none" w:sz="0" w:space="0" w:color="auto"/>
            <w:left w:val="none" w:sz="0" w:space="0" w:color="auto"/>
            <w:bottom w:val="none" w:sz="0" w:space="0" w:color="auto"/>
            <w:right w:val="none" w:sz="0" w:space="0" w:color="auto"/>
          </w:divBdr>
        </w:div>
        <w:div w:id="1078211985">
          <w:marLeft w:val="0"/>
          <w:marRight w:val="0"/>
          <w:marTop w:val="0"/>
          <w:marBottom w:val="0"/>
          <w:divBdr>
            <w:top w:val="none" w:sz="0" w:space="0" w:color="auto"/>
            <w:left w:val="none" w:sz="0" w:space="0" w:color="auto"/>
            <w:bottom w:val="none" w:sz="0" w:space="0" w:color="auto"/>
            <w:right w:val="none" w:sz="0" w:space="0" w:color="auto"/>
          </w:divBdr>
        </w:div>
        <w:div w:id="622274103">
          <w:marLeft w:val="0"/>
          <w:marRight w:val="0"/>
          <w:marTop w:val="0"/>
          <w:marBottom w:val="0"/>
          <w:divBdr>
            <w:top w:val="none" w:sz="0" w:space="0" w:color="auto"/>
            <w:left w:val="none" w:sz="0" w:space="0" w:color="auto"/>
            <w:bottom w:val="none" w:sz="0" w:space="0" w:color="auto"/>
            <w:right w:val="none" w:sz="0" w:space="0" w:color="auto"/>
          </w:divBdr>
        </w:div>
        <w:div w:id="389112879">
          <w:marLeft w:val="0"/>
          <w:marRight w:val="0"/>
          <w:marTop w:val="0"/>
          <w:marBottom w:val="0"/>
          <w:divBdr>
            <w:top w:val="none" w:sz="0" w:space="0" w:color="auto"/>
            <w:left w:val="none" w:sz="0" w:space="0" w:color="auto"/>
            <w:bottom w:val="none" w:sz="0" w:space="0" w:color="auto"/>
            <w:right w:val="none" w:sz="0" w:space="0" w:color="auto"/>
          </w:divBdr>
        </w:div>
        <w:div w:id="235481610">
          <w:marLeft w:val="0"/>
          <w:marRight w:val="0"/>
          <w:marTop w:val="0"/>
          <w:marBottom w:val="0"/>
          <w:divBdr>
            <w:top w:val="none" w:sz="0" w:space="0" w:color="auto"/>
            <w:left w:val="none" w:sz="0" w:space="0" w:color="auto"/>
            <w:bottom w:val="none" w:sz="0" w:space="0" w:color="auto"/>
            <w:right w:val="none" w:sz="0" w:space="0" w:color="auto"/>
          </w:divBdr>
        </w:div>
        <w:div w:id="1257439827">
          <w:marLeft w:val="0"/>
          <w:marRight w:val="0"/>
          <w:marTop w:val="0"/>
          <w:marBottom w:val="0"/>
          <w:divBdr>
            <w:top w:val="none" w:sz="0" w:space="0" w:color="auto"/>
            <w:left w:val="none" w:sz="0" w:space="0" w:color="auto"/>
            <w:bottom w:val="none" w:sz="0" w:space="0" w:color="auto"/>
            <w:right w:val="none" w:sz="0" w:space="0" w:color="auto"/>
          </w:divBdr>
        </w:div>
        <w:div w:id="1107650841">
          <w:marLeft w:val="0"/>
          <w:marRight w:val="0"/>
          <w:marTop w:val="0"/>
          <w:marBottom w:val="0"/>
          <w:divBdr>
            <w:top w:val="none" w:sz="0" w:space="0" w:color="auto"/>
            <w:left w:val="none" w:sz="0" w:space="0" w:color="auto"/>
            <w:bottom w:val="none" w:sz="0" w:space="0" w:color="auto"/>
            <w:right w:val="none" w:sz="0" w:space="0" w:color="auto"/>
          </w:divBdr>
        </w:div>
        <w:div w:id="396589105">
          <w:marLeft w:val="0"/>
          <w:marRight w:val="0"/>
          <w:marTop w:val="0"/>
          <w:marBottom w:val="0"/>
          <w:divBdr>
            <w:top w:val="none" w:sz="0" w:space="0" w:color="auto"/>
            <w:left w:val="none" w:sz="0" w:space="0" w:color="auto"/>
            <w:bottom w:val="none" w:sz="0" w:space="0" w:color="auto"/>
            <w:right w:val="none" w:sz="0" w:space="0" w:color="auto"/>
          </w:divBdr>
        </w:div>
        <w:div w:id="264272282">
          <w:marLeft w:val="0"/>
          <w:marRight w:val="0"/>
          <w:marTop w:val="0"/>
          <w:marBottom w:val="0"/>
          <w:divBdr>
            <w:top w:val="none" w:sz="0" w:space="0" w:color="auto"/>
            <w:left w:val="none" w:sz="0" w:space="0" w:color="auto"/>
            <w:bottom w:val="none" w:sz="0" w:space="0" w:color="auto"/>
            <w:right w:val="none" w:sz="0" w:space="0" w:color="auto"/>
          </w:divBdr>
        </w:div>
        <w:div w:id="1175997647">
          <w:marLeft w:val="0"/>
          <w:marRight w:val="0"/>
          <w:marTop w:val="0"/>
          <w:marBottom w:val="0"/>
          <w:divBdr>
            <w:top w:val="none" w:sz="0" w:space="0" w:color="auto"/>
            <w:left w:val="none" w:sz="0" w:space="0" w:color="auto"/>
            <w:bottom w:val="none" w:sz="0" w:space="0" w:color="auto"/>
            <w:right w:val="none" w:sz="0" w:space="0" w:color="auto"/>
          </w:divBdr>
        </w:div>
        <w:div w:id="1389450972">
          <w:marLeft w:val="0"/>
          <w:marRight w:val="0"/>
          <w:marTop w:val="0"/>
          <w:marBottom w:val="0"/>
          <w:divBdr>
            <w:top w:val="none" w:sz="0" w:space="0" w:color="auto"/>
            <w:left w:val="none" w:sz="0" w:space="0" w:color="auto"/>
            <w:bottom w:val="none" w:sz="0" w:space="0" w:color="auto"/>
            <w:right w:val="none" w:sz="0" w:space="0" w:color="auto"/>
          </w:divBdr>
        </w:div>
        <w:div w:id="1344626631">
          <w:marLeft w:val="0"/>
          <w:marRight w:val="0"/>
          <w:marTop w:val="0"/>
          <w:marBottom w:val="0"/>
          <w:divBdr>
            <w:top w:val="none" w:sz="0" w:space="0" w:color="auto"/>
            <w:left w:val="none" w:sz="0" w:space="0" w:color="auto"/>
            <w:bottom w:val="none" w:sz="0" w:space="0" w:color="auto"/>
            <w:right w:val="none" w:sz="0" w:space="0" w:color="auto"/>
          </w:divBdr>
        </w:div>
        <w:div w:id="2072270758">
          <w:marLeft w:val="0"/>
          <w:marRight w:val="0"/>
          <w:marTop w:val="0"/>
          <w:marBottom w:val="0"/>
          <w:divBdr>
            <w:top w:val="none" w:sz="0" w:space="0" w:color="auto"/>
            <w:left w:val="none" w:sz="0" w:space="0" w:color="auto"/>
            <w:bottom w:val="none" w:sz="0" w:space="0" w:color="auto"/>
            <w:right w:val="none" w:sz="0" w:space="0" w:color="auto"/>
          </w:divBdr>
        </w:div>
        <w:div w:id="701899693">
          <w:marLeft w:val="0"/>
          <w:marRight w:val="0"/>
          <w:marTop w:val="0"/>
          <w:marBottom w:val="0"/>
          <w:divBdr>
            <w:top w:val="none" w:sz="0" w:space="0" w:color="auto"/>
            <w:left w:val="none" w:sz="0" w:space="0" w:color="auto"/>
            <w:bottom w:val="none" w:sz="0" w:space="0" w:color="auto"/>
            <w:right w:val="none" w:sz="0" w:space="0" w:color="auto"/>
          </w:divBdr>
        </w:div>
        <w:div w:id="1228763376">
          <w:marLeft w:val="0"/>
          <w:marRight w:val="0"/>
          <w:marTop w:val="0"/>
          <w:marBottom w:val="0"/>
          <w:divBdr>
            <w:top w:val="none" w:sz="0" w:space="0" w:color="auto"/>
            <w:left w:val="none" w:sz="0" w:space="0" w:color="auto"/>
            <w:bottom w:val="none" w:sz="0" w:space="0" w:color="auto"/>
            <w:right w:val="none" w:sz="0" w:space="0" w:color="auto"/>
          </w:divBdr>
        </w:div>
        <w:div w:id="1523741883">
          <w:marLeft w:val="0"/>
          <w:marRight w:val="0"/>
          <w:marTop w:val="0"/>
          <w:marBottom w:val="0"/>
          <w:divBdr>
            <w:top w:val="none" w:sz="0" w:space="0" w:color="auto"/>
            <w:left w:val="none" w:sz="0" w:space="0" w:color="auto"/>
            <w:bottom w:val="none" w:sz="0" w:space="0" w:color="auto"/>
            <w:right w:val="none" w:sz="0" w:space="0" w:color="auto"/>
          </w:divBdr>
        </w:div>
        <w:div w:id="1345520311">
          <w:marLeft w:val="0"/>
          <w:marRight w:val="0"/>
          <w:marTop w:val="0"/>
          <w:marBottom w:val="0"/>
          <w:divBdr>
            <w:top w:val="none" w:sz="0" w:space="0" w:color="auto"/>
            <w:left w:val="none" w:sz="0" w:space="0" w:color="auto"/>
            <w:bottom w:val="none" w:sz="0" w:space="0" w:color="auto"/>
            <w:right w:val="none" w:sz="0" w:space="0" w:color="auto"/>
          </w:divBdr>
        </w:div>
        <w:div w:id="844979392">
          <w:marLeft w:val="0"/>
          <w:marRight w:val="0"/>
          <w:marTop w:val="0"/>
          <w:marBottom w:val="0"/>
          <w:divBdr>
            <w:top w:val="none" w:sz="0" w:space="0" w:color="auto"/>
            <w:left w:val="none" w:sz="0" w:space="0" w:color="auto"/>
            <w:bottom w:val="none" w:sz="0" w:space="0" w:color="auto"/>
            <w:right w:val="none" w:sz="0" w:space="0" w:color="auto"/>
          </w:divBdr>
        </w:div>
        <w:div w:id="1437679374">
          <w:marLeft w:val="0"/>
          <w:marRight w:val="0"/>
          <w:marTop w:val="0"/>
          <w:marBottom w:val="0"/>
          <w:divBdr>
            <w:top w:val="none" w:sz="0" w:space="0" w:color="auto"/>
            <w:left w:val="none" w:sz="0" w:space="0" w:color="auto"/>
            <w:bottom w:val="none" w:sz="0" w:space="0" w:color="auto"/>
            <w:right w:val="none" w:sz="0" w:space="0" w:color="auto"/>
          </w:divBdr>
        </w:div>
        <w:div w:id="559632544">
          <w:marLeft w:val="0"/>
          <w:marRight w:val="0"/>
          <w:marTop w:val="0"/>
          <w:marBottom w:val="0"/>
          <w:divBdr>
            <w:top w:val="none" w:sz="0" w:space="0" w:color="auto"/>
            <w:left w:val="none" w:sz="0" w:space="0" w:color="auto"/>
            <w:bottom w:val="none" w:sz="0" w:space="0" w:color="auto"/>
            <w:right w:val="none" w:sz="0" w:space="0" w:color="auto"/>
          </w:divBdr>
        </w:div>
        <w:div w:id="782110051">
          <w:marLeft w:val="0"/>
          <w:marRight w:val="0"/>
          <w:marTop w:val="0"/>
          <w:marBottom w:val="0"/>
          <w:divBdr>
            <w:top w:val="none" w:sz="0" w:space="0" w:color="auto"/>
            <w:left w:val="none" w:sz="0" w:space="0" w:color="auto"/>
            <w:bottom w:val="none" w:sz="0" w:space="0" w:color="auto"/>
            <w:right w:val="none" w:sz="0" w:space="0" w:color="auto"/>
          </w:divBdr>
        </w:div>
        <w:div w:id="580334163">
          <w:marLeft w:val="0"/>
          <w:marRight w:val="0"/>
          <w:marTop w:val="0"/>
          <w:marBottom w:val="0"/>
          <w:divBdr>
            <w:top w:val="none" w:sz="0" w:space="0" w:color="auto"/>
            <w:left w:val="none" w:sz="0" w:space="0" w:color="auto"/>
            <w:bottom w:val="none" w:sz="0" w:space="0" w:color="auto"/>
            <w:right w:val="none" w:sz="0" w:space="0" w:color="auto"/>
          </w:divBdr>
        </w:div>
        <w:div w:id="941761280">
          <w:marLeft w:val="0"/>
          <w:marRight w:val="0"/>
          <w:marTop w:val="0"/>
          <w:marBottom w:val="0"/>
          <w:divBdr>
            <w:top w:val="none" w:sz="0" w:space="0" w:color="auto"/>
            <w:left w:val="none" w:sz="0" w:space="0" w:color="auto"/>
            <w:bottom w:val="none" w:sz="0" w:space="0" w:color="auto"/>
            <w:right w:val="none" w:sz="0" w:space="0" w:color="auto"/>
          </w:divBdr>
        </w:div>
        <w:div w:id="1009529647">
          <w:marLeft w:val="0"/>
          <w:marRight w:val="0"/>
          <w:marTop w:val="0"/>
          <w:marBottom w:val="0"/>
          <w:divBdr>
            <w:top w:val="none" w:sz="0" w:space="0" w:color="auto"/>
            <w:left w:val="none" w:sz="0" w:space="0" w:color="auto"/>
            <w:bottom w:val="none" w:sz="0" w:space="0" w:color="auto"/>
            <w:right w:val="none" w:sz="0" w:space="0" w:color="auto"/>
          </w:divBdr>
        </w:div>
        <w:div w:id="558513322">
          <w:marLeft w:val="0"/>
          <w:marRight w:val="0"/>
          <w:marTop w:val="0"/>
          <w:marBottom w:val="0"/>
          <w:divBdr>
            <w:top w:val="none" w:sz="0" w:space="0" w:color="auto"/>
            <w:left w:val="none" w:sz="0" w:space="0" w:color="auto"/>
            <w:bottom w:val="none" w:sz="0" w:space="0" w:color="auto"/>
            <w:right w:val="none" w:sz="0" w:space="0" w:color="auto"/>
          </w:divBdr>
        </w:div>
        <w:div w:id="1389842847">
          <w:marLeft w:val="0"/>
          <w:marRight w:val="0"/>
          <w:marTop w:val="0"/>
          <w:marBottom w:val="0"/>
          <w:divBdr>
            <w:top w:val="none" w:sz="0" w:space="0" w:color="auto"/>
            <w:left w:val="none" w:sz="0" w:space="0" w:color="auto"/>
            <w:bottom w:val="none" w:sz="0" w:space="0" w:color="auto"/>
            <w:right w:val="none" w:sz="0" w:space="0" w:color="auto"/>
          </w:divBdr>
        </w:div>
        <w:div w:id="1563908584">
          <w:marLeft w:val="0"/>
          <w:marRight w:val="0"/>
          <w:marTop w:val="0"/>
          <w:marBottom w:val="0"/>
          <w:divBdr>
            <w:top w:val="none" w:sz="0" w:space="0" w:color="auto"/>
            <w:left w:val="none" w:sz="0" w:space="0" w:color="auto"/>
            <w:bottom w:val="none" w:sz="0" w:space="0" w:color="auto"/>
            <w:right w:val="none" w:sz="0" w:space="0" w:color="auto"/>
          </w:divBdr>
        </w:div>
        <w:div w:id="776098243">
          <w:marLeft w:val="0"/>
          <w:marRight w:val="0"/>
          <w:marTop w:val="0"/>
          <w:marBottom w:val="0"/>
          <w:divBdr>
            <w:top w:val="none" w:sz="0" w:space="0" w:color="auto"/>
            <w:left w:val="none" w:sz="0" w:space="0" w:color="auto"/>
            <w:bottom w:val="none" w:sz="0" w:space="0" w:color="auto"/>
            <w:right w:val="none" w:sz="0" w:space="0" w:color="auto"/>
          </w:divBdr>
        </w:div>
        <w:div w:id="1325352609">
          <w:marLeft w:val="0"/>
          <w:marRight w:val="0"/>
          <w:marTop w:val="0"/>
          <w:marBottom w:val="0"/>
          <w:divBdr>
            <w:top w:val="none" w:sz="0" w:space="0" w:color="auto"/>
            <w:left w:val="none" w:sz="0" w:space="0" w:color="auto"/>
            <w:bottom w:val="none" w:sz="0" w:space="0" w:color="auto"/>
            <w:right w:val="none" w:sz="0" w:space="0" w:color="auto"/>
          </w:divBdr>
        </w:div>
        <w:div w:id="1035813048">
          <w:marLeft w:val="0"/>
          <w:marRight w:val="0"/>
          <w:marTop w:val="0"/>
          <w:marBottom w:val="0"/>
          <w:divBdr>
            <w:top w:val="none" w:sz="0" w:space="0" w:color="auto"/>
            <w:left w:val="none" w:sz="0" w:space="0" w:color="auto"/>
            <w:bottom w:val="none" w:sz="0" w:space="0" w:color="auto"/>
            <w:right w:val="none" w:sz="0" w:space="0" w:color="auto"/>
          </w:divBdr>
        </w:div>
        <w:div w:id="1989167993">
          <w:marLeft w:val="0"/>
          <w:marRight w:val="0"/>
          <w:marTop w:val="0"/>
          <w:marBottom w:val="0"/>
          <w:divBdr>
            <w:top w:val="none" w:sz="0" w:space="0" w:color="auto"/>
            <w:left w:val="none" w:sz="0" w:space="0" w:color="auto"/>
            <w:bottom w:val="none" w:sz="0" w:space="0" w:color="auto"/>
            <w:right w:val="none" w:sz="0" w:space="0" w:color="auto"/>
          </w:divBdr>
        </w:div>
        <w:div w:id="68116177">
          <w:marLeft w:val="0"/>
          <w:marRight w:val="0"/>
          <w:marTop w:val="0"/>
          <w:marBottom w:val="0"/>
          <w:divBdr>
            <w:top w:val="none" w:sz="0" w:space="0" w:color="auto"/>
            <w:left w:val="none" w:sz="0" w:space="0" w:color="auto"/>
            <w:bottom w:val="none" w:sz="0" w:space="0" w:color="auto"/>
            <w:right w:val="none" w:sz="0" w:space="0" w:color="auto"/>
          </w:divBdr>
        </w:div>
        <w:div w:id="706027044">
          <w:marLeft w:val="0"/>
          <w:marRight w:val="0"/>
          <w:marTop w:val="0"/>
          <w:marBottom w:val="0"/>
          <w:divBdr>
            <w:top w:val="none" w:sz="0" w:space="0" w:color="auto"/>
            <w:left w:val="none" w:sz="0" w:space="0" w:color="auto"/>
            <w:bottom w:val="none" w:sz="0" w:space="0" w:color="auto"/>
            <w:right w:val="none" w:sz="0" w:space="0" w:color="auto"/>
          </w:divBdr>
        </w:div>
        <w:div w:id="1626545629">
          <w:marLeft w:val="0"/>
          <w:marRight w:val="0"/>
          <w:marTop w:val="0"/>
          <w:marBottom w:val="0"/>
          <w:divBdr>
            <w:top w:val="none" w:sz="0" w:space="0" w:color="auto"/>
            <w:left w:val="none" w:sz="0" w:space="0" w:color="auto"/>
            <w:bottom w:val="none" w:sz="0" w:space="0" w:color="auto"/>
            <w:right w:val="none" w:sz="0" w:space="0" w:color="auto"/>
          </w:divBdr>
        </w:div>
        <w:div w:id="623270273">
          <w:marLeft w:val="0"/>
          <w:marRight w:val="0"/>
          <w:marTop w:val="0"/>
          <w:marBottom w:val="0"/>
          <w:divBdr>
            <w:top w:val="none" w:sz="0" w:space="0" w:color="auto"/>
            <w:left w:val="none" w:sz="0" w:space="0" w:color="auto"/>
            <w:bottom w:val="none" w:sz="0" w:space="0" w:color="auto"/>
            <w:right w:val="none" w:sz="0" w:space="0" w:color="auto"/>
          </w:divBdr>
        </w:div>
        <w:div w:id="1320814669">
          <w:marLeft w:val="0"/>
          <w:marRight w:val="0"/>
          <w:marTop w:val="0"/>
          <w:marBottom w:val="0"/>
          <w:divBdr>
            <w:top w:val="none" w:sz="0" w:space="0" w:color="auto"/>
            <w:left w:val="none" w:sz="0" w:space="0" w:color="auto"/>
            <w:bottom w:val="none" w:sz="0" w:space="0" w:color="auto"/>
            <w:right w:val="none" w:sz="0" w:space="0" w:color="auto"/>
          </w:divBdr>
        </w:div>
        <w:div w:id="1984626706">
          <w:marLeft w:val="0"/>
          <w:marRight w:val="0"/>
          <w:marTop w:val="0"/>
          <w:marBottom w:val="0"/>
          <w:divBdr>
            <w:top w:val="none" w:sz="0" w:space="0" w:color="auto"/>
            <w:left w:val="none" w:sz="0" w:space="0" w:color="auto"/>
            <w:bottom w:val="none" w:sz="0" w:space="0" w:color="auto"/>
            <w:right w:val="none" w:sz="0" w:space="0" w:color="auto"/>
          </w:divBdr>
        </w:div>
        <w:div w:id="1051071748">
          <w:marLeft w:val="0"/>
          <w:marRight w:val="0"/>
          <w:marTop w:val="0"/>
          <w:marBottom w:val="0"/>
          <w:divBdr>
            <w:top w:val="none" w:sz="0" w:space="0" w:color="auto"/>
            <w:left w:val="none" w:sz="0" w:space="0" w:color="auto"/>
            <w:bottom w:val="none" w:sz="0" w:space="0" w:color="auto"/>
            <w:right w:val="none" w:sz="0" w:space="0" w:color="auto"/>
          </w:divBdr>
        </w:div>
        <w:div w:id="1537699155">
          <w:marLeft w:val="0"/>
          <w:marRight w:val="0"/>
          <w:marTop w:val="0"/>
          <w:marBottom w:val="0"/>
          <w:divBdr>
            <w:top w:val="none" w:sz="0" w:space="0" w:color="auto"/>
            <w:left w:val="none" w:sz="0" w:space="0" w:color="auto"/>
            <w:bottom w:val="none" w:sz="0" w:space="0" w:color="auto"/>
            <w:right w:val="none" w:sz="0" w:space="0" w:color="auto"/>
          </w:divBdr>
        </w:div>
        <w:div w:id="1038237569">
          <w:marLeft w:val="0"/>
          <w:marRight w:val="0"/>
          <w:marTop w:val="0"/>
          <w:marBottom w:val="0"/>
          <w:divBdr>
            <w:top w:val="none" w:sz="0" w:space="0" w:color="auto"/>
            <w:left w:val="none" w:sz="0" w:space="0" w:color="auto"/>
            <w:bottom w:val="none" w:sz="0" w:space="0" w:color="auto"/>
            <w:right w:val="none" w:sz="0" w:space="0" w:color="auto"/>
          </w:divBdr>
        </w:div>
        <w:div w:id="1294099895">
          <w:marLeft w:val="0"/>
          <w:marRight w:val="0"/>
          <w:marTop w:val="0"/>
          <w:marBottom w:val="0"/>
          <w:divBdr>
            <w:top w:val="none" w:sz="0" w:space="0" w:color="auto"/>
            <w:left w:val="none" w:sz="0" w:space="0" w:color="auto"/>
            <w:bottom w:val="none" w:sz="0" w:space="0" w:color="auto"/>
            <w:right w:val="none" w:sz="0" w:space="0" w:color="auto"/>
          </w:divBdr>
        </w:div>
        <w:div w:id="872764039">
          <w:marLeft w:val="0"/>
          <w:marRight w:val="0"/>
          <w:marTop w:val="0"/>
          <w:marBottom w:val="0"/>
          <w:divBdr>
            <w:top w:val="none" w:sz="0" w:space="0" w:color="auto"/>
            <w:left w:val="none" w:sz="0" w:space="0" w:color="auto"/>
            <w:bottom w:val="none" w:sz="0" w:space="0" w:color="auto"/>
            <w:right w:val="none" w:sz="0" w:space="0" w:color="auto"/>
          </w:divBdr>
        </w:div>
        <w:div w:id="2088728031">
          <w:marLeft w:val="0"/>
          <w:marRight w:val="0"/>
          <w:marTop w:val="0"/>
          <w:marBottom w:val="0"/>
          <w:divBdr>
            <w:top w:val="none" w:sz="0" w:space="0" w:color="auto"/>
            <w:left w:val="none" w:sz="0" w:space="0" w:color="auto"/>
            <w:bottom w:val="none" w:sz="0" w:space="0" w:color="auto"/>
            <w:right w:val="none" w:sz="0" w:space="0" w:color="auto"/>
          </w:divBdr>
        </w:div>
        <w:div w:id="285433306">
          <w:marLeft w:val="0"/>
          <w:marRight w:val="0"/>
          <w:marTop w:val="0"/>
          <w:marBottom w:val="0"/>
          <w:divBdr>
            <w:top w:val="none" w:sz="0" w:space="0" w:color="auto"/>
            <w:left w:val="none" w:sz="0" w:space="0" w:color="auto"/>
            <w:bottom w:val="none" w:sz="0" w:space="0" w:color="auto"/>
            <w:right w:val="none" w:sz="0" w:space="0" w:color="auto"/>
          </w:divBdr>
        </w:div>
        <w:div w:id="700739964">
          <w:marLeft w:val="0"/>
          <w:marRight w:val="0"/>
          <w:marTop w:val="0"/>
          <w:marBottom w:val="0"/>
          <w:divBdr>
            <w:top w:val="none" w:sz="0" w:space="0" w:color="auto"/>
            <w:left w:val="none" w:sz="0" w:space="0" w:color="auto"/>
            <w:bottom w:val="none" w:sz="0" w:space="0" w:color="auto"/>
            <w:right w:val="none" w:sz="0" w:space="0" w:color="auto"/>
          </w:divBdr>
        </w:div>
        <w:div w:id="1594850987">
          <w:marLeft w:val="0"/>
          <w:marRight w:val="0"/>
          <w:marTop w:val="0"/>
          <w:marBottom w:val="0"/>
          <w:divBdr>
            <w:top w:val="none" w:sz="0" w:space="0" w:color="auto"/>
            <w:left w:val="none" w:sz="0" w:space="0" w:color="auto"/>
            <w:bottom w:val="none" w:sz="0" w:space="0" w:color="auto"/>
            <w:right w:val="none" w:sz="0" w:space="0" w:color="auto"/>
          </w:divBdr>
        </w:div>
        <w:div w:id="626080611">
          <w:marLeft w:val="0"/>
          <w:marRight w:val="0"/>
          <w:marTop w:val="0"/>
          <w:marBottom w:val="0"/>
          <w:divBdr>
            <w:top w:val="none" w:sz="0" w:space="0" w:color="auto"/>
            <w:left w:val="none" w:sz="0" w:space="0" w:color="auto"/>
            <w:bottom w:val="none" w:sz="0" w:space="0" w:color="auto"/>
            <w:right w:val="none" w:sz="0" w:space="0" w:color="auto"/>
          </w:divBdr>
        </w:div>
        <w:div w:id="1493327382">
          <w:marLeft w:val="0"/>
          <w:marRight w:val="0"/>
          <w:marTop w:val="0"/>
          <w:marBottom w:val="0"/>
          <w:divBdr>
            <w:top w:val="none" w:sz="0" w:space="0" w:color="auto"/>
            <w:left w:val="none" w:sz="0" w:space="0" w:color="auto"/>
            <w:bottom w:val="none" w:sz="0" w:space="0" w:color="auto"/>
            <w:right w:val="none" w:sz="0" w:space="0" w:color="auto"/>
          </w:divBdr>
        </w:div>
        <w:div w:id="653072572">
          <w:marLeft w:val="0"/>
          <w:marRight w:val="0"/>
          <w:marTop w:val="0"/>
          <w:marBottom w:val="0"/>
          <w:divBdr>
            <w:top w:val="none" w:sz="0" w:space="0" w:color="auto"/>
            <w:left w:val="none" w:sz="0" w:space="0" w:color="auto"/>
            <w:bottom w:val="none" w:sz="0" w:space="0" w:color="auto"/>
            <w:right w:val="none" w:sz="0" w:space="0" w:color="auto"/>
          </w:divBdr>
        </w:div>
        <w:div w:id="41758657">
          <w:marLeft w:val="0"/>
          <w:marRight w:val="0"/>
          <w:marTop w:val="0"/>
          <w:marBottom w:val="0"/>
          <w:divBdr>
            <w:top w:val="none" w:sz="0" w:space="0" w:color="auto"/>
            <w:left w:val="none" w:sz="0" w:space="0" w:color="auto"/>
            <w:bottom w:val="none" w:sz="0" w:space="0" w:color="auto"/>
            <w:right w:val="none" w:sz="0" w:space="0" w:color="auto"/>
          </w:divBdr>
        </w:div>
        <w:div w:id="522406512">
          <w:marLeft w:val="0"/>
          <w:marRight w:val="0"/>
          <w:marTop w:val="0"/>
          <w:marBottom w:val="0"/>
          <w:divBdr>
            <w:top w:val="none" w:sz="0" w:space="0" w:color="auto"/>
            <w:left w:val="none" w:sz="0" w:space="0" w:color="auto"/>
            <w:bottom w:val="none" w:sz="0" w:space="0" w:color="auto"/>
            <w:right w:val="none" w:sz="0" w:space="0" w:color="auto"/>
          </w:divBdr>
        </w:div>
        <w:div w:id="1061171166">
          <w:marLeft w:val="0"/>
          <w:marRight w:val="0"/>
          <w:marTop w:val="0"/>
          <w:marBottom w:val="0"/>
          <w:divBdr>
            <w:top w:val="none" w:sz="0" w:space="0" w:color="auto"/>
            <w:left w:val="none" w:sz="0" w:space="0" w:color="auto"/>
            <w:bottom w:val="none" w:sz="0" w:space="0" w:color="auto"/>
            <w:right w:val="none" w:sz="0" w:space="0" w:color="auto"/>
          </w:divBdr>
        </w:div>
        <w:div w:id="1632049580">
          <w:marLeft w:val="0"/>
          <w:marRight w:val="0"/>
          <w:marTop w:val="0"/>
          <w:marBottom w:val="0"/>
          <w:divBdr>
            <w:top w:val="none" w:sz="0" w:space="0" w:color="auto"/>
            <w:left w:val="none" w:sz="0" w:space="0" w:color="auto"/>
            <w:bottom w:val="none" w:sz="0" w:space="0" w:color="auto"/>
            <w:right w:val="none" w:sz="0" w:space="0" w:color="auto"/>
          </w:divBdr>
        </w:div>
        <w:div w:id="1480264972">
          <w:marLeft w:val="0"/>
          <w:marRight w:val="0"/>
          <w:marTop w:val="0"/>
          <w:marBottom w:val="0"/>
          <w:divBdr>
            <w:top w:val="none" w:sz="0" w:space="0" w:color="auto"/>
            <w:left w:val="none" w:sz="0" w:space="0" w:color="auto"/>
            <w:bottom w:val="none" w:sz="0" w:space="0" w:color="auto"/>
            <w:right w:val="none" w:sz="0" w:space="0" w:color="auto"/>
          </w:divBdr>
        </w:div>
        <w:div w:id="594872904">
          <w:marLeft w:val="0"/>
          <w:marRight w:val="0"/>
          <w:marTop w:val="0"/>
          <w:marBottom w:val="0"/>
          <w:divBdr>
            <w:top w:val="none" w:sz="0" w:space="0" w:color="auto"/>
            <w:left w:val="none" w:sz="0" w:space="0" w:color="auto"/>
            <w:bottom w:val="none" w:sz="0" w:space="0" w:color="auto"/>
            <w:right w:val="none" w:sz="0" w:space="0" w:color="auto"/>
          </w:divBdr>
        </w:div>
        <w:div w:id="2068407132">
          <w:marLeft w:val="0"/>
          <w:marRight w:val="0"/>
          <w:marTop w:val="0"/>
          <w:marBottom w:val="0"/>
          <w:divBdr>
            <w:top w:val="none" w:sz="0" w:space="0" w:color="auto"/>
            <w:left w:val="none" w:sz="0" w:space="0" w:color="auto"/>
            <w:bottom w:val="none" w:sz="0" w:space="0" w:color="auto"/>
            <w:right w:val="none" w:sz="0" w:space="0" w:color="auto"/>
          </w:divBdr>
        </w:div>
        <w:div w:id="2027170523">
          <w:marLeft w:val="0"/>
          <w:marRight w:val="0"/>
          <w:marTop w:val="0"/>
          <w:marBottom w:val="0"/>
          <w:divBdr>
            <w:top w:val="none" w:sz="0" w:space="0" w:color="auto"/>
            <w:left w:val="none" w:sz="0" w:space="0" w:color="auto"/>
            <w:bottom w:val="none" w:sz="0" w:space="0" w:color="auto"/>
            <w:right w:val="none" w:sz="0" w:space="0" w:color="auto"/>
          </w:divBdr>
        </w:div>
        <w:div w:id="442846400">
          <w:marLeft w:val="0"/>
          <w:marRight w:val="0"/>
          <w:marTop w:val="0"/>
          <w:marBottom w:val="0"/>
          <w:divBdr>
            <w:top w:val="none" w:sz="0" w:space="0" w:color="auto"/>
            <w:left w:val="none" w:sz="0" w:space="0" w:color="auto"/>
            <w:bottom w:val="none" w:sz="0" w:space="0" w:color="auto"/>
            <w:right w:val="none" w:sz="0" w:space="0" w:color="auto"/>
          </w:divBdr>
        </w:div>
        <w:div w:id="88199">
          <w:marLeft w:val="0"/>
          <w:marRight w:val="0"/>
          <w:marTop w:val="0"/>
          <w:marBottom w:val="0"/>
          <w:divBdr>
            <w:top w:val="none" w:sz="0" w:space="0" w:color="auto"/>
            <w:left w:val="none" w:sz="0" w:space="0" w:color="auto"/>
            <w:bottom w:val="none" w:sz="0" w:space="0" w:color="auto"/>
            <w:right w:val="none" w:sz="0" w:space="0" w:color="auto"/>
          </w:divBdr>
        </w:div>
        <w:div w:id="1153646402">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848985913">
          <w:marLeft w:val="0"/>
          <w:marRight w:val="0"/>
          <w:marTop w:val="0"/>
          <w:marBottom w:val="0"/>
          <w:divBdr>
            <w:top w:val="none" w:sz="0" w:space="0" w:color="auto"/>
            <w:left w:val="none" w:sz="0" w:space="0" w:color="auto"/>
            <w:bottom w:val="none" w:sz="0" w:space="0" w:color="auto"/>
            <w:right w:val="none" w:sz="0" w:space="0" w:color="auto"/>
          </w:divBdr>
        </w:div>
        <w:div w:id="707796868">
          <w:marLeft w:val="0"/>
          <w:marRight w:val="0"/>
          <w:marTop w:val="0"/>
          <w:marBottom w:val="0"/>
          <w:divBdr>
            <w:top w:val="none" w:sz="0" w:space="0" w:color="auto"/>
            <w:left w:val="none" w:sz="0" w:space="0" w:color="auto"/>
            <w:bottom w:val="none" w:sz="0" w:space="0" w:color="auto"/>
            <w:right w:val="none" w:sz="0" w:space="0" w:color="auto"/>
          </w:divBdr>
        </w:div>
        <w:div w:id="375088504">
          <w:marLeft w:val="0"/>
          <w:marRight w:val="0"/>
          <w:marTop w:val="0"/>
          <w:marBottom w:val="0"/>
          <w:divBdr>
            <w:top w:val="none" w:sz="0" w:space="0" w:color="auto"/>
            <w:left w:val="none" w:sz="0" w:space="0" w:color="auto"/>
            <w:bottom w:val="none" w:sz="0" w:space="0" w:color="auto"/>
            <w:right w:val="none" w:sz="0" w:space="0" w:color="auto"/>
          </w:divBdr>
        </w:div>
        <w:div w:id="1581208523">
          <w:marLeft w:val="0"/>
          <w:marRight w:val="0"/>
          <w:marTop w:val="0"/>
          <w:marBottom w:val="0"/>
          <w:divBdr>
            <w:top w:val="none" w:sz="0" w:space="0" w:color="auto"/>
            <w:left w:val="none" w:sz="0" w:space="0" w:color="auto"/>
            <w:bottom w:val="none" w:sz="0" w:space="0" w:color="auto"/>
            <w:right w:val="none" w:sz="0" w:space="0" w:color="auto"/>
          </w:divBdr>
        </w:div>
        <w:div w:id="595094133">
          <w:marLeft w:val="0"/>
          <w:marRight w:val="0"/>
          <w:marTop w:val="0"/>
          <w:marBottom w:val="0"/>
          <w:divBdr>
            <w:top w:val="none" w:sz="0" w:space="0" w:color="auto"/>
            <w:left w:val="none" w:sz="0" w:space="0" w:color="auto"/>
            <w:bottom w:val="none" w:sz="0" w:space="0" w:color="auto"/>
            <w:right w:val="none" w:sz="0" w:space="0" w:color="auto"/>
          </w:divBdr>
        </w:div>
        <w:div w:id="532380007">
          <w:marLeft w:val="0"/>
          <w:marRight w:val="0"/>
          <w:marTop w:val="0"/>
          <w:marBottom w:val="0"/>
          <w:divBdr>
            <w:top w:val="none" w:sz="0" w:space="0" w:color="auto"/>
            <w:left w:val="none" w:sz="0" w:space="0" w:color="auto"/>
            <w:bottom w:val="none" w:sz="0" w:space="0" w:color="auto"/>
            <w:right w:val="none" w:sz="0" w:space="0" w:color="auto"/>
          </w:divBdr>
        </w:div>
        <w:div w:id="543371920">
          <w:marLeft w:val="0"/>
          <w:marRight w:val="0"/>
          <w:marTop w:val="0"/>
          <w:marBottom w:val="0"/>
          <w:divBdr>
            <w:top w:val="none" w:sz="0" w:space="0" w:color="auto"/>
            <w:left w:val="none" w:sz="0" w:space="0" w:color="auto"/>
            <w:bottom w:val="none" w:sz="0" w:space="0" w:color="auto"/>
            <w:right w:val="none" w:sz="0" w:space="0" w:color="auto"/>
          </w:divBdr>
        </w:div>
        <w:div w:id="1268392728">
          <w:marLeft w:val="0"/>
          <w:marRight w:val="0"/>
          <w:marTop w:val="0"/>
          <w:marBottom w:val="0"/>
          <w:divBdr>
            <w:top w:val="none" w:sz="0" w:space="0" w:color="auto"/>
            <w:left w:val="none" w:sz="0" w:space="0" w:color="auto"/>
            <w:bottom w:val="none" w:sz="0" w:space="0" w:color="auto"/>
            <w:right w:val="none" w:sz="0" w:space="0" w:color="auto"/>
          </w:divBdr>
        </w:div>
        <w:div w:id="1489125658">
          <w:marLeft w:val="0"/>
          <w:marRight w:val="0"/>
          <w:marTop w:val="0"/>
          <w:marBottom w:val="0"/>
          <w:divBdr>
            <w:top w:val="none" w:sz="0" w:space="0" w:color="auto"/>
            <w:left w:val="none" w:sz="0" w:space="0" w:color="auto"/>
            <w:bottom w:val="none" w:sz="0" w:space="0" w:color="auto"/>
            <w:right w:val="none" w:sz="0" w:space="0" w:color="auto"/>
          </w:divBdr>
        </w:div>
        <w:div w:id="695425414">
          <w:marLeft w:val="0"/>
          <w:marRight w:val="0"/>
          <w:marTop w:val="0"/>
          <w:marBottom w:val="0"/>
          <w:divBdr>
            <w:top w:val="none" w:sz="0" w:space="0" w:color="auto"/>
            <w:left w:val="none" w:sz="0" w:space="0" w:color="auto"/>
            <w:bottom w:val="none" w:sz="0" w:space="0" w:color="auto"/>
            <w:right w:val="none" w:sz="0" w:space="0" w:color="auto"/>
          </w:divBdr>
        </w:div>
        <w:div w:id="2134278057">
          <w:marLeft w:val="0"/>
          <w:marRight w:val="0"/>
          <w:marTop w:val="0"/>
          <w:marBottom w:val="0"/>
          <w:divBdr>
            <w:top w:val="none" w:sz="0" w:space="0" w:color="auto"/>
            <w:left w:val="none" w:sz="0" w:space="0" w:color="auto"/>
            <w:bottom w:val="none" w:sz="0" w:space="0" w:color="auto"/>
            <w:right w:val="none" w:sz="0" w:space="0" w:color="auto"/>
          </w:divBdr>
        </w:div>
        <w:div w:id="569384808">
          <w:marLeft w:val="0"/>
          <w:marRight w:val="0"/>
          <w:marTop w:val="0"/>
          <w:marBottom w:val="0"/>
          <w:divBdr>
            <w:top w:val="none" w:sz="0" w:space="0" w:color="auto"/>
            <w:left w:val="none" w:sz="0" w:space="0" w:color="auto"/>
            <w:bottom w:val="none" w:sz="0" w:space="0" w:color="auto"/>
            <w:right w:val="none" w:sz="0" w:space="0" w:color="auto"/>
          </w:divBdr>
        </w:div>
        <w:div w:id="2093578375">
          <w:marLeft w:val="0"/>
          <w:marRight w:val="0"/>
          <w:marTop w:val="0"/>
          <w:marBottom w:val="0"/>
          <w:divBdr>
            <w:top w:val="none" w:sz="0" w:space="0" w:color="auto"/>
            <w:left w:val="none" w:sz="0" w:space="0" w:color="auto"/>
            <w:bottom w:val="none" w:sz="0" w:space="0" w:color="auto"/>
            <w:right w:val="none" w:sz="0" w:space="0" w:color="auto"/>
          </w:divBdr>
        </w:div>
        <w:div w:id="1838306943">
          <w:marLeft w:val="0"/>
          <w:marRight w:val="0"/>
          <w:marTop w:val="0"/>
          <w:marBottom w:val="0"/>
          <w:divBdr>
            <w:top w:val="none" w:sz="0" w:space="0" w:color="auto"/>
            <w:left w:val="none" w:sz="0" w:space="0" w:color="auto"/>
            <w:bottom w:val="none" w:sz="0" w:space="0" w:color="auto"/>
            <w:right w:val="none" w:sz="0" w:space="0" w:color="auto"/>
          </w:divBdr>
        </w:div>
        <w:div w:id="1761675955">
          <w:marLeft w:val="0"/>
          <w:marRight w:val="0"/>
          <w:marTop w:val="0"/>
          <w:marBottom w:val="0"/>
          <w:divBdr>
            <w:top w:val="none" w:sz="0" w:space="0" w:color="auto"/>
            <w:left w:val="none" w:sz="0" w:space="0" w:color="auto"/>
            <w:bottom w:val="none" w:sz="0" w:space="0" w:color="auto"/>
            <w:right w:val="none" w:sz="0" w:space="0" w:color="auto"/>
          </w:divBdr>
        </w:div>
        <w:div w:id="2104258303">
          <w:marLeft w:val="0"/>
          <w:marRight w:val="0"/>
          <w:marTop w:val="0"/>
          <w:marBottom w:val="0"/>
          <w:divBdr>
            <w:top w:val="none" w:sz="0" w:space="0" w:color="auto"/>
            <w:left w:val="none" w:sz="0" w:space="0" w:color="auto"/>
            <w:bottom w:val="none" w:sz="0" w:space="0" w:color="auto"/>
            <w:right w:val="none" w:sz="0" w:space="0" w:color="auto"/>
          </w:divBdr>
        </w:div>
        <w:div w:id="1382901838">
          <w:marLeft w:val="0"/>
          <w:marRight w:val="0"/>
          <w:marTop w:val="0"/>
          <w:marBottom w:val="0"/>
          <w:divBdr>
            <w:top w:val="none" w:sz="0" w:space="0" w:color="auto"/>
            <w:left w:val="none" w:sz="0" w:space="0" w:color="auto"/>
            <w:bottom w:val="none" w:sz="0" w:space="0" w:color="auto"/>
            <w:right w:val="none" w:sz="0" w:space="0" w:color="auto"/>
          </w:divBdr>
        </w:div>
        <w:div w:id="677848330">
          <w:marLeft w:val="0"/>
          <w:marRight w:val="0"/>
          <w:marTop w:val="0"/>
          <w:marBottom w:val="0"/>
          <w:divBdr>
            <w:top w:val="none" w:sz="0" w:space="0" w:color="auto"/>
            <w:left w:val="none" w:sz="0" w:space="0" w:color="auto"/>
            <w:bottom w:val="none" w:sz="0" w:space="0" w:color="auto"/>
            <w:right w:val="none" w:sz="0" w:space="0" w:color="auto"/>
          </w:divBdr>
        </w:div>
        <w:div w:id="65765296">
          <w:marLeft w:val="0"/>
          <w:marRight w:val="0"/>
          <w:marTop w:val="0"/>
          <w:marBottom w:val="0"/>
          <w:divBdr>
            <w:top w:val="none" w:sz="0" w:space="0" w:color="auto"/>
            <w:left w:val="none" w:sz="0" w:space="0" w:color="auto"/>
            <w:bottom w:val="none" w:sz="0" w:space="0" w:color="auto"/>
            <w:right w:val="none" w:sz="0" w:space="0" w:color="auto"/>
          </w:divBdr>
        </w:div>
        <w:div w:id="834346983">
          <w:marLeft w:val="0"/>
          <w:marRight w:val="0"/>
          <w:marTop w:val="0"/>
          <w:marBottom w:val="0"/>
          <w:divBdr>
            <w:top w:val="none" w:sz="0" w:space="0" w:color="auto"/>
            <w:left w:val="none" w:sz="0" w:space="0" w:color="auto"/>
            <w:bottom w:val="none" w:sz="0" w:space="0" w:color="auto"/>
            <w:right w:val="none" w:sz="0" w:space="0" w:color="auto"/>
          </w:divBdr>
        </w:div>
        <w:div w:id="1797719801">
          <w:marLeft w:val="0"/>
          <w:marRight w:val="0"/>
          <w:marTop w:val="0"/>
          <w:marBottom w:val="0"/>
          <w:divBdr>
            <w:top w:val="none" w:sz="0" w:space="0" w:color="auto"/>
            <w:left w:val="none" w:sz="0" w:space="0" w:color="auto"/>
            <w:bottom w:val="none" w:sz="0" w:space="0" w:color="auto"/>
            <w:right w:val="none" w:sz="0" w:space="0" w:color="auto"/>
          </w:divBdr>
        </w:div>
        <w:div w:id="282659379">
          <w:marLeft w:val="0"/>
          <w:marRight w:val="0"/>
          <w:marTop w:val="0"/>
          <w:marBottom w:val="0"/>
          <w:divBdr>
            <w:top w:val="none" w:sz="0" w:space="0" w:color="auto"/>
            <w:left w:val="none" w:sz="0" w:space="0" w:color="auto"/>
            <w:bottom w:val="none" w:sz="0" w:space="0" w:color="auto"/>
            <w:right w:val="none" w:sz="0" w:space="0" w:color="auto"/>
          </w:divBdr>
        </w:div>
        <w:div w:id="1450708107">
          <w:marLeft w:val="0"/>
          <w:marRight w:val="0"/>
          <w:marTop w:val="0"/>
          <w:marBottom w:val="0"/>
          <w:divBdr>
            <w:top w:val="none" w:sz="0" w:space="0" w:color="auto"/>
            <w:left w:val="none" w:sz="0" w:space="0" w:color="auto"/>
            <w:bottom w:val="none" w:sz="0" w:space="0" w:color="auto"/>
            <w:right w:val="none" w:sz="0" w:space="0" w:color="auto"/>
          </w:divBdr>
        </w:div>
        <w:div w:id="835417716">
          <w:marLeft w:val="0"/>
          <w:marRight w:val="0"/>
          <w:marTop w:val="0"/>
          <w:marBottom w:val="0"/>
          <w:divBdr>
            <w:top w:val="none" w:sz="0" w:space="0" w:color="auto"/>
            <w:left w:val="none" w:sz="0" w:space="0" w:color="auto"/>
            <w:bottom w:val="none" w:sz="0" w:space="0" w:color="auto"/>
            <w:right w:val="none" w:sz="0" w:space="0" w:color="auto"/>
          </w:divBdr>
        </w:div>
        <w:div w:id="2038769738">
          <w:marLeft w:val="0"/>
          <w:marRight w:val="0"/>
          <w:marTop w:val="0"/>
          <w:marBottom w:val="0"/>
          <w:divBdr>
            <w:top w:val="none" w:sz="0" w:space="0" w:color="auto"/>
            <w:left w:val="none" w:sz="0" w:space="0" w:color="auto"/>
            <w:bottom w:val="none" w:sz="0" w:space="0" w:color="auto"/>
            <w:right w:val="none" w:sz="0" w:space="0" w:color="auto"/>
          </w:divBdr>
        </w:div>
        <w:div w:id="1035958506">
          <w:marLeft w:val="0"/>
          <w:marRight w:val="0"/>
          <w:marTop w:val="0"/>
          <w:marBottom w:val="0"/>
          <w:divBdr>
            <w:top w:val="none" w:sz="0" w:space="0" w:color="auto"/>
            <w:left w:val="none" w:sz="0" w:space="0" w:color="auto"/>
            <w:bottom w:val="none" w:sz="0" w:space="0" w:color="auto"/>
            <w:right w:val="none" w:sz="0" w:space="0" w:color="auto"/>
          </w:divBdr>
        </w:div>
        <w:div w:id="1190214932">
          <w:marLeft w:val="0"/>
          <w:marRight w:val="0"/>
          <w:marTop w:val="0"/>
          <w:marBottom w:val="0"/>
          <w:divBdr>
            <w:top w:val="none" w:sz="0" w:space="0" w:color="auto"/>
            <w:left w:val="none" w:sz="0" w:space="0" w:color="auto"/>
            <w:bottom w:val="none" w:sz="0" w:space="0" w:color="auto"/>
            <w:right w:val="none" w:sz="0" w:space="0" w:color="auto"/>
          </w:divBdr>
        </w:div>
        <w:div w:id="850921261">
          <w:marLeft w:val="0"/>
          <w:marRight w:val="0"/>
          <w:marTop w:val="0"/>
          <w:marBottom w:val="0"/>
          <w:divBdr>
            <w:top w:val="none" w:sz="0" w:space="0" w:color="auto"/>
            <w:left w:val="none" w:sz="0" w:space="0" w:color="auto"/>
            <w:bottom w:val="none" w:sz="0" w:space="0" w:color="auto"/>
            <w:right w:val="none" w:sz="0" w:space="0" w:color="auto"/>
          </w:divBdr>
        </w:div>
        <w:div w:id="1114709682">
          <w:marLeft w:val="0"/>
          <w:marRight w:val="0"/>
          <w:marTop w:val="0"/>
          <w:marBottom w:val="0"/>
          <w:divBdr>
            <w:top w:val="none" w:sz="0" w:space="0" w:color="auto"/>
            <w:left w:val="none" w:sz="0" w:space="0" w:color="auto"/>
            <w:bottom w:val="none" w:sz="0" w:space="0" w:color="auto"/>
            <w:right w:val="none" w:sz="0" w:space="0" w:color="auto"/>
          </w:divBdr>
        </w:div>
        <w:div w:id="843320341">
          <w:marLeft w:val="0"/>
          <w:marRight w:val="0"/>
          <w:marTop w:val="0"/>
          <w:marBottom w:val="0"/>
          <w:divBdr>
            <w:top w:val="none" w:sz="0" w:space="0" w:color="auto"/>
            <w:left w:val="none" w:sz="0" w:space="0" w:color="auto"/>
            <w:bottom w:val="none" w:sz="0" w:space="0" w:color="auto"/>
            <w:right w:val="none" w:sz="0" w:space="0" w:color="auto"/>
          </w:divBdr>
        </w:div>
        <w:div w:id="2112971535">
          <w:marLeft w:val="0"/>
          <w:marRight w:val="0"/>
          <w:marTop w:val="0"/>
          <w:marBottom w:val="0"/>
          <w:divBdr>
            <w:top w:val="none" w:sz="0" w:space="0" w:color="auto"/>
            <w:left w:val="none" w:sz="0" w:space="0" w:color="auto"/>
            <w:bottom w:val="none" w:sz="0" w:space="0" w:color="auto"/>
            <w:right w:val="none" w:sz="0" w:space="0" w:color="auto"/>
          </w:divBdr>
        </w:div>
        <w:div w:id="1785612416">
          <w:marLeft w:val="0"/>
          <w:marRight w:val="0"/>
          <w:marTop w:val="0"/>
          <w:marBottom w:val="0"/>
          <w:divBdr>
            <w:top w:val="none" w:sz="0" w:space="0" w:color="auto"/>
            <w:left w:val="none" w:sz="0" w:space="0" w:color="auto"/>
            <w:bottom w:val="none" w:sz="0" w:space="0" w:color="auto"/>
            <w:right w:val="none" w:sz="0" w:space="0" w:color="auto"/>
          </w:divBdr>
        </w:div>
        <w:div w:id="1856262763">
          <w:marLeft w:val="0"/>
          <w:marRight w:val="0"/>
          <w:marTop w:val="0"/>
          <w:marBottom w:val="0"/>
          <w:divBdr>
            <w:top w:val="none" w:sz="0" w:space="0" w:color="auto"/>
            <w:left w:val="none" w:sz="0" w:space="0" w:color="auto"/>
            <w:bottom w:val="none" w:sz="0" w:space="0" w:color="auto"/>
            <w:right w:val="none" w:sz="0" w:space="0" w:color="auto"/>
          </w:divBdr>
        </w:div>
        <w:div w:id="1792170204">
          <w:marLeft w:val="0"/>
          <w:marRight w:val="0"/>
          <w:marTop w:val="0"/>
          <w:marBottom w:val="0"/>
          <w:divBdr>
            <w:top w:val="none" w:sz="0" w:space="0" w:color="auto"/>
            <w:left w:val="none" w:sz="0" w:space="0" w:color="auto"/>
            <w:bottom w:val="none" w:sz="0" w:space="0" w:color="auto"/>
            <w:right w:val="none" w:sz="0" w:space="0" w:color="auto"/>
          </w:divBdr>
        </w:div>
        <w:div w:id="354884589">
          <w:marLeft w:val="0"/>
          <w:marRight w:val="0"/>
          <w:marTop w:val="0"/>
          <w:marBottom w:val="0"/>
          <w:divBdr>
            <w:top w:val="none" w:sz="0" w:space="0" w:color="auto"/>
            <w:left w:val="none" w:sz="0" w:space="0" w:color="auto"/>
            <w:bottom w:val="none" w:sz="0" w:space="0" w:color="auto"/>
            <w:right w:val="none" w:sz="0" w:space="0" w:color="auto"/>
          </w:divBdr>
        </w:div>
        <w:div w:id="1411849803">
          <w:marLeft w:val="0"/>
          <w:marRight w:val="0"/>
          <w:marTop w:val="0"/>
          <w:marBottom w:val="0"/>
          <w:divBdr>
            <w:top w:val="none" w:sz="0" w:space="0" w:color="auto"/>
            <w:left w:val="none" w:sz="0" w:space="0" w:color="auto"/>
            <w:bottom w:val="none" w:sz="0" w:space="0" w:color="auto"/>
            <w:right w:val="none" w:sz="0" w:space="0" w:color="auto"/>
          </w:divBdr>
        </w:div>
        <w:div w:id="1111895163">
          <w:marLeft w:val="0"/>
          <w:marRight w:val="0"/>
          <w:marTop w:val="0"/>
          <w:marBottom w:val="0"/>
          <w:divBdr>
            <w:top w:val="none" w:sz="0" w:space="0" w:color="auto"/>
            <w:left w:val="none" w:sz="0" w:space="0" w:color="auto"/>
            <w:bottom w:val="none" w:sz="0" w:space="0" w:color="auto"/>
            <w:right w:val="none" w:sz="0" w:space="0" w:color="auto"/>
          </w:divBdr>
        </w:div>
        <w:div w:id="18898767">
          <w:marLeft w:val="0"/>
          <w:marRight w:val="0"/>
          <w:marTop w:val="0"/>
          <w:marBottom w:val="0"/>
          <w:divBdr>
            <w:top w:val="none" w:sz="0" w:space="0" w:color="auto"/>
            <w:left w:val="none" w:sz="0" w:space="0" w:color="auto"/>
            <w:bottom w:val="none" w:sz="0" w:space="0" w:color="auto"/>
            <w:right w:val="none" w:sz="0" w:space="0" w:color="auto"/>
          </w:divBdr>
        </w:div>
        <w:div w:id="1494106638">
          <w:marLeft w:val="0"/>
          <w:marRight w:val="0"/>
          <w:marTop w:val="0"/>
          <w:marBottom w:val="0"/>
          <w:divBdr>
            <w:top w:val="none" w:sz="0" w:space="0" w:color="auto"/>
            <w:left w:val="none" w:sz="0" w:space="0" w:color="auto"/>
            <w:bottom w:val="none" w:sz="0" w:space="0" w:color="auto"/>
            <w:right w:val="none" w:sz="0" w:space="0" w:color="auto"/>
          </w:divBdr>
        </w:div>
        <w:div w:id="773600678">
          <w:marLeft w:val="0"/>
          <w:marRight w:val="0"/>
          <w:marTop w:val="0"/>
          <w:marBottom w:val="0"/>
          <w:divBdr>
            <w:top w:val="none" w:sz="0" w:space="0" w:color="auto"/>
            <w:left w:val="none" w:sz="0" w:space="0" w:color="auto"/>
            <w:bottom w:val="none" w:sz="0" w:space="0" w:color="auto"/>
            <w:right w:val="none" w:sz="0" w:space="0" w:color="auto"/>
          </w:divBdr>
        </w:div>
        <w:div w:id="965043306">
          <w:marLeft w:val="0"/>
          <w:marRight w:val="0"/>
          <w:marTop w:val="0"/>
          <w:marBottom w:val="0"/>
          <w:divBdr>
            <w:top w:val="none" w:sz="0" w:space="0" w:color="auto"/>
            <w:left w:val="none" w:sz="0" w:space="0" w:color="auto"/>
            <w:bottom w:val="none" w:sz="0" w:space="0" w:color="auto"/>
            <w:right w:val="none" w:sz="0" w:space="0" w:color="auto"/>
          </w:divBdr>
        </w:div>
        <w:div w:id="1512255124">
          <w:marLeft w:val="0"/>
          <w:marRight w:val="0"/>
          <w:marTop w:val="0"/>
          <w:marBottom w:val="0"/>
          <w:divBdr>
            <w:top w:val="none" w:sz="0" w:space="0" w:color="auto"/>
            <w:left w:val="none" w:sz="0" w:space="0" w:color="auto"/>
            <w:bottom w:val="none" w:sz="0" w:space="0" w:color="auto"/>
            <w:right w:val="none" w:sz="0" w:space="0" w:color="auto"/>
          </w:divBdr>
        </w:div>
        <w:div w:id="1973709888">
          <w:marLeft w:val="0"/>
          <w:marRight w:val="0"/>
          <w:marTop w:val="0"/>
          <w:marBottom w:val="0"/>
          <w:divBdr>
            <w:top w:val="none" w:sz="0" w:space="0" w:color="auto"/>
            <w:left w:val="none" w:sz="0" w:space="0" w:color="auto"/>
            <w:bottom w:val="none" w:sz="0" w:space="0" w:color="auto"/>
            <w:right w:val="none" w:sz="0" w:space="0" w:color="auto"/>
          </w:divBdr>
        </w:div>
        <w:div w:id="1849517542">
          <w:marLeft w:val="0"/>
          <w:marRight w:val="0"/>
          <w:marTop w:val="0"/>
          <w:marBottom w:val="0"/>
          <w:divBdr>
            <w:top w:val="none" w:sz="0" w:space="0" w:color="auto"/>
            <w:left w:val="none" w:sz="0" w:space="0" w:color="auto"/>
            <w:bottom w:val="none" w:sz="0" w:space="0" w:color="auto"/>
            <w:right w:val="none" w:sz="0" w:space="0" w:color="auto"/>
          </w:divBdr>
        </w:div>
        <w:div w:id="1480802068">
          <w:marLeft w:val="0"/>
          <w:marRight w:val="0"/>
          <w:marTop w:val="0"/>
          <w:marBottom w:val="0"/>
          <w:divBdr>
            <w:top w:val="none" w:sz="0" w:space="0" w:color="auto"/>
            <w:left w:val="none" w:sz="0" w:space="0" w:color="auto"/>
            <w:bottom w:val="none" w:sz="0" w:space="0" w:color="auto"/>
            <w:right w:val="none" w:sz="0" w:space="0" w:color="auto"/>
          </w:divBdr>
        </w:div>
        <w:div w:id="1802534534">
          <w:marLeft w:val="0"/>
          <w:marRight w:val="0"/>
          <w:marTop w:val="0"/>
          <w:marBottom w:val="0"/>
          <w:divBdr>
            <w:top w:val="none" w:sz="0" w:space="0" w:color="auto"/>
            <w:left w:val="none" w:sz="0" w:space="0" w:color="auto"/>
            <w:bottom w:val="none" w:sz="0" w:space="0" w:color="auto"/>
            <w:right w:val="none" w:sz="0" w:space="0" w:color="auto"/>
          </w:divBdr>
        </w:div>
        <w:div w:id="2009668826">
          <w:marLeft w:val="0"/>
          <w:marRight w:val="0"/>
          <w:marTop w:val="0"/>
          <w:marBottom w:val="0"/>
          <w:divBdr>
            <w:top w:val="none" w:sz="0" w:space="0" w:color="auto"/>
            <w:left w:val="none" w:sz="0" w:space="0" w:color="auto"/>
            <w:bottom w:val="none" w:sz="0" w:space="0" w:color="auto"/>
            <w:right w:val="none" w:sz="0" w:space="0" w:color="auto"/>
          </w:divBdr>
        </w:div>
        <w:div w:id="1884368459">
          <w:marLeft w:val="0"/>
          <w:marRight w:val="0"/>
          <w:marTop w:val="0"/>
          <w:marBottom w:val="0"/>
          <w:divBdr>
            <w:top w:val="none" w:sz="0" w:space="0" w:color="auto"/>
            <w:left w:val="none" w:sz="0" w:space="0" w:color="auto"/>
            <w:bottom w:val="none" w:sz="0" w:space="0" w:color="auto"/>
            <w:right w:val="none" w:sz="0" w:space="0" w:color="auto"/>
          </w:divBdr>
        </w:div>
        <w:div w:id="1990479482">
          <w:marLeft w:val="0"/>
          <w:marRight w:val="0"/>
          <w:marTop w:val="0"/>
          <w:marBottom w:val="0"/>
          <w:divBdr>
            <w:top w:val="none" w:sz="0" w:space="0" w:color="auto"/>
            <w:left w:val="none" w:sz="0" w:space="0" w:color="auto"/>
            <w:bottom w:val="none" w:sz="0" w:space="0" w:color="auto"/>
            <w:right w:val="none" w:sz="0" w:space="0" w:color="auto"/>
          </w:divBdr>
        </w:div>
        <w:div w:id="980499506">
          <w:marLeft w:val="0"/>
          <w:marRight w:val="0"/>
          <w:marTop w:val="0"/>
          <w:marBottom w:val="0"/>
          <w:divBdr>
            <w:top w:val="none" w:sz="0" w:space="0" w:color="auto"/>
            <w:left w:val="none" w:sz="0" w:space="0" w:color="auto"/>
            <w:bottom w:val="none" w:sz="0" w:space="0" w:color="auto"/>
            <w:right w:val="none" w:sz="0" w:space="0" w:color="auto"/>
          </w:divBdr>
        </w:div>
        <w:div w:id="1534732292">
          <w:marLeft w:val="0"/>
          <w:marRight w:val="0"/>
          <w:marTop w:val="0"/>
          <w:marBottom w:val="0"/>
          <w:divBdr>
            <w:top w:val="none" w:sz="0" w:space="0" w:color="auto"/>
            <w:left w:val="none" w:sz="0" w:space="0" w:color="auto"/>
            <w:bottom w:val="none" w:sz="0" w:space="0" w:color="auto"/>
            <w:right w:val="none" w:sz="0" w:space="0" w:color="auto"/>
          </w:divBdr>
        </w:div>
        <w:div w:id="600451801">
          <w:marLeft w:val="0"/>
          <w:marRight w:val="0"/>
          <w:marTop w:val="0"/>
          <w:marBottom w:val="0"/>
          <w:divBdr>
            <w:top w:val="none" w:sz="0" w:space="0" w:color="auto"/>
            <w:left w:val="none" w:sz="0" w:space="0" w:color="auto"/>
            <w:bottom w:val="none" w:sz="0" w:space="0" w:color="auto"/>
            <w:right w:val="none" w:sz="0" w:space="0" w:color="auto"/>
          </w:divBdr>
        </w:div>
        <w:div w:id="1714109239">
          <w:marLeft w:val="0"/>
          <w:marRight w:val="0"/>
          <w:marTop w:val="0"/>
          <w:marBottom w:val="0"/>
          <w:divBdr>
            <w:top w:val="none" w:sz="0" w:space="0" w:color="auto"/>
            <w:left w:val="none" w:sz="0" w:space="0" w:color="auto"/>
            <w:bottom w:val="none" w:sz="0" w:space="0" w:color="auto"/>
            <w:right w:val="none" w:sz="0" w:space="0" w:color="auto"/>
          </w:divBdr>
        </w:div>
        <w:div w:id="875042093">
          <w:marLeft w:val="0"/>
          <w:marRight w:val="0"/>
          <w:marTop w:val="0"/>
          <w:marBottom w:val="0"/>
          <w:divBdr>
            <w:top w:val="none" w:sz="0" w:space="0" w:color="auto"/>
            <w:left w:val="none" w:sz="0" w:space="0" w:color="auto"/>
            <w:bottom w:val="none" w:sz="0" w:space="0" w:color="auto"/>
            <w:right w:val="none" w:sz="0" w:space="0" w:color="auto"/>
          </w:divBdr>
        </w:div>
        <w:div w:id="1999074824">
          <w:marLeft w:val="0"/>
          <w:marRight w:val="0"/>
          <w:marTop w:val="0"/>
          <w:marBottom w:val="0"/>
          <w:divBdr>
            <w:top w:val="none" w:sz="0" w:space="0" w:color="auto"/>
            <w:left w:val="none" w:sz="0" w:space="0" w:color="auto"/>
            <w:bottom w:val="none" w:sz="0" w:space="0" w:color="auto"/>
            <w:right w:val="none" w:sz="0" w:space="0" w:color="auto"/>
          </w:divBdr>
        </w:div>
        <w:div w:id="695040081">
          <w:marLeft w:val="0"/>
          <w:marRight w:val="0"/>
          <w:marTop w:val="0"/>
          <w:marBottom w:val="0"/>
          <w:divBdr>
            <w:top w:val="none" w:sz="0" w:space="0" w:color="auto"/>
            <w:left w:val="none" w:sz="0" w:space="0" w:color="auto"/>
            <w:bottom w:val="none" w:sz="0" w:space="0" w:color="auto"/>
            <w:right w:val="none" w:sz="0" w:space="0" w:color="auto"/>
          </w:divBdr>
        </w:div>
        <w:div w:id="1771505913">
          <w:marLeft w:val="0"/>
          <w:marRight w:val="0"/>
          <w:marTop w:val="0"/>
          <w:marBottom w:val="0"/>
          <w:divBdr>
            <w:top w:val="none" w:sz="0" w:space="0" w:color="auto"/>
            <w:left w:val="none" w:sz="0" w:space="0" w:color="auto"/>
            <w:bottom w:val="none" w:sz="0" w:space="0" w:color="auto"/>
            <w:right w:val="none" w:sz="0" w:space="0" w:color="auto"/>
          </w:divBdr>
        </w:div>
        <w:div w:id="1169443297">
          <w:marLeft w:val="0"/>
          <w:marRight w:val="0"/>
          <w:marTop w:val="0"/>
          <w:marBottom w:val="0"/>
          <w:divBdr>
            <w:top w:val="none" w:sz="0" w:space="0" w:color="auto"/>
            <w:left w:val="none" w:sz="0" w:space="0" w:color="auto"/>
            <w:bottom w:val="none" w:sz="0" w:space="0" w:color="auto"/>
            <w:right w:val="none" w:sz="0" w:space="0" w:color="auto"/>
          </w:divBdr>
        </w:div>
        <w:div w:id="1804812364">
          <w:marLeft w:val="0"/>
          <w:marRight w:val="0"/>
          <w:marTop w:val="0"/>
          <w:marBottom w:val="0"/>
          <w:divBdr>
            <w:top w:val="none" w:sz="0" w:space="0" w:color="auto"/>
            <w:left w:val="none" w:sz="0" w:space="0" w:color="auto"/>
            <w:bottom w:val="none" w:sz="0" w:space="0" w:color="auto"/>
            <w:right w:val="none" w:sz="0" w:space="0" w:color="auto"/>
          </w:divBdr>
        </w:div>
        <w:div w:id="1208374412">
          <w:marLeft w:val="0"/>
          <w:marRight w:val="0"/>
          <w:marTop w:val="0"/>
          <w:marBottom w:val="0"/>
          <w:divBdr>
            <w:top w:val="none" w:sz="0" w:space="0" w:color="auto"/>
            <w:left w:val="none" w:sz="0" w:space="0" w:color="auto"/>
            <w:bottom w:val="none" w:sz="0" w:space="0" w:color="auto"/>
            <w:right w:val="none" w:sz="0" w:space="0" w:color="auto"/>
          </w:divBdr>
        </w:div>
        <w:div w:id="243760356">
          <w:marLeft w:val="0"/>
          <w:marRight w:val="0"/>
          <w:marTop w:val="0"/>
          <w:marBottom w:val="0"/>
          <w:divBdr>
            <w:top w:val="none" w:sz="0" w:space="0" w:color="auto"/>
            <w:left w:val="none" w:sz="0" w:space="0" w:color="auto"/>
            <w:bottom w:val="none" w:sz="0" w:space="0" w:color="auto"/>
            <w:right w:val="none" w:sz="0" w:space="0" w:color="auto"/>
          </w:divBdr>
        </w:div>
        <w:div w:id="1635872827">
          <w:marLeft w:val="0"/>
          <w:marRight w:val="0"/>
          <w:marTop w:val="0"/>
          <w:marBottom w:val="0"/>
          <w:divBdr>
            <w:top w:val="none" w:sz="0" w:space="0" w:color="auto"/>
            <w:left w:val="none" w:sz="0" w:space="0" w:color="auto"/>
            <w:bottom w:val="none" w:sz="0" w:space="0" w:color="auto"/>
            <w:right w:val="none" w:sz="0" w:space="0" w:color="auto"/>
          </w:divBdr>
        </w:div>
        <w:div w:id="805858065">
          <w:marLeft w:val="0"/>
          <w:marRight w:val="0"/>
          <w:marTop w:val="0"/>
          <w:marBottom w:val="0"/>
          <w:divBdr>
            <w:top w:val="none" w:sz="0" w:space="0" w:color="auto"/>
            <w:left w:val="none" w:sz="0" w:space="0" w:color="auto"/>
            <w:bottom w:val="none" w:sz="0" w:space="0" w:color="auto"/>
            <w:right w:val="none" w:sz="0" w:space="0" w:color="auto"/>
          </w:divBdr>
        </w:div>
        <w:div w:id="559170961">
          <w:marLeft w:val="0"/>
          <w:marRight w:val="0"/>
          <w:marTop w:val="0"/>
          <w:marBottom w:val="0"/>
          <w:divBdr>
            <w:top w:val="none" w:sz="0" w:space="0" w:color="auto"/>
            <w:left w:val="none" w:sz="0" w:space="0" w:color="auto"/>
            <w:bottom w:val="none" w:sz="0" w:space="0" w:color="auto"/>
            <w:right w:val="none" w:sz="0" w:space="0" w:color="auto"/>
          </w:divBdr>
        </w:div>
        <w:div w:id="1882742864">
          <w:marLeft w:val="0"/>
          <w:marRight w:val="0"/>
          <w:marTop w:val="0"/>
          <w:marBottom w:val="0"/>
          <w:divBdr>
            <w:top w:val="none" w:sz="0" w:space="0" w:color="auto"/>
            <w:left w:val="none" w:sz="0" w:space="0" w:color="auto"/>
            <w:bottom w:val="none" w:sz="0" w:space="0" w:color="auto"/>
            <w:right w:val="none" w:sz="0" w:space="0" w:color="auto"/>
          </w:divBdr>
        </w:div>
        <w:div w:id="265619720">
          <w:marLeft w:val="0"/>
          <w:marRight w:val="0"/>
          <w:marTop w:val="0"/>
          <w:marBottom w:val="0"/>
          <w:divBdr>
            <w:top w:val="none" w:sz="0" w:space="0" w:color="auto"/>
            <w:left w:val="none" w:sz="0" w:space="0" w:color="auto"/>
            <w:bottom w:val="none" w:sz="0" w:space="0" w:color="auto"/>
            <w:right w:val="none" w:sz="0" w:space="0" w:color="auto"/>
          </w:divBdr>
        </w:div>
        <w:div w:id="104035516">
          <w:marLeft w:val="0"/>
          <w:marRight w:val="0"/>
          <w:marTop w:val="0"/>
          <w:marBottom w:val="0"/>
          <w:divBdr>
            <w:top w:val="none" w:sz="0" w:space="0" w:color="auto"/>
            <w:left w:val="none" w:sz="0" w:space="0" w:color="auto"/>
            <w:bottom w:val="none" w:sz="0" w:space="0" w:color="auto"/>
            <w:right w:val="none" w:sz="0" w:space="0" w:color="auto"/>
          </w:divBdr>
        </w:div>
        <w:div w:id="1892038904">
          <w:marLeft w:val="0"/>
          <w:marRight w:val="0"/>
          <w:marTop w:val="0"/>
          <w:marBottom w:val="0"/>
          <w:divBdr>
            <w:top w:val="none" w:sz="0" w:space="0" w:color="auto"/>
            <w:left w:val="none" w:sz="0" w:space="0" w:color="auto"/>
            <w:bottom w:val="none" w:sz="0" w:space="0" w:color="auto"/>
            <w:right w:val="none" w:sz="0" w:space="0" w:color="auto"/>
          </w:divBdr>
        </w:div>
        <w:div w:id="319581745">
          <w:marLeft w:val="0"/>
          <w:marRight w:val="0"/>
          <w:marTop w:val="0"/>
          <w:marBottom w:val="0"/>
          <w:divBdr>
            <w:top w:val="none" w:sz="0" w:space="0" w:color="auto"/>
            <w:left w:val="none" w:sz="0" w:space="0" w:color="auto"/>
            <w:bottom w:val="none" w:sz="0" w:space="0" w:color="auto"/>
            <w:right w:val="none" w:sz="0" w:space="0" w:color="auto"/>
          </w:divBdr>
        </w:div>
        <w:div w:id="2004161433">
          <w:marLeft w:val="0"/>
          <w:marRight w:val="0"/>
          <w:marTop w:val="0"/>
          <w:marBottom w:val="0"/>
          <w:divBdr>
            <w:top w:val="none" w:sz="0" w:space="0" w:color="auto"/>
            <w:left w:val="none" w:sz="0" w:space="0" w:color="auto"/>
            <w:bottom w:val="none" w:sz="0" w:space="0" w:color="auto"/>
            <w:right w:val="none" w:sz="0" w:space="0" w:color="auto"/>
          </w:divBdr>
        </w:div>
        <w:div w:id="1860118151">
          <w:marLeft w:val="0"/>
          <w:marRight w:val="0"/>
          <w:marTop w:val="0"/>
          <w:marBottom w:val="0"/>
          <w:divBdr>
            <w:top w:val="none" w:sz="0" w:space="0" w:color="auto"/>
            <w:left w:val="none" w:sz="0" w:space="0" w:color="auto"/>
            <w:bottom w:val="none" w:sz="0" w:space="0" w:color="auto"/>
            <w:right w:val="none" w:sz="0" w:space="0" w:color="auto"/>
          </w:divBdr>
        </w:div>
        <w:div w:id="297540461">
          <w:marLeft w:val="0"/>
          <w:marRight w:val="0"/>
          <w:marTop w:val="0"/>
          <w:marBottom w:val="0"/>
          <w:divBdr>
            <w:top w:val="none" w:sz="0" w:space="0" w:color="auto"/>
            <w:left w:val="none" w:sz="0" w:space="0" w:color="auto"/>
            <w:bottom w:val="none" w:sz="0" w:space="0" w:color="auto"/>
            <w:right w:val="none" w:sz="0" w:space="0" w:color="auto"/>
          </w:divBdr>
        </w:div>
        <w:div w:id="1088816489">
          <w:marLeft w:val="0"/>
          <w:marRight w:val="0"/>
          <w:marTop w:val="0"/>
          <w:marBottom w:val="0"/>
          <w:divBdr>
            <w:top w:val="none" w:sz="0" w:space="0" w:color="auto"/>
            <w:left w:val="none" w:sz="0" w:space="0" w:color="auto"/>
            <w:bottom w:val="none" w:sz="0" w:space="0" w:color="auto"/>
            <w:right w:val="none" w:sz="0" w:space="0" w:color="auto"/>
          </w:divBdr>
        </w:div>
        <w:div w:id="519011438">
          <w:marLeft w:val="0"/>
          <w:marRight w:val="0"/>
          <w:marTop w:val="0"/>
          <w:marBottom w:val="0"/>
          <w:divBdr>
            <w:top w:val="none" w:sz="0" w:space="0" w:color="auto"/>
            <w:left w:val="none" w:sz="0" w:space="0" w:color="auto"/>
            <w:bottom w:val="none" w:sz="0" w:space="0" w:color="auto"/>
            <w:right w:val="none" w:sz="0" w:space="0" w:color="auto"/>
          </w:divBdr>
        </w:div>
        <w:div w:id="930505871">
          <w:marLeft w:val="0"/>
          <w:marRight w:val="0"/>
          <w:marTop w:val="0"/>
          <w:marBottom w:val="0"/>
          <w:divBdr>
            <w:top w:val="none" w:sz="0" w:space="0" w:color="auto"/>
            <w:left w:val="none" w:sz="0" w:space="0" w:color="auto"/>
            <w:bottom w:val="none" w:sz="0" w:space="0" w:color="auto"/>
            <w:right w:val="none" w:sz="0" w:space="0" w:color="auto"/>
          </w:divBdr>
        </w:div>
        <w:div w:id="1466387928">
          <w:marLeft w:val="0"/>
          <w:marRight w:val="0"/>
          <w:marTop w:val="0"/>
          <w:marBottom w:val="0"/>
          <w:divBdr>
            <w:top w:val="none" w:sz="0" w:space="0" w:color="auto"/>
            <w:left w:val="none" w:sz="0" w:space="0" w:color="auto"/>
            <w:bottom w:val="none" w:sz="0" w:space="0" w:color="auto"/>
            <w:right w:val="none" w:sz="0" w:space="0" w:color="auto"/>
          </w:divBdr>
        </w:div>
        <w:div w:id="110170146">
          <w:marLeft w:val="0"/>
          <w:marRight w:val="0"/>
          <w:marTop w:val="0"/>
          <w:marBottom w:val="0"/>
          <w:divBdr>
            <w:top w:val="none" w:sz="0" w:space="0" w:color="auto"/>
            <w:left w:val="none" w:sz="0" w:space="0" w:color="auto"/>
            <w:bottom w:val="none" w:sz="0" w:space="0" w:color="auto"/>
            <w:right w:val="none" w:sz="0" w:space="0" w:color="auto"/>
          </w:divBdr>
        </w:div>
        <w:div w:id="1800221061">
          <w:marLeft w:val="0"/>
          <w:marRight w:val="0"/>
          <w:marTop w:val="0"/>
          <w:marBottom w:val="0"/>
          <w:divBdr>
            <w:top w:val="none" w:sz="0" w:space="0" w:color="auto"/>
            <w:left w:val="none" w:sz="0" w:space="0" w:color="auto"/>
            <w:bottom w:val="none" w:sz="0" w:space="0" w:color="auto"/>
            <w:right w:val="none" w:sz="0" w:space="0" w:color="auto"/>
          </w:divBdr>
        </w:div>
        <w:div w:id="1340889903">
          <w:marLeft w:val="0"/>
          <w:marRight w:val="0"/>
          <w:marTop w:val="0"/>
          <w:marBottom w:val="0"/>
          <w:divBdr>
            <w:top w:val="none" w:sz="0" w:space="0" w:color="auto"/>
            <w:left w:val="none" w:sz="0" w:space="0" w:color="auto"/>
            <w:bottom w:val="none" w:sz="0" w:space="0" w:color="auto"/>
            <w:right w:val="none" w:sz="0" w:space="0" w:color="auto"/>
          </w:divBdr>
        </w:div>
        <w:div w:id="809323324">
          <w:marLeft w:val="0"/>
          <w:marRight w:val="0"/>
          <w:marTop w:val="0"/>
          <w:marBottom w:val="0"/>
          <w:divBdr>
            <w:top w:val="none" w:sz="0" w:space="0" w:color="auto"/>
            <w:left w:val="none" w:sz="0" w:space="0" w:color="auto"/>
            <w:bottom w:val="none" w:sz="0" w:space="0" w:color="auto"/>
            <w:right w:val="none" w:sz="0" w:space="0" w:color="auto"/>
          </w:divBdr>
        </w:div>
        <w:div w:id="1359357937">
          <w:marLeft w:val="0"/>
          <w:marRight w:val="0"/>
          <w:marTop w:val="0"/>
          <w:marBottom w:val="0"/>
          <w:divBdr>
            <w:top w:val="none" w:sz="0" w:space="0" w:color="auto"/>
            <w:left w:val="none" w:sz="0" w:space="0" w:color="auto"/>
            <w:bottom w:val="none" w:sz="0" w:space="0" w:color="auto"/>
            <w:right w:val="none" w:sz="0" w:space="0" w:color="auto"/>
          </w:divBdr>
        </w:div>
        <w:div w:id="1239949151">
          <w:marLeft w:val="0"/>
          <w:marRight w:val="0"/>
          <w:marTop w:val="0"/>
          <w:marBottom w:val="0"/>
          <w:divBdr>
            <w:top w:val="none" w:sz="0" w:space="0" w:color="auto"/>
            <w:left w:val="none" w:sz="0" w:space="0" w:color="auto"/>
            <w:bottom w:val="none" w:sz="0" w:space="0" w:color="auto"/>
            <w:right w:val="none" w:sz="0" w:space="0" w:color="auto"/>
          </w:divBdr>
        </w:div>
        <w:div w:id="2145077504">
          <w:marLeft w:val="0"/>
          <w:marRight w:val="0"/>
          <w:marTop w:val="0"/>
          <w:marBottom w:val="0"/>
          <w:divBdr>
            <w:top w:val="none" w:sz="0" w:space="0" w:color="auto"/>
            <w:left w:val="none" w:sz="0" w:space="0" w:color="auto"/>
            <w:bottom w:val="none" w:sz="0" w:space="0" w:color="auto"/>
            <w:right w:val="none" w:sz="0" w:space="0" w:color="auto"/>
          </w:divBdr>
        </w:div>
        <w:div w:id="641159848">
          <w:marLeft w:val="0"/>
          <w:marRight w:val="0"/>
          <w:marTop w:val="0"/>
          <w:marBottom w:val="0"/>
          <w:divBdr>
            <w:top w:val="none" w:sz="0" w:space="0" w:color="auto"/>
            <w:left w:val="none" w:sz="0" w:space="0" w:color="auto"/>
            <w:bottom w:val="none" w:sz="0" w:space="0" w:color="auto"/>
            <w:right w:val="none" w:sz="0" w:space="0" w:color="auto"/>
          </w:divBdr>
        </w:div>
        <w:div w:id="483207509">
          <w:marLeft w:val="0"/>
          <w:marRight w:val="0"/>
          <w:marTop w:val="0"/>
          <w:marBottom w:val="0"/>
          <w:divBdr>
            <w:top w:val="none" w:sz="0" w:space="0" w:color="auto"/>
            <w:left w:val="none" w:sz="0" w:space="0" w:color="auto"/>
            <w:bottom w:val="none" w:sz="0" w:space="0" w:color="auto"/>
            <w:right w:val="none" w:sz="0" w:space="0" w:color="auto"/>
          </w:divBdr>
        </w:div>
        <w:div w:id="765268497">
          <w:marLeft w:val="0"/>
          <w:marRight w:val="0"/>
          <w:marTop w:val="0"/>
          <w:marBottom w:val="0"/>
          <w:divBdr>
            <w:top w:val="none" w:sz="0" w:space="0" w:color="auto"/>
            <w:left w:val="none" w:sz="0" w:space="0" w:color="auto"/>
            <w:bottom w:val="none" w:sz="0" w:space="0" w:color="auto"/>
            <w:right w:val="none" w:sz="0" w:space="0" w:color="auto"/>
          </w:divBdr>
        </w:div>
        <w:div w:id="797918106">
          <w:marLeft w:val="0"/>
          <w:marRight w:val="0"/>
          <w:marTop w:val="0"/>
          <w:marBottom w:val="0"/>
          <w:divBdr>
            <w:top w:val="none" w:sz="0" w:space="0" w:color="auto"/>
            <w:left w:val="none" w:sz="0" w:space="0" w:color="auto"/>
            <w:bottom w:val="none" w:sz="0" w:space="0" w:color="auto"/>
            <w:right w:val="none" w:sz="0" w:space="0" w:color="auto"/>
          </w:divBdr>
        </w:div>
        <w:div w:id="313686289">
          <w:marLeft w:val="0"/>
          <w:marRight w:val="0"/>
          <w:marTop w:val="0"/>
          <w:marBottom w:val="0"/>
          <w:divBdr>
            <w:top w:val="none" w:sz="0" w:space="0" w:color="auto"/>
            <w:left w:val="none" w:sz="0" w:space="0" w:color="auto"/>
            <w:bottom w:val="none" w:sz="0" w:space="0" w:color="auto"/>
            <w:right w:val="none" w:sz="0" w:space="0" w:color="auto"/>
          </w:divBdr>
        </w:div>
        <w:div w:id="1040863784">
          <w:marLeft w:val="0"/>
          <w:marRight w:val="0"/>
          <w:marTop w:val="0"/>
          <w:marBottom w:val="0"/>
          <w:divBdr>
            <w:top w:val="none" w:sz="0" w:space="0" w:color="auto"/>
            <w:left w:val="none" w:sz="0" w:space="0" w:color="auto"/>
            <w:bottom w:val="none" w:sz="0" w:space="0" w:color="auto"/>
            <w:right w:val="none" w:sz="0" w:space="0" w:color="auto"/>
          </w:divBdr>
        </w:div>
        <w:div w:id="1781292718">
          <w:marLeft w:val="0"/>
          <w:marRight w:val="0"/>
          <w:marTop w:val="0"/>
          <w:marBottom w:val="0"/>
          <w:divBdr>
            <w:top w:val="none" w:sz="0" w:space="0" w:color="auto"/>
            <w:left w:val="none" w:sz="0" w:space="0" w:color="auto"/>
            <w:bottom w:val="none" w:sz="0" w:space="0" w:color="auto"/>
            <w:right w:val="none" w:sz="0" w:space="0" w:color="auto"/>
          </w:divBdr>
        </w:div>
        <w:div w:id="1484539954">
          <w:marLeft w:val="0"/>
          <w:marRight w:val="0"/>
          <w:marTop w:val="0"/>
          <w:marBottom w:val="0"/>
          <w:divBdr>
            <w:top w:val="none" w:sz="0" w:space="0" w:color="auto"/>
            <w:left w:val="none" w:sz="0" w:space="0" w:color="auto"/>
            <w:bottom w:val="none" w:sz="0" w:space="0" w:color="auto"/>
            <w:right w:val="none" w:sz="0" w:space="0" w:color="auto"/>
          </w:divBdr>
        </w:div>
        <w:div w:id="1250382483">
          <w:marLeft w:val="0"/>
          <w:marRight w:val="0"/>
          <w:marTop w:val="0"/>
          <w:marBottom w:val="0"/>
          <w:divBdr>
            <w:top w:val="none" w:sz="0" w:space="0" w:color="auto"/>
            <w:left w:val="none" w:sz="0" w:space="0" w:color="auto"/>
            <w:bottom w:val="none" w:sz="0" w:space="0" w:color="auto"/>
            <w:right w:val="none" w:sz="0" w:space="0" w:color="auto"/>
          </w:divBdr>
        </w:div>
        <w:div w:id="1995600245">
          <w:marLeft w:val="0"/>
          <w:marRight w:val="0"/>
          <w:marTop w:val="0"/>
          <w:marBottom w:val="0"/>
          <w:divBdr>
            <w:top w:val="none" w:sz="0" w:space="0" w:color="auto"/>
            <w:left w:val="none" w:sz="0" w:space="0" w:color="auto"/>
            <w:bottom w:val="none" w:sz="0" w:space="0" w:color="auto"/>
            <w:right w:val="none" w:sz="0" w:space="0" w:color="auto"/>
          </w:divBdr>
        </w:div>
        <w:div w:id="1202477202">
          <w:marLeft w:val="0"/>
          <w:marRight w:val="0"/>
          <w:marTop w:val="0"/>
          <w:marBottom w:val="0"/>
          <w:divBdr>
            <w:top w:val="none" w:sz="0" w:space="0" w:color="auto"/>
            <w:left w:val="none" w:sz="0" w:space="0" w:color="auto"/>
            <w:bottom w:val="none" w:sz="0" w:space="0" w:color="auto"/>
            <w:right w:val="none" w:sz="0" w:space="0" w:color="auto"/>
          </w:divBdr>
        </w:div>
        <w:div w:id="2070958472">
          <w:marLeft w:val="0"/>
          <w:marRight w:val="0"/>
          <w:marTop w:val="0"/>
          <w:marBottom w:val="0"/>
          <w:divBdr>
            <w:top w:val="none" w:sz="0" w:space="0" w:color="auto"/>
            <w:left w:val="none" w:sz="0" w:space="0" w:color="auto"/>
            <w:bottom w:val="none" w:sz="0" w:space="0" w:color="auto"/>
            <w:right w:val="none" w:sz="0" w:space="0" w:color="auto"/>
          </w:divBdr>
        </w:div>
        <w:div w:id="1972317750">
          <w:marLeft w:val="0"/>
          <w:marRight w:val="0"/>
          <w:marTop w:val="0"/>
          <w:marBottom w:val="0"/>
          <w:divBdr>
            <w:top w:val="none" w:sz="0" w:space="0" w:color="auto"/>
            <w:left w:val="none" w:sz="0" w:space="0" w:color="auto"/>
            <w:bottom w:val="none" w:sz="0" w:space="0" w:color="auto"/>
            <w:right w:val="none" w:sz="0" w:space="0" w:color="auto"/>
          </w:divBdr>
        </w:div>
        <w:div w:id="1498761172">
          <w:marLeft w:val="0"/>
          <w:marRight w:val="0"/>
          <w:marTop w:val="0"/>
          <w:marBottom w:val="0"/>
          <w:divBdr>
            <w:top w:val="none" w:sz="0" w:space="0" w:color="auto"/>
            <w:left w:val="none" w:sz="0" w:space="0" w:color="auto"/>
            <w:bottom w:val="none" w:sz="0" w:space="0" w:color="auto"/>
            <w:right w:val="none" w:sz="0" w:space="0" w:color="auto"/>
          </w:divBdr>
        </w:div>
        <w:div w:id="825634793">
          <w:marLeft w:val="0"/>
          <w:marRight w:val="0"/>
          <w:marTop w:val="0"/>
          <w:marBottom w:val="0"/>
          <w:divBdr>
            <w:top w:val="none" w:sz="0" w:space="0" w:color="auto"/>
            <w:left w:val="none" w:sz="0" w:space="0" w:color="auto"/>
            <w:bottom w:val="none" w:sz="0" w:space="0" w:color="auto"/>
            <w:right w:val="none" w:sz="0" w:space="0" w:color="auto"/>
          </w:divBdr>
        </w:div>
        <w:div w:id="222377601">
          <w:marLeft w:val="0"/>
          <w:marRight w:val="0"/>
          <w:marTop w:val="0"/>
          <w:marBottom w:val="0"/>
          <w:divBdr>
            <w:top w:val="none" w:sz="0" w:space="0" w:color="auto"/>
            <w:left w:val="none" w:sz="0" w:space="0" w:color="auto"/>
            <w:bottom w:val="none" w:sz="0" w:space="0" w:color="auto"/>
            <w:right w:val="none" w:sz="0" w:space="0" w:color="auto"/>
          </w:divBdr>
        </w:div>
        <w:div w:id="488059136">
          <w:marLeft w:val="0"/>
          <w:marRight w:val="0"/>
          <w:marTop w:val="0"/>
          <w:marBottom w:val="0"/>
          <w:divBdr>
            <w:top w:val="none" w:sz="0" w:space="0" w:color="auto"/>
            <w:left w:val="none" w:sz="0" w:space="0" w:color="auto"/>
            <w:bottom w:val="none" w:sz="0" w:space="0" w:color="auto"/>
            <w:right w:val="none" w:sz="0" w:space="0" w:color="auto"/>
          </w:divBdr>
        </w:div>
        <w:div w:id="1536231953">
          <w:marLeft w:val="0"/>
          <w:marRight w:val="0"/>
          <w:marTop w:val="0"/>
          <w:marBottom w:val="0"/>
          <w:divBdr>
            <w:top w:val="none" w:sz="0" w:space="0" w:color="auto"/>
            <w:left w:val="none" w:sz="0" w:space="0" w:color="auto"/>
            <w:bottom w:val="none" w:sz="0" w:space="0" w:color="auto"/>
            <w:right w:val="none" w:sz="0" w:space="0" w:color="auto"/>
          </w:divBdr>
        </w:div>
        <w:div w:id="1044410273">
          <w:marLeft w:val="0"/>
          <w:marRight w:val="0"/>
          <w:marTop w:val="0"/>
          <w:marBottom w:val="0"/>
          <w:divBdr>
            <w:top w:val="none" w:sz="0" w:space="0" w:color="auto"/>
            <w:left w:val="none" w:sz="0" w:space="0" w:color="auto"/>
            <w:bottom w:val="none" w:sz="0" w:space="0" w:color="auto"/>
            <w:right w:val="none" w:sz="0" w:space="0" w:color="auto"/>
          </w:divBdr>
        </w:div>
        <w:div w:id="514463781">
          <w:marLeft w:val="0"/>
          <w:marRight w:val="0"/>
          <w:marTop w:val="0"/>
          <w:marBottom w:val="0"/>
          <w:divBdr>
            <w:top w:val="none" w:sz="0" w:space="0" w:color="auto"/>
            <w:left w:val="none" w:sz="0" w:space="0" w:color="auto"/>
            <w:bottom w:val="none" w:sz="0" w:space="0" w:color="auto"/>
            <w:right w:val="none" w:sz="0" w:space="0" w:color="auto"/>
          </w:divBdr>
        </w:div>
        <w:div w:id="1189294581">
          <w:marLeft w:val="0"/>
          <w:marRight w:val="0"/>
          <w:marTop w:val="0"/>
          <w:marBottom w:val="0"/>
          <w:divBdr>
            <w:top w:val="none" w:sz="0" w:space="0" w:color="auto"/>
            <w:left w:val="none" w:sz="0" w:space="0" w:color="auto"/>
            <w:bottom w:val="none" w:sz="0" w:space="0" w:color="auto"/>
            <w:right w:val="none" w:sz="0" w:space="0" w:color="auto"/>
          </w:divBdr>
        </w:div>
        <w:div w:id="706369486">
          <w:marLeft w:val="0"/>
          <w:marRight w:val="0"/>
          <w:marTop w:val="0"/>
          <w:marBottom w:val="0"/>
          <w:divBdr>
            <w:top w:val="none" w:sz="0" w:space="0" w:color="auto"/>
            <w:left w:val="none" w:sz="0" w:space="0" w:color="auto"/>
            <w:bottom w:val="none" w:sz="0" w:space="0" w:color="auto"/>
            <w:right w:val="none" w:sz="0" w:space="0" w:color="auto"/>
          </w:divBdr>
        </w:div>
        <w:div w:id="617102967">
          <w:marLeft w:val="0"/>
          <w:marRight w:val="0"/>
          <w:marTop w:val="0"/>
          <w:marBottom w:val="0"/>
          <w:divBdr>
            <w:top w:val="none" w:sz="0" w:space="0" w:color="auto"/>
            <w:left w:val="none" w:sz="0" w:space="0" w:color="auto"/>
            <w:bottom w:val="none" w:sz="0" w:space="0" w:color="auto"/>
            <w:right w:val="none" w:sz="0" w:space="0" w:color="auto"/>
          </w:divBdr>
        </w:div>
        <w:div w:id="2073846599">
          <w:marLeft w:val="0"/>
          <w:marRight w:val="0"/>
          <w:marTop w:val="0"/>
          <w:marBottom w:val="0"/>
          <w:divBdr>
            <w:top w:val="none" w:sz="0" w:space="0" w:color="auto"/>
            <w:left w:val="none" w:sz="0" w:space="0" w:color="auto"/>
            <w:bottom w:val="none" w:sz="0" w:space="0" w:color="auto"/>
            <w:right w:val="none" w:sz="0" w:space="0" w:color="auto"/>
          </w:divBdr>
        </w:div>
        <w:div w:id="1022898451">
          <w:marLeft w:val="0"/>
          <w:marRight w:val="0"/>
          <w:marTop w:val="0"/>
          <w:marBottom w:val="0"/>
          <w:divBdr>
            <w:top w:val="none" w:sz="0" w:space="0" w:color="auto"/>
            <w:left w:val="none" w:sz="0" w:space="0" w:color="auto"/>
            <w:bottom w:val="none" w:sz="0" w:space="0" w:color="auto"/>
            <w:right w:val="none" w:sz="0" w:space="0" w:color="auto"/>
          </w:divBdr>
        </w:div>
        <w:div w:id="1064526066">
          <w:marLeft w:val="0"/>
          <w:marRight w:val="0"/>
          <w:marTop w:val="0"/>
          <w:marBottom w:val="0"/>
          <w:divBdr>
            <w:top w:val="none" w:sz="0" w:space="0" w:color="auto"/>
            <w:left w:val="none" w:sz="0" w:space="0" w:color="auto"/>
            <w:bottom w:val="none" w:sz="0" w:space="0" w:color="auto"/>
            <w:right w:val="none" w:sz="0" w:space="0" w:color="auto"/>
          </w:divBdr>
        </w:div>
        <w:div w:id="1127890219">
          <w:marLeft w:val="0"/>
          <w:marRight w:val="0"/>
          <w:marTop w:val="0"/>
          <w:marBottom w:val="0"/>
          <w:divBdr>
            <w:top w:val="none" w:sz="0" w:space="0" w:color="auto"/>
            <w:left w:val="none" w:sz="0" w:space="0" w:color="auto"/>
            <w:bottom w:val="none" w:sz="0" w:space="0" w:color="auto"/>
            <w:right w:val="none" w:sz="0" w:space="0" w:color="auto"/>
          </w:divBdr>
        </w:div>
        <w:div w:id="823279938">
          <w:marLeft w:val="0"/>
          <w:marRight w:val="0"/>
          <w:marTop w:val="0"/>
          <w:marBottom w:val="0"/>
          <w:divBdr>
            <w:top w:val="none" w:sz="0" w:space="0" w:color="auto"/>
            <w:left w:val="none" w:sz="0" w:space="0" w:color="auto"/>
            <w:bottom w:val="none" w:sz="0" w:space="0" w:color="auto"/>
            <w:right w:val="none" w:sz="0" w:space="0" w:color="auto"/>
          </w:divBdr>
        </w:div>
        <w:div w:id="692615856">
          <w:marLeft w:val="0"/>
          <w:marRight w:val="0"/>
          <w:marTop w:val="0"/>
          <w:marBottom w:val="0"/>
          <w:divBdr>
            <w:top w:val="none" w:sz="0" w:space="0" w:color="auto"/>
            <w:left w:val="none" w:sz="0" w:space="0" w:color="auto"/>
            <w:bottom w:val="none" w:sz="0" w:space="0" w:color="auto"/>
            <w:right w:val="none" w:sz="0" w:space="0" w:color="auto"/>
          </w:divBdr>
        </w:div>
        <w:div w:id="1375033699">
          <w:marLeft w:val="0"/>
          <w:marRight w:val="0"/>
          <w:marTop w:val="0"/>
          <w:marBottom w:val="0"/>
          <w:divBdr>
            <w:top w:val="none" w:sz="0" w:space="0" w:color="auto"/>
            <w:left w:val="none" w:sz="0" w:space="0" w:color="auto"/>
            <w:bottom w:val="none" w:sz="0" w:space="0" w:color="auto"/>
            <w:right w:val="none" w:sz="0" w:space="0" w:color="auto"/>
          </w:divBdr>
        </w:div>
        <w:div w:id="989528292">
          <w:marLeft w:val="0"/>
          <w:marRight w:val="0"/>
          <w:marTop w:val="0"/>
          <w:marBottom w:val="0"/>
          <w:divBdr>
            <w:top w:val="none" w:sz="0" w:space="0" w:color="auto"/>
            <w:left w:val="none" w:sz="0" w:space="0" w:color="auto"/>
            <w:bottom w:val="none" w:sz="0" w:space="0" w:color="auto"/>
            <w:right w:val="none" w:sz="0" w:space="0" w:color="auto"/>
          </w:divBdr>
        </w:div>
        <w:div w:id="1150243312">
          <w:marLeft w:val="0"/>
          <w:marRight w:val="0"/>
          <w:marTop w:val="0"/>
          <w:marBottom w:val="0"/>
          <w:divBdr>
            <w:top w:val="none" w:sz="0" w:space="0" w:color="auto"/>
            <w:left w:val="none" w:sz="0" w:space="0" w:color="auto"/>
            <w:bottom w:val="none" w:sz="0" w:space="0" w:color="auto"/>
            <w:right w:val="none" w:sz="0" w:space="0" w:color="auto"/>
          </w:divBdr>
        </w:div>
        <w:div w:id="1930194073">
          <w:marLeft w:val="0"/>
          <w:marRight w:val="0"/>
          <w:marTop w:val="0"/>
          <w:marBottom w:val="0"/>
          <w:divBdr>
            <w:top w:val="none" w:sz="0" w:space="0" w:color="auto"/>
            <w:left w:val="none" w:sz="0" w:space="0" w:color="auto"/>
            <w:bottom w:val="none" w:sz="0" w:space="0" w:color="auto"/>
            <w:right w:val="none" w:sz="0" w:space="0" w:color="auto"/>
          </w:divBdr>
        </w:div>
        <w:div w:id="1084762006">
          <w:marLeft w:val="0"/>
          <w:marRight w:val="0"/>
          <w:marTop w:val="0"/>
          <w:marBottom w:val="0"/>
          <w:divBdr>
            <w:top w:val="none" w:sz="0" w:space="0" w:color="auto"/>
            <w:left w:val="none" w:sz="0" w:space="0" w:color="auto"/>
            <w:bottom w:val="none" w:sz="0" w:space="0" w:color="auto"/>
            <w:right w:val="none" w:sz="0" w:space="0" w:color="auto"/>
          </w:divBdr>
        </w:div>
        <w:div w:id="1249466643">
          <w:marLeft w:val="0"/>
          <w:marRight w:val="0"/>
          <w:marTop w:val="0"/>
          <w:marBottom w:val="0"/>
          <w:divBdr>
            <w:top w:val="none" w:sz="0" w:space="0" w:color="auto"/>
            <w:left w:val="none" w:sz="0" w:space="0" w:color="auto"/>
            <w:bottom w:val="none" w:sz="0" w:space="0" w:color="auto"/>
            <w:right w:val="none" w:sz="0" w:space="0" w:color="auto"/>
          </w:divBdr>
        </w:div>
        <w:div w:id="1639215421">
          <w:marLeft w:val="0"/>
          <w:marRight w:val="0"/>
          <w:marTop w:val="0"/>
          <w:marBottom w:val="0"/>
          <w:divBdr>
            <w:top w:val="none" w:sz="0" w:space="0" w:color="auto"/>
            <w:left w:val="none" w:sz="0" w:space="0" w:color="auto"/>
            <w:bottom w:val="none" w:sz="0" w:space="0" w:color="auto"/>
            <w:right w:val="none" w:sz="0" w:space="0" w:color="auto"/>
          </w:divBdr>
        </w:div>
        <w:div w:id="1375732184">
          <w:marLeft w:val="0"/>
          <w:marRight w:val="0"/>
          <w:marTop w:val="0"/>
          <w:marBottom w:val="0"/>
          <w:divBdr>
            <w:top w:val="none" w:sz="0" w:space="0" w:color="auto"/>
            <w:left w:val="none" w:sz="0" w:space="0" w:color="auto"/>
            <w:bottom w:val="none" w:sz="0" w:space="0" w:color="auto"/>
            <w:right w:val="none" w:sz="0" w:space="0" w:color="auto"/>
          </w:divBdr>
        </w:div>
        <w:div w:id="819227833">
          <w:marLeft w:val="0"/>
          <w:marRight w:val="0"/>
          <w:marTop w:val="0"/>
          <w:marBottom w:val="0"/>
          <w:divBdr>
            <w:top w:val="none" w:sz="0" w:space="0" w:color="auto"/>
            <w:left w:val="none" w:sz="0" w:space="0" w:color="auto"/>
            <w:bottom w:val="none" w:sz="0" w:space="0" w:color="auto"/>
            <w:right w:val="none" w:sz="0" w:space="0" w:color="auto"/>
          </w:divBdr>
        </w:div>
        <w:div w:id="805199827">
          <w:marLeft w:val="0"/>
          <w:marRight w:val="0"/>
          <w:marTop w:val="0"/>
          <w:marBottom w:val="0"/>
          <w:divBdr>
            <w:top w:val="none" w:sz="0" w:space="0" w:color="auto"/>
            <w:left w:val="none" w:sz="0" w:space="0" w:color="auto"/>
            <w:bottom w:val="none" w:sz="0" w:space="0" w:color="auto"/>
            <w:right w:val="none" w:sz="0" w:space="0" w:color="auto"/>
          </w:divBdr>
        </w:div>
        <w:div w:id="934749959">
          <w:marLeft w:val="0"/>
          <w:marRight w:val="0"/>
          <w:marTop w:val="0"/>
          <w:marBottom w:val="0"/>
          <w:divBdr>
            <w:top w:val="none" w:sz="0" w:space="0" w:color="auto"/>
            <w:left w:val="none" w:sz="0" w:space="0" w:color="auto"/>
            <w:bottom w:val="none" w:sz="0" w:space="0" w:color="auto"/>
            <w:right w:val="none" w:sz="0" w:space="0" w:color="auto"/>
          </w:divBdr>
        </w:div>
        <w:div w:id="1348286255">
          <w:marLeft w:val="0"/>
          <w:marRight w:val="0"/>
          <w:marTop w:val="0"/>
          <w:marBottom w:val="0"/>
          <w:divBdr>
            <w:top w:val="none" w:sz="0" w:space="0" w:color="auto"/>
            <w:left w:val="none" w:sz="0" w:space="0" w:color="auto"/>
            <w:bottom w:val="none" w:sz="0" w:space="0" w:color="auto"/>
            <w:right w:val="none" w:sz="0" w:space="0" w:color="auto"/>
          </w:divBdr>
        </w:div>
        <w:div w:id="237714505">
          <w:marLeft w:val="0"/>
          <w:marRight w:val="0"/>
          <w:marTop w:val="0"/>
          <w:marBottom w:val="0"/>
          <w:divBdr>
            <w:top w:val="none" w:sz="0" w:space="0" w:color="auto"/>
            <w:left w:val="none" w:sz="0" w:space="0" w:color="auto"/>
            <w:bottom w:val="none" w:sz="0" w:space="0" w:color="auto"/>
            <w:right w:val="none" w:sz="0" w:space="0" w:color="auto"/>
          </w:divBdr>
        </w:div>
        <w:div w:id="1527526395">
          <w:marLeft w:val="0"/>
          <w:marRight w:val="0"/>
          <w:marTop w:val="0"/>
          <w:marBottom w:val="0"/>
          <w:divBdr>
            <w:top w:val="none" w:sz="0" w:space="0" w:color="auto"/>
            <w:left w:val="none" w:sz="0" w:space="0" w:color="auto"/>
            <w:bottom w:val="none" w:sz="0" w:space="0" w:color="auto"/>
            <w:right w:val="none" w:sz="0" w:space="0" w:color="auto"/>
          </w:divBdr>
        </w:div>
        <w:div w:id="952711423">
          <w:marLeft w:val="0"/>
          <w:marRight w:val="0"/>
          <w:marTop w:val="0"/>
          <w:marBottom w:val="0"/>
          <w:divBdr>
            <w:top w:val="none" w:sz="0" w:space="0" w:color="auto"/>
            <w:left w:val="none" w:sz="0" w:space="0" w:color="auto"/>
            <w:bottom w:val="none" w:sz="0" w:space="0" w:color="auto"/>
            <w:right w:val="none" w:sz="0" w:space="0" w:color="auto"/>
          </w:divBdr>
        </w:div>
        <w:div w:id="927730483">
          <w:marLeft w:val="0"/>
          <w:marRight w:val="0"/>
          <w:marTop w:val="0"/>
          <w:marBottom w:val="0"/>
          <w:divBdr>
            <w:top w:val="none" w:sz="0" w:space="0" w:color="auto"/>
            <w:left w:val="none" w:sz="0" w:space="0" w:color="auto"/>
            <w:bottom w:val="none" w:sz="0" w:space="0" w:color="auto"/>
            <w:right w:val="none" w:sz="0" w:space="0" w:color="auto"/>
          </w:divBdr>
        </w:div>
        <w:div w:id="1101998930">
          <w:marLeft w:val="0"/>
          <w:marRight w:val="0"/>
          <w:marTop w:val="0"/>
          <w:marBottom w:val="0"/>
          <w:divBdr>
            <w:top w:val="none" w:sz="0" w:space="0" w:color="auto"/>
            <w:left w:val="none" w:sz="0" w:space="0" w:color="auto"/>
            <w:bottom w:val="none" w:sz="0" w:space="0" w:color="auto"/>
            <w:right w:val="none" w:sz="0" w:space="0" w:color="auto"/>
          </w:divBdr>
        </w:div>
        <w:div w:id="209732398">
          <w:marLeft w:val="0"/>
          <w:marRight w:val="0"/>
          <w:marTop w:val="0"/>
          <w:marBottom w:val="0"/>
          <w:divBdr>
            <w:top w:val="none" w:sz="0" w:space="0" w:color="auto"/>
            <w:left w:val="none" w:sz="0" w:space="0" w:color="auto"/>
            <w:bottom w:val="none" w:sz="0" w:space="0" w:color="auto"/>
            <w:right w:val="none" w:sz="0" w:space="0" w:color="auto"/>
          </w:divBdr>
        </w:div>
        <w:div w:id="1373966138">
          <w:marLeft w:val="0"/>
          <w:marRight w:val="0"/>
          <w:marTop w:val="0"/>
          <w:marBottom w:val="0"/>
          <w:divBdr>
            <w:top w:val="none" w:sz="0" w:space="0" w:color="auto"/>
            <w:left w:val="none" w:sz="0" w:space="0" w:color="auto"/>
            <w:bottom w:val="none" w:sz="0" w:space="0" w:color="auto"/>
            <w:right w:val="none" w:sz="0" w:space="0" w:color="auto"/>
          </w:divBdr>
        </w:div>
        <w:div w:id="833226432">
          <w:marLeft w:val="0"/>
          <w:marRight w:val="0"/>
          <w:marTop w:val="0"/>
          <w:marBottom w:val="0"/>
          <w:divBdr>
            <w:top w:val="none" w:sz="0" w:space="0" w:color="auto"/>
            <w:left w:val="none" w:sz="0" w:space="0" w:color="auto"/>
            <w:bottom w:val="none" w:sz="0" w:space="0" w:color="auto"/>
            <w:right w:val="none" w:sz="0" w:space="0" w:color="auto"/>
          </w:divBdr>
        </w:div>
        <w:div w:id="10031813">
          <w:marLeft w:val="0"/>
          <w:marRight w:val="0"/>
          <w:marTop w:val="0"/>
          <w:marBottom w:val="0"/>
          <w:divBdr>
            <w:top w:val="none" w:sz="0" w:space="0" w:color="auto"/>
            <w:left w:val="none" w:sz="0" w:space="0" w:color="auto"/>
            <w:bottom w:val="none" w:sz="0" w:space="0" w:color="auto"/>
            <w:right w:val="none" w:sz="0" w:space="0" w:color="auto"/>
          </w:divBdr>
        </w:div>
        <w:div w:id="232856825">
          <w:marLeft w:val="0"/>
          <w:marRight w:val="0"/>
          <w:marTop w:val="0"/>
          <w:marBottom w:val="0"/>
          <w:divBdr>
            <w:top w:val="none" w:sz="0" w:space="0" w:color="auto"/>
            <w:left w:val="none" w:sz="0" w:space="0" w:color="auto"/>
            <w:bottom w:val="none" w:sz="0" w:space="0" w:color="auto"/>
            <w:right w:val="none" w:sz="0" w:space="0" w:color="auto"/>
          </w:divBdr>
        </w:div>
        <w:div w:id="495606732">
          <w:marLeft w:val="0"/>
          <w:marRight w:val="0"/>
          <w:marTop w:val="0"/>
          <w:marBottom w:val="0"/>
          <w:divBdr>
            <w:top w:val="none" w:sz="0" w:space="0" w:color="auto"/>
            <w:left w:val="none" w:sz="0" w:space="0" w:color="auto"/>
            <w:bottom w:val="none" w:sz="0" w:space="0" w:color="auto"/>
            <w:right w:val="none" w:sz="0" w:space="0" w:color="auto"/>
          </w:divBdr>
        </w:div>
        <w:div w:id="1125781166">
          <w:marLeft w:val="0"/>
          <w:marRight w:val="0"/>
          <w:marTop w:val="0"/>
          <w:marBottom w:val="0"/>
          <w:divBdr>
            <w:top w:val="none" w:sz="0" w:space="0" w:color="auto"/>
            <w:left w:val="none" w:sz="0" w:space="0" w:color="auto"/>
            <w:bottom w:val="none" w:sz="0" w:space="0" w:color="auto"/>
            <w:right w:val="none" w:sz="0" w:space="0" w:color="auto"/>
          </w:divBdr>
        </w:div>
        <w:div w:id="645931949">
          <w:marLeft w:val="0"/>
          <w:marRight w:val="0"/>
          <w:marTop w:val="0"/>
          <w:marBottom w:val="0"/>
          <w:divBdr>
            <w:top w:val="none" w:sz="0" w:space="0" w:color="auto"/>
            <w:left w:val="none" w:sz="0" w:space="0" w:color="auto"/>
            <w:bottom w:val="none" w:sz="0" w:space="0" w:color="auto"/>
            <w:right w:val="none" w:sz="0" w:space="0" w:color="auto"/>
          </w:divBdr>
        </w:div>
        <w:div w:id="766079876">
          <w:marLeft w:val="0"/>
          <w:marRight w:val="0"/>
          <w:marTop w:val="0"/>
          <w:marBottom w:val="0"/>
          <w:divBdr>
            <w:top w:val="none" w:sz="0" w:space="0" w:color="auto"/>
            <w:left w:val="none" w:sz="0" w:space="0" w:color="auto"/>
            <w:bottom w:val="none" w:sz="0" w:space="0" w:color="auto"/>
            <w:right w:val="none" w:sz="0" w:space="0" w:color="auto"/>
          </w:divBdr>
        </w:div>
        <w:div w:id="912131082">
          <w:marLeft w:val="0"/>
          <w:marRight w:val="0"/>
          <w:marTop w:val="0"/>
          <w:marBottom w:val="0"/>
          <w:divBdr>
            <w:top w:val="none" w:sz="0" w:space="0" w:color="auto"/>
            <w:left w:val="none" w:sz="0" w:space="0" w:color="auto"/>
            <w:bottom w:val="none" w:sz="0" w:space="0" w:color="auto"/>
            <w:right w:val="none" w:sz="0" w:space="0" w:color="auto"/>
          </w:divBdr>
        </w:div>
        <w:div w:id="1805196657">
          <w:marLeft w:val="0"/>
          <w:marRight w:val="0"/>
          <w:marTop w:val="0"/>
          <w:marBottom w:val="0"/>
          <w:divBdr>
            <w:top w:val="none" w:sz="0" w:space="0" w:color="auto"/>
            <w:left w:val="none" w:sz="0" w:space="0" w:color="auto"/>
            <w:bottom w:val="none" w:sz="0" w:space="0" w:color="auto"/>
            <w:right w:val="none" w:sz="0" w:space="0" w:color="auto"/>
          </w:divBdr>
        </w:div>
        <w:div w:id="2118404595">
          <w:marLeft w:val="0"/>
          <w:marRight w:val="0"/>
          <w:marTop w:val="0"/>
          <w:marBottom w:val="0"/>
          <w:divBdr>
            <w:top w:val="none" w:sz="0" w:space="0" w:color="auto"/>
            <w:left w:val="none" w:sz="0" w:space="0" w:color="auto"/>
            <w:bottom w:val="none" w:sz="0" w:space="0" w:color="auto"/>
            <w:right w:val="none" w:sz="0" w:space="0" w:color="auto"/>
          </w:divBdr>
        </w:div>
        <w:div w:id="523061195">
          <w:marLeft w:val="0"/>
          <w:marRight w:val="0"/>
          <w:marTop w:val="0"/>
          <w:marBottom w:val="0"/>
          <w:divBdr>
            <w:top w:val="none" w:sz="0" w:space="0" w:color="auto"/>
            <w:left w:val="none" w:sz="0" w:space="0" w:color="auto"/>
            <w:bottom w:val="none" w:sz="0" w:space="0" w:color="auto"/>
            <w:right w:val="none" w:sz="0" w:space="0" w:color="auto"/>
          </w:divBdr>
        </w:div>
        <w:div w:id="1226530203">
          <w:marLeft w:val="0"/>
          <w:marRight w:val="0"/>
          <w:marTop w:val="0"/>
          <w:marBottom w:val="0"/>
          <w:divBdr>
            <w:top w:val="none" w:sz="0" w:space="0" w:color="auto"/>
            <w:left w:val="none" w:sz="0" w:space="0" w:color="auto"/>
            <w:bottom w:val="none" w:sz="0" w:space="0" w:color="auto"/>
            <w:right w:val="none" w:sz="0" w:space="0" w:color="auto"/>
          </w:divBdr>
        </w:div>
        <w:div w:id="647247407">
          <w:marLeft w:val="0"/>
          <w:marRight w:val="0"/>
          <w:marTop w:val="0"/>
          <w:marBottom w:val="0"/>
          <w:divBdr>
            <w:top w:val="none" w:sz="0" w:space="0" w:color="auto"/>
            <w:left w:val="none" w:sz="0" w:space="0" w:color="auto"/>
            <w:bottom w:val="none" w:sz="0" w:space="0" w:color="auto"/>
            <w:right w:val="none" w:sz="0" w:space="0" w:color="auto"/>
          </w:divBdr>
        </w:div>
        <w:div w:id="1115559485">
          <w:marLeft w:val="0"/>
          <w:marRight w:val="0"/>
          <w:marTop w:val="0"/>
          <w:marBottom w:val="0"/>
          <w:divBdr>
            <w:top w:val="none" w:sz="0" w:space="0" w:color="auto"/>
            <w:left w:val="none" w:sz="0" w:space="0" w:color="auto"/>
            <w:bottom w:val="none" w:sz="0" w:space="0" w:color="auto"/>
            <w:right w:val="none" w:sz="0" w:space="0" w:color="auto"/>
          </w:divBdr>
        </w:div>
        <w:div w:id="811681917">
          <w:marLeft w:val="0"/>
          <w:marRight w:val="0"/>
          <w:marTop w:val="0"/>
          <w:marBottom w:val="0"/>
          <w:divBdr>
            <w:top w:val="none" w:sz="0" w:space="0" w:color="auto"/>
            <w:left w:val="none" w:sz="0" w:space="0" w:color="auto"/>
            <w:bottom w:val="none" w:sz="0" w:space="0" w:color="auto"/>
            <w:right w:val="none" w:sz="0" w:space="0" w:color="auto"/>
          </w:divBdr>
        </w:div>
        <w:div w:id="2063020244">
          <w:marLeft w:val="0"/>
          <w:marRight w:val="0"/>
          <w:marTop w:val="0"/>
          <w:marBottom w:val="0"/>
          <w:divBdr>
            <w:top w:val="none" w:sz="0" w:space="0" w:color="auto"/>
            <w:left w:val="none" w:sz="0" w:space="0" w:color="auto"/>
            <w:bottom w:val="none" w:sz="0" w:space="0" w:color="auto"/>
            <w:right w:val="none" w:sz="0" w:space="0" w:color="auto"/>
          </w:divBdr>
        </w:div>
        <w:div w:id="1341395320">
          <w:marLeft w:val="0"/>
          <w:marRight w:val="0"/>
          <w:marTop w:val="0"/>
          <w:marBottom w:val="0"/>
          <w:divBdr>
            <w:top w:val="none" w:sz="0" w:space="0" w:color="auto"/>
            <w:left w:val="none" w:sz="0" w:space="0" w:color="auto"/>
            <w:bottom w:val="none" w:sz="0" w:space="0" w:color="auto"/>
            <w:right w:val="none" w:sz="0" w:space="0" w:color="auto"/>
          </w:divBdr>
        </w:div>
        <w:div w:id="112555464">
          <w:marLeft w:val="0"/>
          <w:marRight w:val="0"/>
          <w:marTop w:val="0"/>
          <w:marBottom w:val="0"/>
          <w:divBdr>
            <w:top w:val="none" w:sz="0" w:space="0" w:color="auto"/>
            <w:left w:val="none" w:sz="0" w:space="0" w:color="auto"/>
            <w:bottom w:val="none" w:sz="0" w:space="0" w:color="auto"/>
            <w:right w:val="none" w:sz="0" w:space="0" w:color="auto"/>
          </w:divBdr>
        </w:div>
        <w:div w:id="855658944">
          <w:marLeft w:val="0"/>
          <w:marRight w:val="0"/>
          <w:marTop w:val="0"/>
          <w:marBottom w:val="0"/>
          <w:divBdr>
            <w:top w:val="none" w:sz="0" w:space="0" w:color="auto"/>
            <w:left w:val="none" w:sz="0" w:space="0" w:color="auto"/>
            <w:bottom w:val="none" w:sz="0" w:space="0" w:color="auto"/>
            <w:right w:val="none" w:sz="0" w:space="0" w:color="auto"/>
          </w:divBdr>
        </w:div>
        <w:div w:id="1143161904">
          <w:marLeft w:val="0"/>
          <w:marRight w:val="0"/>
          <w:marTop w:val="0"/>
          <w:marBottom w:val="0"/>
          <w:divBdr>
            <w:top w:val="none" w:sz="0" w:space="0" w:color="auto"/>
            <w:left w:val="none" w:sz="0" w:space="0" w:color="auto"/>
            <w:bottom w:val="none" w:sz="0" w:space="0" w:color="auto"/>
            <w:right w:val="none" w:sz="0" w:space="0" w:color="auto"/>
          </w:divBdr>
        </w:div>
        <w:div w:id="266738875">
          <w:marLeft w:val="0"/>
          <w:marRight w:val="0"/>
          <w:marTop w:val="0"/>
          <w:marBottom w:val="0"/>
          <w:divBdr>
            <w:top w:val="none" w:sz="0" w:space="0" w:color="auto"/>
            <w:left w:val="none" w:sz="0" w:space="0" w:color="auto"/>
            <w:bottom w:val="none" w:sz="0" w:space="0" w:color="auto"/>
            <w:right w:val="none" w:sz="0" w:space="0" w:color="auto"/>
          </w:divBdr>
        </w:div>
        <w:div w:id="902833379">
          <w:marLeft w:val="0"/>
          <w:marRight w:val="0"/>
          <w:marTop w:val="0"/>
          <w:marBottom w:val="0"/>
          <w:divBdr>
            <w:top w:val="none" w:sz="0" w:space="0" w:color="auto"/>
            <w:left w:val="none" w:sz="0" w:space="0" w:color="auto"/>
            <w:bottom w:val="none" w:sz="0" w:space="0" w:color="auto"/>
            <w:right w:val="none" w:sz="0" w:space="0" w:color="auto"/>
          </w:divBdr>
        </w:div>
        <w:div w:id="558633386">
          <w:marLeft w:val="0"/>
          <w:marRight w:val="0"/>
          <w:marTop w:val="0"/>
          <w:marBottom w:val="0"/>
          <w:divBdr>
            <w:top w:val="none" w:sz="0" w:space="0" w:color="auto"/>
            <w:left w:val="none" w:sz="0" w:space="0" w:color="auto"/>
            <w:bottom w:val="none" w:sz="0" w:space="0" w:color="auto"/>
            <w:right w:val="none" w:sz="0" w:space="0" w:color="auto"/>
          </w:divBdr>
        </w:div>
        <w:div w:id="1129788843">
          <w:marLeft w:val="0"/>
          <w:marRight w:val="0"/>
          <w:marTop w:val="0"/>
          <w:marBottom w:val="0"/>
          <w:divBdr>
            <w:top w:val="none" w:sz="0" w:space="0" w:color="auto"/>
            <w:left w:val="none" w:sz="0" w:space="0" w:color="auto"/>
            <w:bottom w:val="none" w:sz="0" w:space="0" w:color="auto"/>
            <w:right w:val="none" w:sz="0" w:space="0" w:color="auto"/>
          </w:divBdr>
        </w:div>
        <w:div w:id="1785727085">
          <w:marLeft w:val="0"/>
          <w:marRight w:val="0"/>
          <w:marTop w:val="0"/>
          <w:marBottom w:val="0"/>
          <w:divBdr>
            <w:top w:val="none" w:sz="0" w:space="0" w:color="auto"/>
            <w:left w:val="none" w:sz="0" w:space="0" w:color="auto"/>
            <w:bottom w:val="none" w:sz="0" w:space="0" w:color="auto"/>
            <w:right w:val="none" w:sz="0" w:space="0" w:color="auto"/>
          </w:divBdr>
        </w:div>
        <w:div w:id="1452474814">
          <w:marLeft w:val="0"/>
          <w:marRight w:val="0"/>
          <w:marTop w:val="0"/>
          <w:marBottom w:val="0"/>
          <w:divBdr>
            <w:top w:val="none" w:sz="0" w:space="0" w:color="auto"/>
            <w:left w:val="none" w:sz="0" w:space="0" w:color="auto"/>
            <w:bottom w:val="none" w:sz="0" w:space="0" w:color="auto"/>
            <w:right w:val="none" w:sz="0" w:space="0" w:color="auto"/>
          </w:divBdr>
        </w:div>
        <w:div w:id="1410343193">
          <w:marLeft w:val="0"/>
          <w:marRight w:val="0"/>
          <w:marTop w:val="0"/>
          <w:marBottom w:val="0"/>
          <w:divBdr>
            <w:top w:val="none" w:sz="0" w:space="0" w:color="auto"/>
            <w:left w:val="none" w:sz="0" w:space="0" w:color="auto"/>
            <w:bottom w:val="none" w:sz="0" w:space="0" w:color="auto"/>
            <w:right w:val="none" w:sz="0" w:space="0" w:color="auto"/>
          </w:divBdr>
        </w:div>
        <w:div w:id="1258949052">
          <w:marLeft w:val="0"/>
          <w:marRight w:val="0"/>
          <w:marTop w:val="0"/>
          <w:marBottom w:val="0"/>
          <w:divBdr>
            <w:top w:val="none" w:sz="0" w:space="0" w:color="auto"/>
            <w:left w:val="none" w:sz="0" w:space="0" w:color="auto"/>
            <w:bottom w:val="none" w:sz="0" w:space="0" w:color="auto"/>
            <w:right w:val="none" w:sz="0" w:space="0" w:color="auto"/>
          </w:divBdr>
        </w:div>
        <w:div w:id="131561948">
          <w:marLeft w:val="0"/>
          <w:marRight w:val="0"/>
          <w:marTop w:val="0"/>
          <w:marBottom w:val="0"/>
          <w:divBdr>
            <w:top w:val="none" w:sz="0" w:space="0" w:color="auto"/>
            <w:left w:val="none" w:sz="0" w:space="0" w:color="auto"/>
            <w:bottom w:val="none" w:sz="0" w:space="0" w:color="auto"/>
            <w:right w:val="none" w:sz="0" w:space="0" w:color="auto"/>
          </w:divBdr>
        </w:div>
        <w:div w:id="561718945">
          <w:marLeft w:val="0"/>
          <w:marRight w:val="0"/>
          <w:marTop w:val="0"/>
          <w:marBottom w:val="0"/>
          <w:divBdr>
            <w:top w:val="none" w:sz="0" w:space="0" w:color="auto"/>
            <w:left w:val="none" w:sz="0" w:space="0" w:color="auto"/>
            <w:bottom w:val="none" w:sz="0" w:space="0" w:color="auto"/>
            <w:right w:val="none" w:sz="0" w:space="0" w:color="auto"/>
          </w:divBdr>
        </w:div>
        <w:div w:id="2100784829">
          <w:marLeft w:val="0"/>
          <w:marRight w:val="0"/>
          <w:marTop w:val="0"/>
          <w:marBottom w:val="0"/>
          <w:divBdr>
            <w:top w:val="none" w:sz="0" w:space="0" w:color="auto"/>
            <w:left w:val="none" w:sz="0" w:space="0" w:color="auto"/>
            <w:bottom w:val="none" w:sz="0" w:space="0" w:color="auto"/>
            <w:right w:val="none" w:sz="0" w:space="0" w:color="auto"/>
          </w:divBdr>
        </w:div>
        <w:div w:id="1989239709">
          <w:marLeft w:val="0"/>
          <w:marRight w:val="0"/>
          <w:marTop w:val="0"/>
          <w:marBottom w:val="0"/>
          <w:divBdr>
            <w:top w:val="none" w:sz="0" w:space="0" w:color="auto"/>
            <w:left w:val="none" w:sz="0" w:space="0" w:color="auto"/>
            <w:bottom w:val="none" w:sz="0" w:space="0" w:color="auto"/>
            <w:right w:val="none" w:sz="0" w:space="0" w:color="auto"/>
          </w:divBdr>
        </w:div>
        <w:div w:id="471873799">
          <w:marLeft w:val="0"/>
          <w:marRight w:val="0"/>
          <w:marTop w:val="0"/>
          <w:marBottom w:val="0"/>
          <w:divBdr>
            <w:top w:val="none" w:sz="0" w:space="0" w:color="auto"/>
            <w:left w:val="none" w:sz="0" w:space="0" w:color="auto"/>
            <w:bottom w:val="none" w:sz="0" w:space="0" w:color="auto"/>
            <w:right w:val="none" w:sz="0" w:space="0" w:color="auto"/>
          </w:divBdr>
        </w:div>
        <w:div w:id="1593973996">
          <w:marLeft w:val="0"/>
          <w:marRight w:val="0"/>
          <w:marTop w:val="0"/>
          <w:marBottom w:val="0"/>
          <w:divBdr>
            <w:top w:val="none" w:sz="0" w:space="0" w:color="auto"/>
            <w:left w:val="none" w:sz="0" w:space="0" w:color="auto"/>
            <w:bottom w:val="none" w:sz="0" w:space="0" w:color="auto"/>
            <w:right w:val="none" w:sz="0" w:space="0" w:color="auto"/>
          </w:divBdr>
        </w:div>
        <w:div w:id="257906679">
          <w:marLeft w:val="0"/>
          <w:marRight w:val="0"/>
          <w:marTop w:val="0"/>
          <w:marBottom w:val="0"/>
          <w:divBdr>
            <w:top w:val="none" w:sz="0" w:space="0" w:color="auto"/>
            <w:left w:val="none" w:sz="0" w:space="0" w:color="auto"/>
            <w:bottom w:val="none" w:sz="0" w:space="0" w:color="auto"/>
            <w:right w:val="none" w:sz="0" w:space="0" w:color="auto"/>
          </w:divBdr>
        </w:div>
        <w:div w:id="1237206121">
          <w:marLeft w:val="0"/>
          <w:marRight w:val="0"/>
          <w:marTop w:val="0"/>
          <w:marBottom w:val="0"/>
          <w:divBdr>
            <w:top w:val="none" w:sz="0" w:space="0" w:color="auto"/>
            <w:left w:val="none" w:sz="0" w:space="0" w:color="auto"/>
            <w:bottom w:val="none" w:sz="0" w:space="0" w:color="auto"/>
            <w:right w:val="none" w:sz="0" w:space="0" w:color="auto"/>
          </w:divBdr>
        </w:div>
        <w:div w:id="507210071">
          <w:marLeft w:val="0"/>
          <w:marRight w:val="0"/>
          <w:marTop w:val="0"/>
          <w:marBottom w:val="0"/>
          <w:divBdr>
            <w:top w:val="none" w:sz="0" w:space="0" w:color="auto"/>
            <w:left w:val="none" w:sz="0" w:space="0" w:color="auto"/>
            <w:bottom w:val="none" w:sz="0" w:space="0" w:color="auto"/>
            <w:right w:val="none" w:sz="0" w:space="0" w:color="auto"/>
          </w:divBdr>
        </w:div>
        <w:div w:id="1286740638">
          <w:marLeft w:val="0"/>
          <w:marRight w:val="0"/>
          <w:marTop w:val="0"/>
          <w:marBottom w:val="0"/>
          <w:divBdr>
            <w:top w:val="none" w:sz="0" w:space="0" w:color="auto"/>
            <w:left w:val="none" w:sz="0" w:space="0" w:color="auto"/>
            <w:bottom w:val="none" w:sz="0" w:space="0" w:color="auto"/>
            <w:right w:val="none" w:sz="0" w:space="0" w:color="auto"/>
          </w:divBdr>
        </w:div>
        <w:div w:id="1024597292">
          <w:marLeft w:val="0"/>
          <w:marRight w:val="0"/>
          <w:marTop w:val="0"/>
          <w:marBottom w:val="0"/>
          <w:divBdr>
            <w:top w:val="none" w:sz="0" w:space="0" w:color="auto"/>
            <w:left w:val="none" w:sz="0" w:space="0" w:color="auto"/>
            <w:bottom w:val="none" w:sz="0" w:space="0" w:color="auto"/>
            <w:right w:val="none" w:sz="0" w:space="0" w:color="auto"/>
          </w:divBdr>
        </w:div>
        <w:div w:id="514417646">
          <w:marLeft w:val="0"/>
          <w:marRight w:val="0"/>
          <w:marTop w:val="0"/>
          <w:marBottom w:val="0"/>
          <w:divBdr>
            <w:top w:val="none" w:sz="0" w:space="0" w:color="auto"/>
            <w:left w:val="none" w:sz="0" w:space="0" w:color="auto"/>
            <w:bottom w:val="none" w:sz="0" w:space="0" w:color="auto"/>
            <w:right w:val="none" w:sz="0" w:space="0" w:color="auto"/>
          </w:divBdr>
        </w:div>
        <w:div w:id="1434091173">
          <w:marLeft w:val="0"/>
          <w:marRight w:val="0"/>
          <w:marTop w:val="0"/>
          <w:marBottom w:val="0"/>
          <w:divBdr>
            <w:top w:val="none" w:sz="0" w:space="0" w:color="auto"/>
            <w:left w:val="none" w:sz="0" w:space="0" w:color="auto"/>
            <w:bottom w:val="none" w:sz="0" w:space="0" w:color="auto"/>
            <w:right w:val="none" w:sz="0" w:space="0" w:color="auto"/>
          </w:divBdr>
        </w:div>
        <w:div w:id="552618032">
          <w:marLeft w:val="0"/>
          <w:marRight w:val="0"/>
          <w:marTop w:val="0"/>
          <w:marBottom w:val="0"/>
          <w:divBdr>
            <w:top w:val="none" w:sz="0" w:space="0" w:color="auto"/>
            <w:left w:val="none" w:sz="0" w:space="0" w:color="auto"/>
            <w:bottom w:val="none" w:sz="0" w:space="0" w:color="auto"/>
            <w:right w:val="none" w:sz="0" w:space="0" w:color="auto"/>
          </w:divBdr>
        </w:div>
        <w:div w:id="71202749">
          <w:marLeft w:val="0"/>
          <w:marRight w:val="0"/>
          <w:marTop w:val="0"/>
          <w:marBottom w:val="0"/>
          <w:divBdr>
            <w:top w:val="none" w:sz="0" w:space="0" w:color="auto"/>
            <w:left w:val="none" w:sz="0" w:space="0" w:color="auto"/>
            <w:bottom w:val="none" w:sz="0" w:space="0" w:color="auto"/>
            <w:right w:val="none" w:sz="0" w:space="0" w:color="auto"/>
          </w:divBdr>
        </w:div>
        <w:div w:id="806319737">
          <w:marLeft w:val="0"/>
          <w:marRight w:val="0"/>
          <w:marTop w:val="0"/>
          <w:marBottom w:val="0"/>
          <w:divBdr>
            <w:top w:val="none" w:sz="0" w:space="0" w:color="auto"/>
            <w:left w:val="none" w:sz="0" w:space="0" w:color="auto"/>
            <w:bottom w:val="none" w:sz="0" w:space="0" w:color="auto"/>
            <w:right w:val="none" w:sz="0" w:space="0" w:color="auto"/>
          </w:divBdr>
        </w:div>
        <w:div w:id="879318448">
          <w:marLeft w:val="0"/>
          <w:marRight w:val="0"/>
          <w:marTop w:val="0"/>
          <w:marBottom w:val="0"/>
          <w:divBdr>
            <w:top w:val="none" w:sz="0" w:space="0" w:color="auto"/>
            <w:left w:val="none" w:sz="0" w:space="0" w:color="auto"/>
            <w:bottom w:val="none" w:sz="0" w:space="0" w:color="auto"/>
            <w:right w:val="none" w:sz="0" w:space="0" w:color="auto"/>
          </w:divBdr>
        </w:div>
        <w:div w:id="1960526397">
          <w:marLeft w:val="0"/>
          <w:marRight w:val="0"/>
          <w:marTop w:val="0"/>
          <w:marBottom w:val="0"/>
          <w:divBdr>
            <w:top w:val="none" w:sz="0" w:space="0" w:color="auto"/>
            <w:left w:val="none" w:sz="0" w:space="0" w:color="auto"/>
            <w:bottom w:val="none" w:sz="0" w:space="0" w:color="auto"/>
            <w:right w:val="none" w:sz="0" w:space="0" w:color="auto"/>
          </w:divBdr>
        </w:div>
        <w:div w:id="843276016">
          <w:marLeft w:val="0"/>
          <w:marRight w:val="0"/>
          <w:marTop w:val="0"/>
          <w:marBottom w:val="0"/>
          <w:divBdr>
            <w:top w:val="none" w:sz="0" w:space="0" w:color="auto"/>
            <w:left w:val="none" w:sz="0" w:space="0" w:color="auto"/>
            <w:bottom w:val="none" w:sz="0" w:space="0" w:color="auto"/>
            <w:right w:val="none" w:sz="0" w:space="0" w:color="auto"/>
          </w:divBdr>
        </w:div>
        <w:div w:id="1078019426">
          <w:marLeft w:val="0"/>
          <w:marRight w:val="0"/>
          <w:marTop w:val="0"/>
          <w:marBottom w:val="0"/>
          <w:divBdr>
            <w:top w:val="none" w:sz="0" w:space="0" w:color="auto"/>
            <w:left w:val="none" w:sz="0" w:space="0" w:color="auto"/>
            <w:bottom w:val="none" w:sz="0" w:space="0" w:color="auto"/>
            <w:right w:val="none" w:sz="0" w:space="0" w:color="auto"/>
          </w:divBdr>
        </w:div>
        <w:div w:id="1768379122">
          <w:marLeft w:val="0"/>
          <w:marRight w:val="0"/>
          <w:marTop w:val="0"/>
          <w:marBottom w:val="0"/>
          <w:divBdr>
            <w:top w:val="none" w:sz="0" w:space="0" w:color="auto"/>
            <w:left w:val="none" w:sz="0" w:space="0" w:color="auto"/>
            <w:bottom w:val="none" w:sz="0" w:space="0" w:color="auto"/>
            <w:right w:val="none" w:sz="0" w:space="0" w:color="auto"/>
          </w:divBdr>
        </w:div>
        <w:div w:id="534924228">
          <w:marLeft w:val="0"/>
          <w:marRight w:val="0"/>
          <w:marTop w:val="0"/>
          <w:marBottom w:val="0"/>
          <w:divBdr>
            <w:top w:val="none" w:sz="0" w:space="0" w:color="auto"/>
            <w:left w:val="none" w:sz="0" w:space="0" w:color="auto"/>
            <w:bottom w:val="none" w:sz="0" w:space="0" w:color="auto"/>
            <w:right w:val="none" w:sz="0" w:space="0" w:color="auto"/>
          </w:divBdr>
        </w:div>
        <w:div w:id="863710046">
          <w:marLeft w:val="0"/>
          <w:marRight w:val="0"/>
          <w:marTop w:val="0"/>
          <w:marBottom w:val="0"/>
          <w:divBdr>
            <w:top w:val="none" w:sz="0" w:space="0" w:color="auto"/>
            <w:left w:val="none" w:sz="0" w:space="0" w:color="auto"/>
            <w:bottom w:val="none" w:sz="0" w:space="0" w:color="auto"/>
            <w:right w:val="none" w:sz="0" w:space="0" w:color="auto"/>
          </w:divBdr>
        </w:div>
        <w:div w:id="1464999867">
          <w:marLeft w:val="0"/>
          <w:marRight w:val="0"/>
          <w:marTop w:val="0"/>
          <w:marBottom w:val="0"/>
          <w:divBdr>
            <w:top w:val="none" w:sz="0" w:space="0" w:color="auto"/>
            <w:left w:val="none" w:sz="0" w:space="0" w:color="auto"/>
            <w:bottom w:val="none" w:sz="0" w:space="0" w:color="auto"/>
            <w:right w:val="none" w:sz="0" w:space="0" w:color="auto"/>
          </w:divBdr>
        </w:div>
        <w:div w:id="1798794553">
          <w:marLeft w:val="0"/>
          <w:marRight w:val="0"/>
          <w:marTop w:val="0"/>
          <w:marBottom w:val="0"/>
          <w:divBdr>
            <w:top w:val="none" w:sz="0" w:space="0" w:color="auto"/>
            <w:left w:val="none" w:sz="0" w:space="0" w:color="auto"/>
            <w:bottom w:val="none" w:sz="0" w:space="0" w:color="auto"/>
            <w:right w:val="none" w:sz="0" w:space="0" w:color="auto"/>
          </w:divBdr>
        </w:div>
        <w:div w:id="1472676164">
          <w:marLeft w:val="0"/>
          <w:marRight w:val="0"/>
          <w:marTop w:val="0"/>
          <w:marBottom w:val="0"/>
          <w:divBdr>
            <w:top w:val="none" w:sz="0" w:space="0" w:color="auto"/>
            <w:left w:val="none" w:sz="0" w:space="0" w:color="auto"/>
            <w:bottom w:val="none" w:sz="0" w:space="0" w:color="auto"/>
            <w:right w:val="none" w:sz="0" w:space="0" w:color="auto"/>
          </w:divBdr>
        </w:div>
        <w:div w:id="1790978198">
          <w:marLeft w:val="0"/>
          <w:marRight w:val="0"/>
          <w:marTop w:val="0"/>
          <w:marBottom w:val="0"/>
          <w:divBdr>
            <w:top w:val="none" w:sz="0" w:space="0" w:color="auto"/>
            <w:left w:val="none" w:sz="0" w:space="0" w:color="auto"/>
            <w:bottom w:val="none" w:sz="0" w:space="0" w:color="auto"/>
            <w:right w:val="none" w:sz="0" w:space="0" w:color="auto"/>
          </w:divBdr>
        </w:div>
        <w:div w:id="247618400">
          <w:marLeft w:val="0"/>
          <w:marRight w:val="0"/>
          <w:marTop w:val="0"/>
          <w:marBottom w:val="0"/>
          <w:divBdr>
            <w:top w:val="none" w:sz="0" w:space="0" w:color="auto"/>
            <w:left w:val="none" w:sz="0" w:space="0" w:color="auto"/>
            <w:bottom w:val="none" w:sz="0" w:space="0" w:color="auto"/>
            <w:right w:val="none" w:sz="0" w:space="0" w:color="auto"/>
          </w:divBdr>
        </w:div>
        <w:div w:id="414520477">
          <w:marLeft w:val="0"/>
          <w:marRight w:val="0"/>
          <w:marTop w:val="0"/>
          <w:marBottom w:val="0"/>
          <w:divBdr>
            <w:top w:val="none" w:sz="0" w:space="0" w:color="auto"/>
            <w:left w:val="none" w:sz="0" w:space="0" w:color="auto"/>
            <w:bottom w:val="none" w:sz="0" w:space="0" w:color="auto"/>
            <w:right w:val="none" w:sz="0" w:space="0" w:color="auto"/>
          </w:divBdr>
        </w:div>
        <w:div w:id="1786583225">
          <w:marLeft w:val="0"/>
          <w:marRight w:val="0"/>
          <w:marTop w:val="0"/>
          <w:marBottom w:val="0"/>
          <w:divBdr>
            <w:top w:val="none" w:sz="0" w:space="0" w:color="auto"/>
            <w:left w:val="none" w:sz="0" w:space="0" w:color="auto"/>
            <w:bottom w:val="none" w:sz="0" w:space="0" w:color="auto"/>
            <w:right w:val="none" w:sz="0" w:space="0" w:color="auto"/>
          </w:divBdr>
        </w:div>
        <w:div w:id="141242330">
          <w:marLeft w:val="0"/>
          <w:marRight w:val="0"/>
          <w:marTop w:val="0"/>
          <w:marBottom w:val="0"/>
          <w:divBdr>
            <w:top w:val="none" w:sz="0" w:space="0" w:color="auto"/>
            <w:left w:val="none" w:sz="0" w:space="0" w:color="auto"/>
            <w:bottom w:val="none" w:sz="0" w:space="0" w:color="auto"/>
            <w:right w:val="none" w:sz="0" w:space="0" w:color="auto"/>
          </w:divBdr>
        </w:div>
        <w:div w:id="1352301140">
          <w:marLeft w:val="0"/>
          <w:marRight w:val="0"/>
          <w:marTop w:val="0"/>
          <w:marBottom w:val="0"/>
          <w:divBdr>
            <w:top w:val="none" w:sz="0" w:space="0" w:color="auto"/>
            <w:left w:val="none" w:sz="0" w:space="0" w:color="auto"/>
            <w:bottom w:val="none" w:sz="0" w:space="0" w:color="auto"/>
            <w:right w:val="none" w:sz="0" w:space="0" w:color="auto"/>
          </w:divBdr>
        </w:div>
        <w:div w:id="346908354">
          <w:marLeft w:val="0"/>
          <w:marRight w:val="0"/>
          <w:marTop w:val="0"/>
          <w:marBottom w:val="0"/>
          <w:divBdr>
            <w:top w:val="none" w:sz="0" w:space="0" w:color="auto"/>
            <w:left w:val="none" w:sz="0" w:space="0" w:color="auto"/>
            <w:bottom w:val="none" w:sz="0" w:space="0" w:color="auto"/>
            <w:right w:val="none" w:sz="0" w:space="0" w:color="auto"/>
          </w:divBdr>
        </w:div>
        <w:div w:id="1108043324">
          <w:marLeft w:val="0"/>
          <w:marRight w:val="0"/>
          <w:marTop w:val="0"/>
          <w:marBottom w:val="0"/>
          <w:divBdr>
            <w:top w:val="none" w:sz="0" w:space="0" w:color="auto"/>
            <w:left w:val="none" w:sz="0" w:space="0" w:color="auto"/>
            <w:bottom w:val="none" w:sz="0" w:space="0" w:color="auto"/>
            <w:right w:val="none" w:sz="0" w:space="0" w:color="auto"/>
          </w:divBdr>
        </w:div>
        <w:div w:id="706216878">
          <w:marLeft w:val="0"/>
          <w:marRight w:val="0"/>
          <w:marTop w:val="0"/>
          <w:marBottom w:val="0"/>
          <w:divBdr>
            <w:top w:val="none" w:sz="0" w:space="0" w:color="auto"/>
            <w:left w:val="none" w:sz="0" w:space="0" w:color="auto"/>
            <w:bottom w:val="none" w:sz="0" w:space="0" w:color="auto"/>
            <w:right w:val="none" w:sz="0" w:space="0" w:color="auto"/>
          </w:divBdr>
        </w:div>
        <w:div w:id="1039667584">
          <w:marLeft w:val="0"/>
          <w:marRight w:val="0"/>
          <w:marTop w:val="0"/>
          <w:marBottom w:val="0"/>
          <w:divBdr>
            <w:top w:val="none" w:sz="0" w:space="0" w:color="auto"/>
            <w:left w:val="none" w:sz="0" w:space="0" w:color="auto"/>
            <w:bottom w:val="none" w:sz="0" w:space="0" w:color="auto"/>
            <w:right w:val="none" w:sz="0" w:space="0" w:color="auto"/>
          </w:divBdr>
        </w:div>
        <w:div w:id="1558079949">
          <w:marLeft w:val="0"/>
          <w:marRight w:val="0"/>
          <w:marTop w:val="0"/>
          <w:marBottom w:val="0"/>
          <w:divBdr>
            <w:top w:val="none" w:sz="0" w:space="0" w:color="auto"/>
            <w:left w:val="none" w:sz="0" w:space="0" w:color="auto"/>
            <w:bottom w:val="none" w:sz="0" w:space="0" w:color="auto"/>
            <w:right w:val="none" w:sz="0" w:space="0" w:color="auto"/>
          </w:divBdr>
        </w:div>
        <w:div w:id="69425679">
          <w:marLeft w:val="0"/>
          <w:marRight w:val="0"/>
          <w:marTop w:val="0"/>
          <w:marBottom w:val="0"/>
          <w:divBdr>
            <w:top w:val="none" w:sz="0" w:space="0" w:color="auto"/>
            <w:left w:val="none" w:sz="0" w:space="0" w:color="auto"/>
            <w:bottom w:val="none" w:sz="0" w:space="0" w:color="auto"/>
            <w:right w:val="none" w:sz="0" w:space="0" w:color="auto"/>
          </w:divBdr>
        </w:div>
        <w:div w:id="242373290">
          <w:marLeft w:val="0"/>
          <w:marRight w:val="0"/>
          <w:marTop w:val="0"/>
          <w:marBottom w:val="0"/>
          <w:divBdr>
            <w:top w:val="none" w:sz="0" w:space="0" w:color="auto"/>
            <w:left w:val="none" w:sz="0" w:space="0" w:color="auto"/>
            <w:bottom w:val="none" w:sz="0" w:space="0" w:color="auto"/>
            <w:right w:val="none" w:sz="0" w:space="0" w:color="auto"/>
          </w:divBdr>
        </w:div>
        <w:div w:id="2004581657">
          <w:marLeft w:val="0"/>
          <w:marRight w:val="0"/>
          <w:marTop w:val="0"/>
          <w:marBottom w:val="0"/>
          <w:divBdr>
            <w:top w:val="none" w:sz="0" w:space="0" w:color="auto"/>
            <w:left w:val="none" w:sz="0" w:space="0" w:color="auto"/>
            <w:bottom w:val="none" w:sz="0" w:space="0" w:color="auto"/>
            <w:right w:val="none" w:sz="0" w:space="0" w:color="auto"/>
          </w:divBdr>
        </w:div>
        <w:div w:id="1490248110">
          <w:marLeft w:val="0"/>
          <w:marRight w:val="0"/>
          <w:marTop w:val="0"/>
          <w:marBottom w:val="0"/>
          <w:divBdr>
            <w:top w:val="none" w:sz="0" w:space="0" w:color="auto"/>
            <w:left w:val="none" w:sz="0" w:space="0" w:color="auto"/>
            <w:bottom w:val="none" w:sz="0" w:space="0" w:color="auto"/>
            <w:right w:val="none" w:sz="0" w:space="0" w:color="auto"/>
          </w:divBdr>
        </w:div>
        <w:div w:id="2122987589">
          <w:marLeft w:val="0"/>
          <w:marRight w:val="0"/>
          <w:marTop w:val="0"/>
          <w:marBottom w:val="0"/>
          <w:divBdr>
            <w:top w:val="none" w:sz="0" w:space="0" w:color="auto"/>
            <w:left w:val="none" w:sz="0" w:space="0" w:color="auto"/>
            <w:bottom w:val="none" w:sz="0" w:space="0" w:color="auto"/>
            <w:right w:val="none" w:sz="0" w:space="0" w:color="auto"/>
          </w:divBdr>
        </w:div>
        <w:div w:id="987633979">
          <w:marLeft w:val="0"/>
          <w:marRight w:val="0"/>
          <w:marTop w:val="0"/>
          <w:marBottom w:val="0"/>
          <w:divBdr>
            <w:top w:val="none" w:sz="0" w:space="0" w:color="auto"/>
            <w:left w:val="none" w:sz="0" w:space="0" w:color="auto"/>
            <w:bottom w:val="none" w:sz="0" w:space="0" w:color="auto"/>
            <w:right w:val="none" w:sz="0" w:space="0" w:color="auto"/>
          </w:divBdr>
        </w:div>
        <w:div w:id="1867598621">
          <w:marLeft w:val="0"/>
          <w:marRight w:val="0"/>
          <w:marTop w:val="0"/>
          <w:marBottom w:val="0"/>
          <w:divBdr>
            <w:top w:val="none" w:sz="0" w:space="0" w:color="auto"/>
            <w:left w:val="none" w:sz="0" w:space="0" w:color="auto"/>
            <w:bottom w:val="none" w:sz="0" w:space="0" w:color="auto"/>
            <w:right w:val="none" w:sz="0" w:space="0" w:color="auto"/>
          </w:divBdr>
        </w:div>
        <w:div w:id="689601703">
          <w:marLeft w:val="0"/>
          <w:marRight w:val="0"/>
          <w:marTop w:val="0"/>
          <w:marBottom w:val="0"/>
          <w:divBdr>
            <w:top w:val="none" w:sz="0" w:space="0" w:color="auto"/>
            <w:left w:val="none" w:sz="0" w:space="0" w:color="auto"/>
            <w:bottom w:val="none" w:sz="0" w:space="0" w:color="auto"/>
            <w:right w:val="none" w:sz="0" w:space="0" w:color="auto"/>
          </w:divBdr>
        </w:div>
        <w:div w:id="30998818">
          <w:marLeft w:val="0"/>
          <w:marRight w:val="0"/>
          <w:marTop w:val="0"/>
          <w:marBottom w:val="0"/>
          <w:divBdr>
            <w:top w:val="none" w:sz="0" w:space="0" w:color="auto"/>
            <w:left w:val="none" w:sz="0" w:space="0" w:color="auto"/>
            <w:bottom w:val="none" w:sz="0" w:space="0" w:color="auto"/>
            <w:right w:val="none" w:sz="0" w:space="0" w:color="auto"/>
          </w:divBdr>
        </w:div>
        <w:div w:id="2033874619">
          <w:marLeft w:val="0"/>
          <w:marRight w:val="0"/>
          <w:marTop w:val="0"/>
          <w:marBottom w:val="0"/>
          <w:divBdr>
            <w:top w:val="none" w:sz="0" w:space="0" w:color="auto"/>
            <w:left w:val="none" w:sz="0" w:space="0" w:color="auto"/>
            <w:bottom w:val="none" w:sz="0" w:space="0" w:color="auto"/>
            <w:right w:val="none" w:sz="0" w:space="0" w:color="auto"/>
          </w:divBdr>
        </w:div>
        <w:div w:id="221714754">
          <w:marLeft w:val="0"/>
          <w:marRight w:val="0"/>
          <w:marTop w:val="0"/>
          <w:marBottom w:val="0"/>
          <w:divBdr>
            <w:top w:val="none" w:sz="0" w:space="0" w:color="auto"/>
            <w:left w:val="none" w:sz="0" w:space="0" w:color="auto"/>
            <w:bottom w:val="none" w:sz="0" w:space="0" w:color="auto"/>
            <w:right w:val="none" w:sz="0" w:space="0" w:color="auto"/>
          </w:divBdr>
        </w:div>
        <w:div w:id="327710801">
          <w:marLeft w:val="0"/>
          <w:marRight w:val="0"/>
          <w:marTop w:val="0"/>
          <w:marBottom w:val="0"/>
          <w:divBdr>
            <w:top w:val="none" w:sz="0" w:space="0" w:color="auto"/>
            <w:left w:val="none" w:sz="0" w:space="0" w:color="auto"/>
            <w:bottom w:val="none" w:sz="0" w:space="0" w:color="auto"/>
            <w:right w:val="none" w:sz="0" w:space="0" w:color="auto"/>
          </w:divBdr>
        </w:div>
        <w:div w:id="1773016026">
          <w:marLeft w:val="0"/>
          <w:marRight w:val="0"/>
          <w:marTop w:val="0"/>
          <w:marBottom w:val="0"/>
          <w:divBdr>
            <w:top w:val="none" w:sz="0" w:space="0" w:color="auto"/>
            <w:left w:val="none" w:sz="0" w:space="0" w:color="auto"/>
            <w:bottom w:val="none" w:sz="0" w:space="0" w:color="auto"/>
            <w:right w:val="none" w:sz="0" w:space="0" w:color="auto"/>
          </w:divBdr>
        </w:div>
        <w:div w:id="816336929">
          <w:marLeft w:val="0"/>
          <w:marRight w:val="0"/>
          <w:marTop w:val="0"/>
          <w:marBottom w:val="0"/>
          <w:divBdr>
            <w:top w:val="none" w:sz="0" w:space="0" w:color="auto"/>
            <w:left w:val="none" w:sz="0" w:space="0" w:color="auto"/>
            <w:bottom w:val="none" w:sz="0" w:space="0" w:color="auto"/>
            <w:right w:val="none" w:sz="0" w:space="0" w:color="auto"/>
          </w:divBdr>
        </w:div>
        <w:div w:id="398407413">
          <w:marLeft w:val="0"/>
          <w:marRight w:val="0"/>
          <w:marTop w:val="0"/>
          <w:marBottom w:val="0"/>
          <w:divBdr>
            <w:top w:val="none" w:sz="0" w:space="0" w:color="auto"/>
            <w:left w:val="none" w:sz="0" w:space="0" w:color="auto"/>
            <w:bottom w:val="none" w:sz="0" w:space="0" w:color="auto"/>
            <w:right w:val="none" w:sz="0" w:space="0" w:color="auto"/>
          </w:divBdr>
        </w:div>
        <w:div w:id="1689063431">
          <w:marLeft w:val="0"/>
          <w:marRight w:val="0"/>
          <w:marTop w:val="0"/>
          <w:marBottom w:val="0"/>
          <w:divBdr>
            <w:top w:val="none" w:sz="0" w:space="0" w:color="auto"/>
            <w:left w:val="none" w:sz="0" w:space="0" w:color="auto"/>
            <w:bottom w:val="none" w:sz="0" w:space="0" w:color="auto"/>
            <w:right w:val="none" w:sz="0" w:space="0" w:color="auto"/>
          </w:divBdr>
        </w:div>
        <w:div w:id="1824199777">
          <w:marLeft w:val="0"/>
          <w:marRight w:val="0"/>
          <w:marTop w:val="0"/>
          <w:marBottom w:val="0"/>
          <w:divBdr>
            <w:top w:val="none" w:sz="0" w:space="0" w:color="auto"/>
            <w:left w:val="none" w:sz="0" w:space="0" w:color="auto"/>
            <w:bottom w:val="none" w:sz="0" w:space="0" w:color="auto"/>
            <w:right w:val="none" w:sz="0" w:space="0" w:color="auto"/>
          </w:divBdr>
        </w:div>
        <w:div w:id="1420525236">
          <w:marLeft w:val="0"/>
          <w:marRight w:val="0"/>
          <w:marTop w:val="0"/>
          <w:marBottom w:val="0"/>
          <w:divBdr>
            <w:top w:val="none" w:sz="0" w:space="0" w:color="auto"/>
            <w:left w:val="none" w:sz="0" w:space="0" w:color="auto"/>
            <w:bottom w:val="none" w:sz="0" w:space="0" w:color="auto"/>
            <w:right w:val="none" w:sz="0" w:space="0" w:color="auto"/>
          </w:divBdr>
        </w:div>
        <w:div w:id="1793397028">
          <w:marLeft w:val="0"/>
          <w:marRight w:val="0"/>
          <w:marTop w:val="0"/>
          <w:marBottom w:val="0"/>
          <w:divBdr>
            <w:top w:val="none" w:sz="0" w:space="0" w:color="auto"/>
            <w:left w:val="none" w:sz="0" w:space="0" w:color="auto"/>
            <w:bottom w:val="none" w:sz="0" w:space="0" w:color="auto"/>
            <w:right w:val="none" w:sz="0" w:space="0" w:color="auto"/>
          </w:divBdr>
        </w:div>
        <w:div w:id="693268455">
          <w:marLeft w:val="0"/>
          <w:marRight w:val="0"/>
          <w:marTop w:val="0"/>
          <w:marBottom w:val="0"/>
          <w:divBdr>
            <w:top w:val="none" w:sz="0" w:space="0" w:color="auto"/>
            <w:left w:val="none" w:sz="0" w:space="0" w:color="auto"/>
            <w:bottom w:val="none" w:sz="0" w:space="0" w:color="auto"/>
            <w:right w:val="none" w:sz="0" w:space="0" w:color="auto"/>
          </w:divBdr>
        </w:div>
        <w:div w:id="519859266">
          <w:marLeft w:val="0"/>
          <w:marRight w:val="0"/>
          <w:marTop w:val="0"/>
          <w:marBottom w:val="0"/>
          <w:divBdr>
            <w:top w:val="none" w:sz="0" w:space="0" w:color="auto"/>
            <w:left w:val="none" w:sz="0" w:space="0" w:color="auto"/>
            <w:bottom w:val="none" w:sz="0" w:space="0" w:color="auto"/>
            <w:right w:val="none" w:sz="0" w:space="0" w:color="auto"/>
          </w:divBdr>
        </w:div>
        <w:div w:id="1108431303">
          <w:marLeft w:val="0"/>
          <w:marRight w:val="0"/>
          <w:marTop w:val="0"/>
          <w:marBottom w:val="0"/>
          <w:divBdr>
            <w:top w:val="none" w:sz="0" w:space="0" w:color="auto"/>
            <w:left w:val="none" w:sz="0" w:space="0" w:color="auto"/>
            <w:bottom w:val="none" w:sz="0" w:space="0" w:color="auto"/>
            <w:right w:val="none" w:sz="0" w:space="0" w:color="auto"/>
          </w:divBdr>
        </w:div>
        <w:div w:id="1393387124">
          <w:marLeft w:val="0"/>
          <w:marRight w:val="0"/>
          <w:marTop w:val="0"/>
          <w:marBottom w:val="0"/>
          <w:divBdr>
            <w:top w:val="none" w:sz="0" w:space="0" w:color="auto"/>
            <w:left w:val="none" w:sz="0" w:space="0" w:color="auto"/>
            <w:bottom w:val="none" w:sz="0" w:space="0" w:color="auto"/>
            <w:right w:val="none" w:sz="0" w:space="0" w:color="auto"/>
          </w:divBdr>
        </w:div>
        <w:div w:id="307440534">
          <w:marLeft w:val="0"/>
          <w:marRight w:val="0"/>
          <w:marTop w:val="0"/>
          <w:marBottom w:val="0"/>
          <w:divBdr>
            <w:top w:val="none" w:sz="0" w:space="0" w:color="auto"/>
            <w:left w:val="none" w:sz="0" w:space="0" w:color="auto"/>
            <w:bottom w:val="none" w:sz="0" w:space="0" w:color="auto"/>
            <w:right w:val="none" w:sz="0" w:space="0" w:color="auto"/>
          </w:divBdr>
        </w:div>
        <w:div w:id="922298422">
          <w:marLeft w:val="0"/>
          <w:marRight w:val="0"/>
          <w:marTop w:val="0"/>
          <w:marBottom w:val="0"/>
          <w:divBdr>
            <w:top w:val="none" w:sz="0" w:space="0" w:color="auto"/>
            <w:left w:val="none" w:sz="0" w:space="0" w:color="auto"/>
            <w:bottom w:val="none" w:sz="0" w:space="0" w:color="auto"/>
            <w:right w:val="none" w:sz="0" w:space="0" w:color="auto"/>
          </w:divBdr>
        </w:div>
        <w:div w:id="686566022">
          <w:marLeft w:val="0"/>
          <w:marRight w:val="0"/>
          <w:marTop w:val="0"/>
          <w:marBottom w:val="0"/>
          <w:divBdr>
            <w:top w:val="none" w:sz="0" w:space="0" w:color="auto"/>
            <w:left w:val="none" w:sz="0" w:space="0" w:color="auto"/>
            <w:bottom w:val="none" w:sz="0" w:space="0" w:color="auto"/>
            <w:right w:val="none" w:sz="0" w:space="0" w:color="auto"/>
          </w:divBdr>
        </w:div>
        <w:div w:id="1622834153">
          <w:marLeft w:val="0"/>
          <w:marRight w:val="0"/>
          <w:marTop w:val="0"/>
          <w:marBottom w:val="0"/>
          <w:divBdr>
            <w:top w:val="none" w:sz="0" w:space="0" w:color="auto"/>
            <w:left w:val="none" w:sz="0" w:space="0" w:color="auto"/>
            <w:bottom w:val="none" w:sz="0" w:space="0" w:color="auto"/>
            <w:right w:val="none" w:sz="0" w:space="0" w:color="auto"/>
          </w:divBdr>
        </w:div>
        <w:div w:id="1365249301">
          <w:marLeft w:val="0"/>
          <w:marRight w:val="0"/>
          <w:marTop w:val="0"/>
          <w:marBottom w:val="0"/>
          <w:divBdr>
            <w:top w:val="none" w:sz="0" w:space="0" w:color="auto"/>
            <w:left w:val="none" w:sz="0" w:space="0" w:color="auto"/>
            <w:bottom w:val="none" w:sz="0" w:space="0" w:color="auto"/>
            <w:right w:val="none" w:sz="0" w:space="0" w:color="auto"/>
          </w:divBdr>
        </w:div>
        <w:div w:id="2005014663">
          <w:marLeft w:val="0"/>
          <w:marRight w:val="0"/>
          <w:marTop w:val="0"/>
          <w:marBottom w:val="0"/>
          <w:divBdr>
            <w:top w:val="none" w:sz="0" w:space="0" w:color="auto"/>
            <w:left w:val="none" w:sz="0" w:space="0" w:color="auto"/>
            <w:bottom w:val="none" w:sz="0" w:space="0" w:color="auto"/>
            <w:right w:val="none" w:sz="0" w:space="0" w:color="auto"/>
          </w:divBdr>
        </w:div>
        <w:div w:id="195045895">
          <w:marLeft w:val="0"/>
          <w:marRight w:val="0"/>
          <w:marTop w:val="0"/>
          <w:marBottom w:val="0"/>
          <w:divBdr>
            <w:top w:val="none" w:sz="0" w:space="0" w:color="auto"/>
            <w:left w:val="none" w:sz="0" w:space="0" w:color="auto"/>
            <w:bottom w:val="none" w:sz="0" w:space="0" w:color="auto"/>
            <w:right w:val="none" w:sz="0" w:space="0" w:color="auto"/>
          </w:divBdr>
        </w:div>
        <w:div w:id="1744989394">
          <w:marLeft w:val="0"/>
          <w:marRight w:val="0"/>
          <w:marTop w:val="0"/>
          <w:marBottom w:val="0"/>
          <w:divBdr>
            <w:top w:val="none" w:sz="0" w:space="0" w:color="auto"/>
            <w:left w:val="none" w:sz="0" w:space="0" w:color="auto"/>
            <w:bottom w:val="none" w:sz="0" w:space="0" w:color="auto"/>
            <w:right w:val="none" w:sz="0" w:space="0" w:color="auto"/>
          </w:divBdr>
        </w:div>
        <w:div w:id="1247835716">
          <w:marLeft w:val="0"/>
          <w:marRight w:val="0"/>
          <w:marTop w:val="0"/>
          <w:marBottom w:val="0"/>
          <w:divBdr>
            <w:top w:val="none" w:sz="0" w:space="0" w:color="auto"/>
            <w:left w:val="none" w:sz="0" w:space="0" w:color="auto"/>
            <w:bottom w:val="none" w:sz="0" w:space="0" w:color="auto"/>
            <w:right w:val="none" w:sz="0" w:space="0" w:color="auto"/>
          </w:divBdr>
        </w:div>
        <w:div w:id="924530371">
          <w:marLeft w:val="0"/>
          <w:marRight w:val="0"/>
          <w:marTop w:val="0"/>
          <w:marBottom w:val="0"/>
          <w:divBdr>
            <w:top w:val="none" w:sz="0" w:space="0" w:color="auto"/>
            <w:left w:val="none" w:sz="0" w:space="0" w:color="auto"/>
            <w:bottom w:val="none" w:sz="0" w:space="0" w:color="auto"/>
            <w:right w:val="none" w:sz="0" w:space="0" w:color="auto"/>
          </w:divBdr>
        </w:div>
        <w:div w:id="2133013759">
          <w:marLeft w:val="0"/>
          <w:marRight w:val="0"/>
          <w:marTop w:val="0"/>
          <w:marBottom w:val="0"/>
          <w:divBdr>
            <w:top w:val="none" w:sz="0" w:space="0" w:color="auto"/>
            <w:left w:val="none" w:sz="0" w:space="0" w:color="auto"/>
            <w:bottom w:val="none" w:sz="0" w:space="0" w:color="auto"/>
            <w:right w:val="none" w:sz="0" w:space="0" w:color="auto"/>
          </w:divBdr>
        </w:div>
        <w:div w:id="970132094">
          <w:marLeft w:val="0"/>
          <w:marRight w:val="0"/>
          <w:marTop w:val="0"/>
          <w:marBottom w:val="0"/>
          <w:divBdr>
            <w:top w:val="none" w:sz="0" w:space="0" w:color="auto"/>
            <w:left w:val="none" w:sz="0" w:space="0" w:color="auto"/>
            <w:bottom w:val="none" w:sz="0" w:space="0" w:color="auto"/>
            <w:right w:val="none" w:sz="0" w:space="0" w:color="auto"/>
          </w:divBdr>
        </w:div>
        <w:div w:id="538710436">
          <w:marLeft w:val="0"/>
          <w:marRight w:val="0"/>
          <w:marTop w:val="0"/>
          <w:marBottom w:val="0"/>
          <w:divBdr>
            <w:top w:val="none" w:sz="0" w:space="0" w:color="auto"/>
            <w:left w:val="none" w:sz="0" w:space="0" w:color="auto"/>
            <w:bottom w:val="none" w:sz="0" w:space="0" w:color="auto"/>
            <w:right w:val="none" w:sz="0" w:space="0" w:color="auto"/>
          </w:divBdr>
        </w:div>
        <w:div w:id="1133061296">
          <w:marLeft w:val="0"/>
          <w:marRight w:val="0"/>
          <w:marTop w:val="0"/>
          <w:marBottom w:val="0"/>
          <w:divBdr>
            <w:top w:val="none" w:sz="0" w:space="0" w:color="auto"/>
            <w:left w:val="none" w:sz="0" w:space="0" w:color="auto"/>
            <w:bottom w:val="none" w:sz="0" w:space="0" w:color="auto"/>
            <w:right w:val="none" w:sz="0" w:space="0" w:color="auto"/>
          </w:divBdr>
        </w:div>
        <w:div w:id="9070709">
          <w:marLeft w:val="0"/>
          <w:marRight w:val="0"/>
          <w:marTop w:val="0"/>
          <w:marBottom w:val="0"/>
          <w:divBdr>
            <w:top w:val="none" w:sz="0" w:space="0" w:color="auto"/>
            <w:left w:val="none" w:sz="0" w:space="0" w:color="auto"/>
            <w:bottom w:val="none" w:sz="0" w:space="0" w:color="auto"/>
            <w:right w:val="none" w:sz="0" w:space="0" w:color="auto"/>
          </w:divBdr>
        </w:div>
        <w:div w:id="2069844392">
          <w:marLeft w:val="0"/>
          <w:marRight w:val="0"/>
          <w:marTop w:val="0"/>
          <w:marBottom w:val="0"/>
          <w:divBdr>
            <w:top w:val="none" w:sz="0" w:space="0" w:color="auto"/>
            <w:left w:val="none" w:sz="0" w:space="0" w:color="auto"/>
            <w:bottom w:val="none" w:sz="0" w:space="0" w:color="auto"/>
            <w:right w:val="none" w:sz="0" w:space="0" w:color="auto"/>
          </w:divBdr>
        </w:div>
        <w:div w:id="1266033881">
          <w:marLeft w:val="0"/>
          <w:marRight w:val="0"/>
          <w:marTop w:val="0"/>
          <w:marBottom w:val="0"/>
          <w:divBdr>
            <w:top w:val="none" w:sz="0" w:space="0" w:color="auto"/>
            <w:left w:val="none" w:sz="0" w:space="0" w:color="auto"/>
            <w:bottom w:val="none" w:sz="0" w:space="0" w:color="auto"/>
            <w:right w:val="none" w:sz="0" w:space="0" w:color="auto"/>
          </w:divBdr>
        </w:div>
        <w:div w:id="685862307">
          <w:marLeft w:val="0"/>
          <w:marRight w:val="0"/>
          <w:marTop w:val="0"/>
          <w:marBottom w:val="0"/>
          <w:divBdr>
            <w:top w:val="none" w:sz="0" w:space="0" w:color="auto"/>
            <w:left w:val="none" w:sz="0" w:space="0" w:color="auto"/>
            <w:bottom w:val="none" w:sz="0" w:space="0" w:color="auto"/>
            <w:right w:val="none" w:sz="0" w:space="0" w:color="auto"/>
          </w:divBdr>
        </w:div>
        <w:div w:id="1052734609">
          <w:marLeft w:val="0"/>
          <w:marRight w:val="0"/>
          <w:marTop w:val="0"/>
          <w:marBottom w:val="0"/>
          <w:divBdr>
            <w:top w:val="none" w:sz="0" w:space="0" w:color="auto"/>
            <w:left w:val="none" w:sz="0" w:space="0" w:color="auto"/>
            <w:bottom w:val="none" w:sz="0" w:space="0" w:color="auto"/>
            <w:right w:val="none" w:sz="0" w:space="0" w:color="auto"/>
          </w:divBdr>
        </w:div>
        <w:div w:id="413357549">
          <w:marLeft w:val="0"/>
          <w:marRight w:val="0"/>
          <w:marTop w:val="0"/>
          <w:marBottom w:val="0"/>
          <w:divBdr>
            <w:top w:val="none" w:sz="0" w:space="0" w:color="auto"/>
            <w:left w:val="none" w:sz="0" w:space="0" w:color="auto"/>
            <w:bottom w:val="none" w:sz="0" w:space="0" w:color="auto"/>
            <w:right w:val="none" w:sz="0" w:space="0" w:color="auto"/>
          </w:divBdr>
        </w:div>
        <w:div w:id="139225749">
          <w:marLeft w:val="0"/>
          <w:marRight w:val="0"/>
          <w:marTop w:val="0"/>
          <w:marBottom w:val="0"/>
          <w:divBdr>
            <w:top w:val="none" w:sz="0" w:space="0" w:color="auto"/>
            <w:left w:val="none" w:sz="0" w:space="0" w:color="auto"/>
            <w:bottom w:val="none" w:sz="0" w:space="0" w:color="auto"/>
            <w:right w:val="none" w:sz="0" w:space="0" w:color="auto"/>
          </w:divBdr>
        </w:div>
        <w:div w:id="1985742042">
          <w:marLeft w:val="0"/>
          <w:marRight w:val="0"/>
          <w:marTop w:val="0"/>
          <w:marBottom w:val="0"/>
          <w:divBdr>
            <w:top w:val="none" w:sz="0" w:space="0" w:color="auto"/>
            <w:left w:val="none" w:sz="0" w:space="0" w:color="auto"/>
            <w:bottom w:val="none" w:sz="0" w:space="0" w:color="auto"/>
            <w:right w:val="none" w:sz="0" w:space="0" w:color="auto"/>
          </w:divBdr>
        </w:div>
        <w:div w:id="868837872">
          <w:marLeft w:val="0"/>
          <w:marRight w:val="0"/>
          <w:marTop w:val="0"/>
          <w:marBottom w:val="0"/>
          <w:divBdr>
            <w:top w:val="none" w:sz="0" w:space="0" w:color="auto"/>
            <w:left w:val="none" w:sz="0" w:space="0" w:color="auto"/>
            <w:bottom w:val="none" w:sz="0" w:space="0" w:color="auto"/>
            <w:right w:val="none" w:sz="0" w:space="0" w:color="auto"/>
          </w:divBdr>
        </w:div>
        <w:div w:id="972060497">
          <w:marLeft w:val="0"/>
          <w:marRight w:val="0"/>
          <w:marTop w:val="0"/>
          <w:marBottom w:val="0"/>
          <w:divBdr>
            <w:top w:val="none" w:sz="0" w:space="0" w:color="auto"/>
            <w:left w:val="none" w:sz="0" w:space="0" w:color="auto"/>
            <w:bottom w:val="none" w:sz="0" w:space="0" w:color="auto"/>
            <w:right w:val="none" w:sz="0" w:space="0" w:color="auto"/>
          </w:divBdr>
        </w:div>
        <w:div w:id="2061787073">
          <w:marLeft w:val="0"/>
          <w:marRight w:val="0"/>
          <w:marTop w:val="0"/>
          <w:marBottom w:val="0"/>
          <w:divBdr>
            <w:top w:val="none" w:sz="0" w:space="0" w:color="auto"/>
            <w:left w:val="none" w:sz="0" w:space="0" w:color="auto"/>
            <w:bottom w:val="none" w:sz="0" w:space="0" w:color="auto"/>
            <w:right w:val="none" w:sz="0" w:space="0" w:color="auto"/>
          </w:divBdr>
        </w:div>
        <w:div w:id="536743341">
          <w:marLeft w:val="0"/>
          <w:marRight w:val="0"/>
          <w:marTop w:val="0"/>
          <w:marBottom w:val="0"/>
          <w:divBdr>
            <w:top w:val="none" w:sz="0" w:space="0" w:color="auto"/>
            <w:left w:val="none" w:sz="0" w:space="0" w:color="auto"/>
            <w:bottom w:val="none" w:sz="0" w:space="0" w:color="auto"/>
            <w:right w:val="none" w:sz="0" w:space="0" w:color="auto"/>
          </w:divBdr>
        </w:div>
        <w:div w:id="664432286">
          <w:marLeft w:val="0"/>
          <w:marRight w:val="0"/>
          <w:marTop w:val="0"/>
          <w:marBottom w:val="0"/>
          <w:divBdr>
            <w:top w:val="none" w:sz="0" w:space="0" w:color="auto"/>
            <w:left w:val="none" w:sz="0" w:space="0" w:color="auto"/>
            <w:bottom w:val="none" w:sz="0" w:space="0" w:color="auto"/>
            <w:right w:val="none" w:sz="0" w:space="0" w:color="auto"/>
          </w:divBdr>
        </w:div>
        <w:div w:id="1035345161">
          <w:marLeft w:val="0"/>
          <w:marRight w:val="0"/>
          <w:marTop w:val="0"/>
          <w:marBottom w:val="0"/>
          <w:divBdr>
            <w:top w:val="none" w:sz="0" w:space="0" w:color="auto"/>
            <w:left w:val="none" w:sz="0" w:space="0" w:color="auto"/>
            <w:bottom w:val="none" w:sz="0" w:space="0" w:color="auto"/>
            <w:right w:val="none" w:sz="0" w:space="0" w:color="auto"/>
          </w:divBdr>
        </w:div>
        <w:div w:id="1766220340">
          <w:marLeft w:val="0"/>
          <w:marRight w:val="0"/>
          <w:marTop w:val="0"/>
          <w:marBottom w:val="0"/>
          <w:divBdr>
            <w:top w:val="none" w:sz="0" w:space="0" w:color="auto"/>
            <w:left w:val="none" w:sz="0" w:space="0" w:color="auto"/>
            <w:bottom w:val="none" w:sz="0" w:space="0" w:color="auto"/>
            <w:right w:val="none" w:sz="0" w:space="0" w:color="auto"/>
          </w:divBdr>
        </w:div>
        <w:div w:id="252323011">
          <w:marLeft w:val="0"/>
          <w:marRight w:val="0"/>
          <w:marTop w:val="0"/>
          <w:marBottom w:val="0"/>
          <w:divBdr>
            <w:top w:val="none" w:sz="0" w:space="0" w:color="auto"/>
            <w:left w:val="none" w:sz="0" w:space="0" w:color="auto"/>
            <w:bottom w:val="none" w:sz="0" w:space="0" w:color="auto"/>
            <w:right w:val="none" w:sz="0" w:space="0" w:color="auto"/>
          </w:divBdr>
        </w:div>
        <w:div w:id="1728601654">
          <w:marLeft w:val="0"/>
          <w:marRight w:val="0"/>
          <w:marTop w:val="0"/>
          <w:marBottom w:val="0"/>
          <w:divBdr>
            <w:top w:val="none" w:sz="0" w:space="0" w:color="auto"/>
            <w:left w:val="none" w:sz="0" w:space="0" w:color="auto"/>
            <w:bottom w:val="none" w:sz="0" w:space="0" w:color="auto"/>
            <w:right w:val="none" w:sz="0" w:space="0" w:color="auto"/>
          </w:divBdr>
        </w:div>
        <w:div w:id="1346445130">
          <w:marLeft w:val="0"/>
          <w:marRight w:val="0"/>
          <w:marTop w:val="0"/>
          <w:marBottom w:val="0"/>
          <w:divBdr>
            <w:top w:val="none" w:sz="0" w:space="0" w:color="auto"/>
            <w:left w:val="none" w:sz="0" w:space="0" w:color="auto"/>
            <w:bottom w:val="none" w:sz="0" w:space="0" w:color="auto"/>
            <w:right w:val="none" w:sz="0" w:space="0" w:color="auto"/>
          </w:divBdr>
        </w:div>
        <w:div w:id="1848596844">
          <w:marLeft w:val="0"/>
          <w:marRight w:val="0"/>
          <w:marTop w:val="0"/>
          <w:marBottom w:val="0"/>
          <w:divBdr>
            <w:top w:val="none" w:sz="0" w:space="0" w:color="auto"/>
            <w:left w:val="none" w:sz="0" w:space="0" w:color="auto"/>
            <w:bottom w:val="none" w:sz="0" w:space="0" w:color="auto"/>
            <w:right w:val="none" w:sz="0" w:space="0" w:color="auto"/>
          </w:divBdr>
        </w:div>
        <w:div w:id="524832841">
          <w:marLeft w:val="0"/>
          <w:marRight w:val="0"/>
          <w:marTop w:val="0"/>
          <w:marBottom w:val="0"/>
          <w:divBdr>
            <w:top w:val="none" w:sz="0" w:space="0" w:color="auto"/>
            <w:left w:val="none" w:sz="0" w:space="0" w:color="auto"/>
            <w:bottom w:val="none" w:sz="0" w:space="0" w:color="auto"/>
            <w:right w:val="none" w:sz="0" w:space="0" w:color="auto"/>
          </w:divBdr>
        </w:div>
        <w:div w:id="324600918">
          <w:marLeft w:val="0"/>
          <w:marRight w:val="0"/>
          <w:marTop w:val="0"/>
          <w:marBottom w:val="0"/>
          <w:divBdr>
            <w:top w:val="none" w:sz="0" w:space="0" w:color="auto"/>
            <w:left w:val="none" w:sz="0" w:space="0" w:color="auto"/>
            <w:bottom w:val="none" w:sz="0" w:space="0" w:color="auto"/>
            <w:right w:val="none" w:sz="0" w:space="0" w:color="auto"/>
          </w:divBdr>
        </w:div>
        <w:div w:id="1824469851">
          <w:marLeft w:val="0"/>
          <w:marRight w:val="0"/>
          <w:marTop w:val="0"/>
          <w:marBottom w:val="0"/>
          <w:divBdr>
            <w:top w:val="none" w:sz="0" w:space="0" w:color="auto"/>
            <w:left w:val="none" w:sz="0" w:space="0" w:color="auto"/>
            <w:bottom w:val="none" w:sz="0" w:space="0" w:color="auto"/>
            <w:right w:val="none" w:sz="0" w:space="0" w:color="auto"/>
          </w:divBdr>
        </w:div>
        <w:div w:id="860511020">
          <w:marLeft w:val="0"/>
          <w:marRight w:val="0"/>
          <w:marTop w:val="0"/>
          <w:marBottom w:val="0"/>
          <w:divBdr>
            <w:top w:val="none" w:sz="0" w:space="0" w:color="auto"/>
            <w:left w:val="none" w:sz="0" w:space="0" w:color="auto"/>
            <w:bottom w:val="none" w:sz="0" w:space="0" w:color="auto"/>
            <w:right w:val="none" w:sz="0" w:space="0" w:color="auto"/>
          </w:divBdr>
        </w:div>
        <w:div w:id="1470172393">
          <w:marLeft w:val="0"/>
          <w:marRight w:val="0"/>
          <w:marTop w:val="0"/>
          <w:marBottom w:val="0"/>
          <w:divBdr>
            <w:top w:val="none" w:sz="0" w:space="0" w:color="auto"/>
            <w:left w:val="none" w:sz="0" w:space="0" w:color="auto"/>
            <w:bottom w:val="none" w:sz="0" w:space="0" w:color="auto"/>
            <w:right w:val="none" w:sz="0" w:space="0" w:color="auto"/>
          </w:divBdr>
        </w:div>
        <w:div w:id="1069229572">
          <w:marLeft w:val="0"/>
          <w:marRight w:val="0"/>
          <w:marTop w:val="0"/>
          <w:marBottom w:val="0"/>
          <w:divBdr>
            <w:top w:val="none" w:sz="0" w:space="0" w:color="auto"/>
            <w:left w:val="none" w:sz="0" w:space="0" w:color="auto"/>
            <w:bottom w:val="none" w:sz="0" w:space="0" w:color="auto"/>
            <w:right w:val="none" w:sz="0" w:space="0" w:color="auto"/>
          </w:divBdr>
        </w:div>
        <w:div w:id="1939168767">
          <w:marLeft w:val="0"/>
          <w:marRight w:val="0"/>
          <w:marTop w:val="0"/>
          <w:marBottom w:val="0"/>
          <w:divBdr>
            <w:top w:val="none" w:sz="0" w:space="0" w:color="auto"/>
            <w:left w:val="none" w:sz="0" w:space="0" w:color="auto"/>
            <w:bottom w:val="none" w:sz="0" w:space="0" w:color="auto"/>
            <w:right w:val="none" w:sz="0" w:space="0" w:color="auto"/>
          </w:divBdr>
        </w:div>
        <w:div w:id="366377308">
          <w:marLeft w:val="0"/>
          <w:marRight w:val="0"/>
          <w:marTop w:val="0"/>
          <w:marBottom w:val="0"/>
          <w:divBdr>
            <w:top w:val="none" w:sz="0" w:space="0" w:color="auto"/>
            <w:left w:val="none" w:sz="0" w:space="0" w:color="auto"/>
            <w:bottom w:val="none" w:sz="0" w:space="0" w:color="auto"/>
            <w:right w:val="none" w:sz="0" w:space="0" w:color="auto"/>
          </w:divBdr>
        </w:div>
        <w:div w:id="2040930524">
          <w:marLeft w:val="0"/>
          <w:marRight w:val="0"/>
          <w:marTop w:val="0"/>
          <w:marBottom w:val="0"/>
          <w:divBdr>
            <w:top w:val="none" w:sz="0" w:space="0" w:color="auto"/>
            <w:left w:val="none" w:sz="0" w:space="0" w:color="auto"/>
            <w:bottom w:val="none" w:sz="0" w:space="0" w:color="auto"/>
            <w:right w:val="none" w:sz="0" w:space="0" w:color="auto"/>
          </w:divBdr>
        </w:div>
        <w:div w:id="634726442">
          <w:marLeft w:val="0"/>
          <w:marRight w:val="0"/>
          <w:marTop w:val="0"/>
          <w:marBottom w:val="0"/>
          <w:divBdr>
            <w:top w:val="none" w:sz="0" w:space="0" w:color="auto"/>
            <w:left w:val="none" w:sz="0" w:space="0" w:color="auto"/>
            <w:bottom w:val="none" w:sz="0" w:space="0" w:color="auto"/>
            <w:right w:val="none" w:sz="0" w:space="0" w:color="auto"/>
          </w:divBdr>
        </w:div>
        <w:div w:id="1798179170">
          <w:marLeft w:val="0"/>
          <w:marRight w:val="0"/>
          <w:marTop w:val="0"/>
          <w:marBottom w:val="0"/>
          <w:divBdr>
            <w:top w:val="none" w:sz="0" w:space="0" w:color="auto"/>
            <w:left w:val="none" w:sz="0" w:space="0" w:color="auto"/>
            <w:bottom w:val="none" w:sz="0" w:space="0" w:color="auto"/>
            <w:right w:val="none" w:sz="0" w:space="0" w:color="auto"/>
          </w:divBdr>
        </w:div>
        <w:div w:id="1163350617">
          <w:marLeft w:val="0"/>
          <w:marRight w:val="0"/>
          <w:marTop w:val="0"/>
          <w:marBottom w:val="0"/>
          <w:divBdr>
            <w:top w:val="none" w:sz="0" w:space="0" w:color="auto"/>
            <w:left w:val="none" w:sz="0" w:space="0" w:color="auto"/>
            <w:bottom w:val="none" w:sz="0" w:space="0" w:color="auto"/>
            <w:right w:val="none" w:sz="0" w:space="0" w:color="auto"/>
          </w:divBdr>
        </w:div>
        <w:div w:id="914318233">
          <w:marLeft w:val="0"/>
          <w:marRight w:val="0"/>
          <w:marTop w:val="0"/>
          <w:marBottom w:val="0"/>
          <w:divBdr>
            <w:top w:val="none" w:sz="0" w:space="0" w:color="auto"/>
            <w:left w:val="none" w:sz="0" w:space="0" w:color="auto"/>
            <w:bottom w:val="none" w:sz="0" w:space="0" w:color="auto"/>
            <w:right w:val="none" w:sz="0" w:space="0" w:color="auto"/>
          </w:divBdr>
        </w:div>
        <w:div w:id="257567705">
          <w:marLeft w:val="0"/>
          <w:marRight w:val="0"/>
          <w:marTop w:val="0"/>
          <w:marBottom w:val="0"/>
          <w:divBdr>
            <w:top w:val="none" w:sz="0" w:space="0" w:color="auto"/>
            <w:left w:val="none" w:sz="0" w:space="0" w:color="auto"/>
            <w:bottom w:val="none" w:sz="0" w:space="0" w:color="auto"/>
            <w:right w:val="none" w:sz="0" w:space="0" w:color="auto"/>
          </w:divBdr>
        </w:div>
        <w:div w:id="793333187">
          <w:marLeft w:val="0"/>
          <w:marRight w:val="0"/>
          <w:marTop w:val="0"/>
          <w:marBottom w:val="0"/>
          <w:divBdr>
            <w:top w:val="none" w:sz="0" w:space="0" w:color="auto"/>
            <w:left w:val="none" w:sz="0" w:space="0" w:color="auto"/>
            <w:bottom w:val="none" w:sz="0" w:space="0" w:color="auto"/>
            <w:right w:val="none" w:sz="0" w:space="0" w:color="auto"/>
          </w:divBdr>
        </w:div>
        <w:div w:id="1298923586">
          <w:marLeft w:val="0"/>
          <w:marRight w:val="0"/>
          <w:marTop w:val="0"/>
          <w:marBottom w:val="0"/>
          <w:divBdr>
            <w:top w:val="none" w:sz="0" w:space="0" w:color="auto"/>
            <w:left w:val="none" w:sz="0" w:space="0" w:color="auto"/>
            <w:bottom w:val="none" w:sz="0" w:space="0" w:color="auto"/>
            <w:right w:val="none" w:sz="0" w:space="0" w:color="auto"/>
          </w:divBdr>
        </w:div>
        <w:div w:id="1815364716">
          <w:marLeft w:val="0"/>
          <w:marRight w:val="0"/>
          <w:marTop w:val="0"/>
          <w:marBottom w:val="0"/>
          <w:divBdr>
            <w:top w:val="none" w:sz="0" w:space="0" w:color="auto"/>
            <w:left w:val="none" w:sz="0" w:space="0" w:color="auto"/>
            <w:bottom w:val="none" w:sz="0" w:space="0" w:color="auto"/>
            <w:right w:val="none" w:sz="0" w:space="0" w:color="auto"/>
          </w:divBdr>
        </w:div>
        <w:div w:id="1962951036">
          <w:marLeft w:val="0"/>
          <w:marRight w:val="0"/>
          <w:marTop w:val="0"/>
          <w:marBottom w:val="0"/>
          <w:divBdr>
            <w:top w:val="none" w:sz="0" w:space="0" w:color="auto"/>
            <w:left w:val="none" w:sz="0" w:space="0" w:color="auto"/>
            <w:bottom w:val="none" w:sz="0" w:space="0" w:color="auto"/>
            <w:right w:val="none" w:sz="0" w:space="0" w:color="auto"/>
          </w:divBdr>
        </w:div>
        <w:div w:id="1048645645">
          <w:marLeft w:val="0"/>
          <w:marRight w:val="0"/>
          <w:marTop w:val="0"/>
          <w:marBottom w:val="0"/>
          <w:divBdr>
            <w:top w:val="none" w:sz="0" w:space="0" w:color="auto"/>
            <w:left w:val="none" w:sz="0" w:space="0" w:color="auto"/>
            <w:bottom w:val="none" w:sz="0" w:space="0" w:color="auto"/>
            <w:right w:val="none" w:sz="0" w:space="0" w:color="auto"/>
          </w:divBdr>
        </w:div>
        <w:div w:id="1254974416">
          <w:marLeft w:val="0"/>
          <w:marRight w:val="0"/>
          <w:marTop w:val="0"/>
          <w:marBottom w:val="0"/>
          <w:divBdr>
            <w:top w:val="none" w:sz="0" w:space="0" w:color="auto"/>
            <w:left w:val="none" w:sz="0" w:space="0" w:color="auto"/>
            <w:bottom w:val="none" w:sz="0" w:space="0" w:color="auto"/>
            <w:right w:val="none" w:sz="0" w:space="0" w:color="auto"/>
          </w:divBdr>
        </w:div>
        <w:div w:id="1155611444">
          <w:marLeft w:val="0"/>
          <w:marRight w:val="0"/>
          <w:marTop w:val="0"/>
          <w:marBottom w:val="0"/>
          <w:divBdr>
            <w:top w:val="none" w:sz="0" w:space="0" w:color="auto"/>
            <w:left w:val="none" w:sz="0" w:space="0" w:color="auto"/>
            <w:bottom w:val="none" w:sz="0" w:space="0" w:color="auto"/>
            <w:right w:val="none" w:sz="0" w:space="0" w:color="auto"/>
          </w:divBdr>
        </w:div>
        <w:div w:id="1523780373">
          <w:marLeft w:val="0"/>
          <w:marRight w:val="0"/>
          <w:marTop w:val="0"/>
          <w:marBottom w:val="0"/>
          <w:divBdr>
            <w:top w:val="none" w:sz="0" w:space="0" w:color="auto"/>
            <w:left w:val="none" w:sz="0" w:space="0" w:color="auto"/>
            <w:bottom w:val="none" w:sz="0" w:space="0" w:color="auto"/>
            <w:right w:val="none" w:sz="0" w:space="0" w:color="auto"/>
          </w:divBdr>
        </w:div>
        <w:div w:id="973213631">
          <w:marLeft w:val="0"/>
          <w:marRight w:val="0"/>
          <w:marTop w:val="0"/>
          <w:marBottom w:val="0"/>
          <w:divBdr>
            <w:top w:val="none" w:sz="0" w:space="0" w:color="auto"/>
            <w:left w:val="none" w:sz="0" w:space="0" w:color="auto"/>
            <w:bottom w:val="none" w:sz="0" w:space="0" w:color="auto"/>
            <w:right w:val="none" w:sz="0" w:space="0" w:color="auto"/>
          </w:divBdr>
        </w:div>
        <w:div w:id="453213328">
          <w:marLeft w:val="0"/>
          <w:marRight w:val="0"/>
          <w:marTop w:val="0"/>
          <w:marBottom w:val="0"/>
          <w:divBdr>
            <w:top w:val="none" w:sz="0" w:space="0" w:color="auto"/>
            <w:left w:val="none" w:sz="0" w:space="0" w:color="auto"/>
            <w:bottom w:val="none" w:sz="0" w:space="0" w:color="auto"/>
            <w:right w:val="none" w:sz="0" w:space="0" w:color="auto"/>
          </w:divBdr>
        </w:div>
        <w:div w:id="1136878246">
          <w:marLeft w:val="0"/>
          <w:marRight w:val="0"/>
          <w:marTop w:val="0"/>
          <w:marBottom w:val="0"/>
          <w:divBdr>
            <w:top w:val="none" w:sz="0" w:space="0" w:color="auto"/>
            <w:left w:val="none" w:sz="0" w:space="0" w:color="auto"/>
            <w:bottom w:val="none" w:sz="0" w:space="0" w:color="auto"/>
            <w:right w:val="none" w:sz="0" w:space="0" w:color="auto"/>
          </w:divBdr>
        </w:div>
        <w:div w:id="657268583">
          <w:marLeft w:val="0"/>
          <w:marRight w:val="0"/>
          <w:marTop w:val="0"/>
          <w:marBottom w:val="0"/>
          <w:divBdr>
            <w:top w:val="none" w:sz="0" w:space="0" w:color="auto"/>
            <w:left w:val="none" w:sz="0" w:space="0" w:color="auto"/>
            <w:bottom w:val="none" w:sz="0" w:space="0" w:color="auto"/>
            <w:right w:val="none" w:sz="0" w:space="0" w:color="auto"/>
          </w:divBdr>
        </w:div>
        <w:div w:id="1159611686">
          <w:marLeft w:val="0"/>
          <w:marRight w:val="0"/>
          <w:marTop w:val="0"/>
          <w:marBottom w:val="0"/>
          <w:divBdr>
            <w:top w:val="none" w:sz="0" w:space="0" w:color="auto"/>
            <w:left w:val="none" w:sz="0" w:space="0" w:color="auto"/>
            <w:bottom w:val="none" w:sz="0" w:space="0" w:color="auto"/>
            <w:right w:val="none" w:sz="0" w:space="0" w:color="auto"/>
          </w:divBdr>
        </w:div>
        <w:div w:id="1405448322">
          <w:marLeft w:val="0"/>
          <w:marRight w:val="0"/>
          <w:marTop w:val="0"/>
          <w:marBottom w:val="0"/>
          <w:divBdr>
            <w:top w:val="none" w:sz="0" w:space="0" w:color="auto"/>
            <w:left w:val="none" w:sz="0" w:space="0" w:color="auto"/>
            <w:bottom w:val="none" w:sz="0" w:space="0" w:color="auto"/>
            <w:right w:val="none" w:sz="0" w:space="0" w:color="auto"/>
          </w:divBdr>
        </w:div>
        <w:div w:id="1287194477">
          <w:marLeft w:val="0"/>
          <w:marRight w:val="0"/>
          <w:marTop w:val="0"/>
          <w:marBottom w:val="0"/>
          <w:divBdr>
            <w:top w:val="none" w:sz="0" w:space="0" w:color="auto"/>
            <w:left w:val="none" w:sz="0" w:space="0" w:color="auto"/>
            <w:bottom w:val="none" w:sz="0" w:space="0" w:color="auto"/>
            <w:right w:val="none" w:sz="0" w:space="0" w:color="auto"/>
          </w:divBdr>
        </w:div>
        <w:div w:id="1626043172">
          <w:marLeft w:val="0"/>
          <w:marRight w:val="0"/>
          <w:marTop w:val="0"/>
          <w:marBottom w:val="0"/>
          <w:divBdr>
            <w:top w:val="none" w:sz="0" w:space="0" w:color="auto"/>
            <w:left w:val="none" w:sz="0" w:space="0" w:color="auto"/>
            <w:bottom w:val="none" w:sz="0" w:space="0" w:color="auto"/>
            <w:right w:val="none" w:sz="0" w:space="0" w:color="auto"/>
          </w:divBdr>
        </w:div>
        <w:div w:id="1233270456">
          <w:marLeft w:val="0"/>
          <w:marRight w:val="0"/>
          <w:marTop w:val="0"/>
          <w:marBottom w:val="0"/>
          <w:divBdr>
            <w:top w:val="none" w:sz="0" w:space="0" w:color="auto"/>
            <w:left w:val="none" w:sz="0" w:space="0" w:color="auto"/>
            <w:bottom w:val="none" w:sz="0" w:space="0" w:color="auto"/>
            <w:right w:val="none" w:sz="0" w:space="0" w:color="auto"/>
          </w:divBdr>
        </w:div>
        <w:div w:id="1512719014">
          <w:marLeft w:val="0"/>
          <w:marRight w:val="0"/>
          <w:marTop w:val="0"/>
          <w:marBottom w:val="0"/>
          <w:divBdr>
            <w:top w:val="none" w:sz="0" w:space="0" w:color="auto"/>
            <w:left w:val="none" w:sz="0" w:space="0" w:color="auto"/>
            <w:bottom w:val="none" w:sz="0" w:space="0" w:color="auto"/>
            <w:right w:val="none" w:sz="0" w:space="0" w:color="auto"/>
          </w:divBdr>
        </w:div>
        <w:div w:id="1661273752">
          <w:marLeft w:val="0"/>
          <w:marRight w:val="0"/>
          <w:marTop w:val="0"/>
          <w:marBottom w:val="0"/>
          <w:divBdr>
            <w:top w:val="none" w:sz="0" w:space="0" w:color="auto"/>
            <w:left w:val="none" w:sz="0" w:space="0" w:color="auto"/>
            <w:bottom w:val="none" w:sz="0" w:space="0" w:color="auto"/>
            <w:right w:val="none" w:sz="0" w:space="0" w:color="auto"/>
          </w:divBdr>
        </w:div>
        <w:div w:id="71972335">
          <w:marLeft w:val="0"/>
          <w:marRight w:val="0"/>
          <w:marTop w:val="0"/>
          <w:marBottom w:val="0"/>
          <w:divBdr>
            <w:top w:val="none" w:sz="0" w:space="0" w:color="auto"/>
            <w:left w:val="none" w:sz="0" w:space="0" w:color="auto"/>
            <w:bottom w:val="none" w:sz="0" w:space="0" w:color="auto"/>
            <w:right w:val="none" w:sz="0" w:space="0" w:color="auto"/>
          </w:divBdr>
        </w:div>
        <w:div w:id="685712819">
          <w:marLeft w:val="0"/>
          <w:marRight w:val="0"/>
          <w:marTop w:val="0"/>
          <w:marBottom w:val="0"/>
          <w:divBdr>
            <w:top w:val="none" w:sz="0" w:space="0" w:color="auto"/>
            <w:left w:val="none" w:sz="0" w:space="0" w:color="auto"/>
            <w:bottom w:val="none" w:sz="0" w:space="0" w:color="auto"/>
            <w:right w:val="none" w:sz="0" w:space="0" w:color="auto"/>
          </w:divBdr>
        </w:div>
        <w:div w:id="1479032503">
          <w:marLeft w:val="0"/>
          <w:marRight w:val="0"/>
          <w:marTop w:val="0"/>
          <w:marBottom w:val="0"/>
          <w:divBdr>
            <w:top w:val="none" w:sz="0" w:space="0" w:color="auto"/>
            <w:left w:val="none" w:sz="0" w:space="0" w:color="auto"/>
            <w:bottom w:val="none" w:sz="0" w:space="0" w:color="auto"/>
            <w:right w:val="none" w:sz="0" w:space="0" w:color="auto"/>
          </w:divBdr>
        </w:div>
        <w:div w:id="176161419">
          <w:marLeft w:val="0"/>
          <w:marRight w:val="0"/>
          <w:marTop w:val="0"/>
          <w:marBottom w:val="0"/>
          <w:divBdr>
            <w:top w:val="none" w:sz="0" w:space="0" w:color="auto"/>
            <w:left w:val="none" w:sz="0" w:space="0" w:color="auto"/>
            <w:bottom w:val="none" w:sz="0" w:space="0" w:color="auto"/>
            <w:right w:val="none" w:sz="0" w:space="0" w:color="auto"/>
          </w:divBdr>
        </w:div>
        <w:div w:id="424038269">
          <w:marLeft w:val="0"/>
          <w:marRight w:val="0"/>
          <w:marTop w:val="0"/>
          <w:marBottom w:val="0"/>
          <w:divBdr>
            <w:top w:val="none" w:sz="0" w:space="0" w:color="auto"/>
            <w:left w:val="none" w:sz="0" w:space="0" w:color="auto"/>
            <w:bottom w:val="none" w:sz="0" w:space="0" w:color="auto"/>
            <w:right w:val="none" w:sz="0" w:space="0" w:color="auto"/>
          </w:divBdr>
        </w:div>
        <w:div w:id="129327924">
          <w:marLeft w:val="0"/>
          <w:marRight w:val="0"/>
          <w:marTop w:val="0"/>
          <w:marBottom w:val="0"/>
          <w:divBdr>
            <w:top w:val="none" w:sz="0" w:space="0" w:color="auto"/>
            <w:left w:val="none" w:sz="0" w:space="0" w:color="auto"/>
            <w:bottom w:val="none" w:sz="0" w:space="0" w:color="auto"/>
            <w:right w:val="none" w:sz="0" w:space="0" w:color="auto"/>
          </w:divBdr>
        </w:div>
        <w:div w:id="1567063724">
          <w:marLeft w:val="0"/>
          <w:marRight w:val="0"/>
          <w:marTop w:val="0"/>
          <w:marBottom w:val="0"/>
          <w:divBdr>
            <w:top w:val="none" w:sz="0" w:space="0" w:color="auto"/>
            <w:left w:val="none" w:sz="0" w:space="0" w:color="auto"/>
            <w:bottom w:val="none" w:sz="0" w:space="0" w:color="auto"/>
            <w:right w:val="none" w:sz="0" w:space="0" w:color="auto"/>
          </w:divBdr>
        </w:div>
        <w:div w:id="986058062">
          <w:marLeft w:val="0"/>
          <w:marRight w:val="0"/>
          <w:marTop w:val="0"/>
          <w:marBottom w:val="0"/>
          <w:divBdr>
            <w:top w:val="none" w:sz="0" w:space="0" w:color="auto"/>
            <w:left w:val="none" w:sz="0" w:space="0" w:color="auto"/>
            <w:bottom w:val="none" w:sz="0" w:space="0" w:color="auto"/>
            <w:right w:val="none" w:sz="0" w:space="0" w:color="auto"/>
          </w:divBdr>
        </w:div>
        <w:div w:id="62070634">
          <w:marLeft w:val="0"/>
          <w:marRight w:val="0"/>
          <w:marTop w:val="0"/>
          <w:marBottom w:val="0"/>
          <w:divBdr>
            <w:top w:val="none" w:sz="0" w:space="0" w:color="auto"/>
            <w:left w:val="none" w:sz="0" w:space="0" w:color="auto"/>
            <w:bottom w:val="none" w:sz="0" w:space="0" w:color="auto"/>
            <w:right w:val="none" w:sz="0" w:space="0" w:color="auto"/>
          </w:divBdr>
        </w:div>
        <w:div w:id="811604790">
          <w:marLeft w:val="0"/>
          <w:marRight w:val="0"/>
          <w:marTop w:val="0"/>
          <w:marBottom w:val="0"/>
          <w:divBdr>
            <w:top w:val="none" w:sz="0" w:space="0" w:color="auto"/>
            <w:left w:val="none" w:sz="0" w:space="0" w:color="auto"/>
            <w:bottom w:val="none" w:sz="0" w:space="0" w:color="auto"/>
            <w:right w:val="none" w:sz="0" w:space="0" w:color="auto"/>
          </w:divBdr>
        </w:div>
        <w:div w:id="1853062478">
          <w:marLeft w:val="0"/>
          <w:marRight w:val="0"/>
          <w:marTop w:val="0"/>
          <w:marBottom w:val="0"/>
          <w:divBdr>
            <w:top w:val="none" w:sz="0" w:space="0" w:color="auto"/>
            <w:left w:val="none" w:sz="0" w:space="0" w:color="auto"/>
            <w:bottom w:val="none" w:sz="0" w:space="0" w:color="auto"/>
            <w:right w:val="none" w:sz="0" w:space="0" w:color="auto"/>
          </w:divBdr>
        </w:div>
        <w:div w:id="1010060094">
          <w:marLeft w:val="0"/>
          <w:marRight w:val="0"/>
          <w:marTop w:val="0"/>
          <w:marBottom w:val="0"/>
          <w:divBdr>
            <w:top w:val="none" w:sz="0" w:space="0" w:color="auto"/>
            <w:left w:val="none" w:sz="0" w:space="0" w:color="auto"/>
            <w:bottom w:val="none" w:sz="0" w:space="0" w:color="auto"/>
            <w:right w:val="none" w:sz="0" w:space="0" w:color="auto"/>
          </w:divBdr>
        </w:div>
        <w:div w:id="779762618">
          <w:marLeft w:val="0"/>
          <w:marRight w:val="0"/>
          <w:marTop w:val="0"/>
          <w:marBottom w:val="0"/>
          <w:divBdr>
            <w:top w:val="none" w:sz="0" w:space="0" w:color="auto"/>
            <w:left w:val="none" w:sz="0" w:space="0" w:color="auto"/>
            <w:bottom w:val="none" w:sz="0" w:space="0" w:color="auto"/>
            <w:right w:val="none" w:sz="0" w:space="0" w:color="auto"/>
          </w:divBdr>
        </w:div>
        <w:div w:id="1961185915">
          <w:marLeft w:val="0"/>
          <w:marRight w:val="0"/>
          <w:marTop w:val="0"/>
          <w:marBottom w:val="0"/>
          <w:divBdr>
            <w:top w:val="none" w:sz="0" w:space="0" w:color="auto"/>
            <w:left w:val="none" w:sz="0" w:space="0" w:color="auto"/>
            <w:bottom w:val="none" w:sz="0" w:space="0" w:color="auto"/>
            <w:right w:val="none" w:sz="0" w:space="0" w:color="auto"/>
          </w:divBdr>
        </w:div>
        <w:div w:id="1266614312">
          <w:marLeft w:val="0"/>
          <w:marRight w:val="0"/>
          <w:marTop w:val="0"/>
          <w:marBottom w:val="0"/>
          <w:divBdr>
            <w:top w:val="none" w:sz="0" w:space="0" w:color="auto"/>
            <w:left w:val="none" w:sz="0" w:space="0" w:color="auto"/>
            <w:bottom w:val="none" w:sz="0" w:space="0" w:color="auto"/>
            <w:right w:val="none" w:sz="0" w:space="0" w:color="auto"/>
          </w:divBdr>
        </w:div>
        <w:div w:id="35815148">
          <w:marLeft w:val="0"/>
          <w:marRight w:val="0"/>
          <w:marTop w:val="0"/>
          <w:marBottom w:val="0"/>
          <w:divBdr>
            <w:top w:val="none" w:sz="0" w:space="0" w:color="auto"/>
            <w:left w:val="none" w:sz="0" w:space="0" w:color="auto"/>
            <w:bottom w:val="none" w:sz="0" w:space="0" w:color="auto"/>
            <w:right w:val="none" w:sz="0" w:space="0" w:color="auto"/>
          </w:divBdr>
        </w:div>
        <w:div w:id="1519546236">
          <w:marLeft w:val="0"/>
          <w:marRight w:val="0"/>
          <w:marTop w:val="0"/>
          <w:marBottom w:val="0"/>
          <w:divBdr>
            <w:top w:val="none" w:sz="0" w:space="0" w:color="auto"/>
            <w:left w:val="none" w:sz="0" w:space="0" w:color="auto"/>
            <w:bottom w:val="none" w:sz="0" w:space="0" w:color="auto"/>
            <w:right w:val="none" w:sz="0" w:space="0" w:color="auto"/>
          </w:divBdr>
        </w:div>
        <w:div w:id="513150537">
          <w:marLeft w:val="0"/>
          <w:marRight w:val="0"/>
          <w:marTop w:val="0"/>
          <w:marBottom w:val="0"/>
          <w:divBdr>
            <w:top w:val="none" w:sz="0" w:space="0" w:color="auto"/>
            <w:left w:val="none" w:sz="0" w:space="0" w:color="auto"/>
            <w:bottom w:val="none" w:sz="0" w:space="0" w:color="auto"/>
            <w:right w:val="none" w:sz="0" w:space="0" w:color="auto"/>
          </w:divBdr>
        </w:div>
        <w:div w:id="283659654">
          <w:marLeft w:val="0"/>
          <w:marRight w:val="0"/>
          <w:marTop w:val="0"/>
          <w:marBottom w:val="0"/>
          <w:divBdr>
            <w:top w:val="none" w:sz="0" w:space="0" w:color="auto"/>
            <w:left w:val="none" w:sz="0" w:space="0" w:color="auto"/>
            <w:bottom w:val="none" w:sz="0" w:space="0" w:color="auto"/>
            <w:right w:val="none" w:sz="0" w:space="0" w:color="auto"/>
          </w:divBdr>
        </w:div>
        <w:div w:id="506747413">
          <w:marLeft w:val="0"/>
          <w:marRight w:val="0"/>
          <w:marTop w:val="0"/>
          <w:marBottom w:val="0"/>
          <w:divBdr>
            <w:top w:val="none" w:sz="0" w:space="0" w:color="auto"/>
            <w:left w:val="none" w:sz="0" w:space="0" w:color="auto"/>
            <w:bottom w:val="none" w:sz="0" w:space="0" w:color="auto"/>
            <w:right w:val="none" w:sz="0" w:space="0" w:color="auto"/>
          </w:divBdr>
        </w:div>
        <w:div w:id="200632559">
          <w:marLeft w:val="0"/>
          <w:marRight w:val="0"/>
          <w:marTop w:val="0"/>
          <w:marBottom w:val="0"/>
          <w:divBdr>
            <w:top w:val="none" w:sz="0" w:space="0" w:color="auto"/>
            <w:left w:val="none" w:sz="0" w:space="0" w:color="auto"/>
            <w:bottom w:val="none" w:sz="0" w:space="0" w:color="auto"/>
            <w:right w:val="none" w:sz="0" w:space="0" w:color="auto"/>
          </w:divBdr>
        </w:div>
        <w:div w:id="1190678451">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557626453">
          <w:marLeft w:val="0"/>
          <w:marRight w:val="0"/>
          <w:marTop w:val="0"/>
          <w:marBottom w:val="0"/>
          <w:divBdr>
            <w:top w:val="none" w:sz="0" w:space="0" w:color="auto"/>
            <w:left w:val="none" w:sz="0" w:space="0" w:color="auto"/>
            <w:bottom w:val="none" w:sz="0" w:space="0" w:color="auto"/>
            <w:right w:val="none" w:sz="0" w:space="0" w:color="auto"/>
          </w:divBdr>
        </w:div>
        <w:div w:id="926159502">
          <w:marLeft w:val="0"/>
          <w:marRight w:val="0"/>
          <w:marTop w:val="0"/>
          <w:marBottom w:val="0"/>
          <w:divBdr>
            <w:top w:val="none" w:sz="0" w:space="0" w:color="auto"/>
            <w:left w:val="none" w:sz="0" w:space="0" w:color="auto"/>
            <w:bottom w:val="none" w:sz="0" w:space="0" w:color="auto"/>
            <w:right w:val="none" w:sz="0" w:space="0" w:color="auto"/>
          </w:divBdr>
        </w:div>
        <w:div w:id="1623922654">
          <w:marLeft w:val="0"/>
          <w:marRight w:val="0"/>
          <w:marTop w:val="0"/>
          <w:marBottom w:val="0"/>
          <w:divBdr>
            <w:top w:val="none" w:sz="0" w:space="0" w:color="auto"/>
            <w:left w:val="none" w:sz="0" w:space="0" w:color="auto"/>
            <w:bottom w:val="none" w:sz="0" w:space="0" w:color="auto"/>
            <w:right w:val="none" w:sz="0" w:space="0" w:color="auto"/>
          </w:divBdr>
        </w:div>
        <w:div w:id="500853347">
          <w:marLeft w:val="0"/>
          <w:marRight w:val="0"/>
          <w:marTop w:val="0"/>
          <w:marBottom w:val="0"/>
          <w:divBdr>
            <w:top w:val="none" w:sz="0" w:space="0" w:color="auto"/>
            <w:left w:val="none" w:sz="0" w:space="0" w:color="auto"/>
            <w:bottom w:val="none" w:sz="0" w:space="0" w:color="auto"/>
            <w:right w:val="none" w:sz="0" w:space="0" w:color="auto"/>
          </w:divBdr>
        </w:div>
        <w:div w:id="2085448135">
          <w:marLeft w:val="0"/>
          <w:marRight w:val="0"/>
          <w:marTop w:val="0"/>
          <w:marBottom w:val="0"/>
          <w:divBdr>
            <w:top w:val="none" w:sz="0" w:space="0" w:color="auto"/>
            <w:left w:val="none" w:sz="0" w:space="0" w:color="auto"/>
            <w:bottom w:val="none" w:sz="0" w:space="0" w:color="auto"/>
            <w:right w:val="none" w:sz="0" w:space="0" w:color="auto"/>
          </w:divBdr>
        </w:div>
        <w:div w:id="625357010">
          <w:marLeft w:val="0"/>
          <w:marRight w:val="0"/>
          <w:marTop w:val="0"/>
          <w:marBottom w:val="0"/>
          <w:divBdr>
            <w:top w:val="none" w:sz="0" w:space="0" w:color="auto"/>
            <w:left w:val="none" w:sz="0" w:space="0" w:color="auto"/>
            <w:bottom w:val="none" w:sz="0" w:space="0" w:color="auto"/>
            <w:right w:val="none" w:sz="0" w:space="0" w:color="auto"/>
          </w:divBdr>
        </w:div>
        <w:div w:id="1829979683">
          <w:marLeft w:val="0"/>
          <w:marRight w:val="0"/>
          <w:marTop w:val="0"/>
          <w:marBottom w:val="0"/>
          <w:divBdr>
            <w:top w:val="none" w:sz="0" w:space="0" w:color="auto"/>
            <w:left w:val="none" w:sz="0" w:space="0" w:color="auto"/>
            <w:bottom w:val="none" w:sz="0" w:space="0" w:color="auto"/>
            <w:right w:val="none" w:sz="0" w:space="0" w:color="auto"/>
          </w:divBdr>
        </w:div>
        <w:div w:id="1019552211">
          <w:marLeft w:val="0"/>
          <w:marRight w:val="0"/>
          <w:marTop w:val="0"/>
          <w:marBottom w:val="0"/>
          <w:divBdr>
            <w:top w:val="none" w:sz="0" w:space="0" w:color="auto"/>
            <w:left w:val="none" w:sz="0" w:space="0" w:color="auto"/>
            <w:bottom w:val="none" w:sz="0" w:space="0" w:color="auto"/>
            <w:right w:val="none" w:sz="0" w:space="0" w:color="auto"/>
          </w:divBdr>
        </w:div>
        <w:div w:id="1011571731">
          <w:marLeft w:val="0"/>
          <w:marRight w:val="0"/>
          <w:marTop w:val="0"/>
          <w:marBottom w:val="0"/>
          <w:divBdr>
            <w:top w:val="none" w:sz="0" w:space="0" w:color="auto"/>
            <w:left w:val="none" w:sz="0" w:space="0" w:color="auto"/>
            <w:bottom w:val="none" w:sz="0" w:space="0" w:color="auto"/>
            <w:right w:val="none" w:sz="0" w:space="0" w:color="auto"/>
          </w:divBdr>
        </w:div>
        <w:div w:id="1741098495">
          <w:marLeft w:val="0"/>
          <w:marRight w:val="0"/>
          <w:marTop w:val="0"/>
          <w:marBottom w:val="0"/>
          <w:divBdr>
            <w:top w:val="none" w:sz="0" w:space="0" w:color="auto"/>
            <w:left w:val="none" w:sz="0" w:space="0" w:color="auto"/>
            <w:bottom w:val="none" w:sz="0" w:space="0" w:color="auto"/>
            <w:right w:val="none" w:sz="0" w:space="0" w:color="auto"/>
          </w:divBdr>
        </w:div>
        <w:div w:id="37977828">
          <w:marLeft w:val="0"/>
          <w:marRight w:val="0"/>
          <w:marTop w:val="0"/>
          <w:marBottom w:val="0"/>
          <w:divBdr>
            <w:top w:val="none" w:sz="0" w:space="0" w:color="auto"/>
            <w:left w:val="none" w:sz="0" w:space="0" w:color="auto"/>
            <w:bottom w:val="none" w:sz="0" w:space="0" w:color="auto"/>
            <w:right w:val="none" w:sz="0" w:space="0" w:color="auto"/>
          </w:divBdr>
        </w:div>
        <w:div w:id="628827961">
          <w:marLeft w:val="0"/>
          <w:marRight w:val="0"/>
          <w:marTop w:val="0"/>
          <w:marBottom w:val="0"/>
          <w:divBdr>
            <w:top w:val="none" w:sz="0" w:space="0" w:color="auto"/>
            <w:left w:val="none" w:sz="0" w:space="0" w:color="auto"/>
            <w:bottom w:val="none" w:sz="0" w:space="0" w:color="auto"/>
            <w:right w:val="none" w:sz="0" w:space="0" w:color="auto"/>
          </w:divBdr>
        </w:div>
        <w:div w:id="1211919465">
          <w:marLeft w:val="0"/>
          <w:marRight w:val="0"/>
          <w:marTop w:val="0"/>
          <w:marBottom w:val="0"/>
          <w:divBdr>
            <w:top w:val="none" w:sz="0" w:space="0" w:color="auto"/>
            <w:left w:val="none" w:sz="0" w:space="0" w:color="auto"/>
            <w:bottom w:val="none" w:sz="0" w:space="0" w:color="auto"/>
            <w:right w:val="none" w:sz="0" w:space="0" w:color="auto"/>
          </w:divBdr>
        </w:div>
        <w:div w:id="257491104">
          <w:marLeft w:val="0"/>
          <w:marRight w:val="0"/>
          <w:marTop w:val="0"/>
          <w:marBottom w:val="0"/>
          <w:divBdr>
            <w:top w:val="none" w:sz="0" w:space="0" w:color="auto"/>
            <w:left w:val="none" w:sz="0" w:space="0" w:color="auto"/>
            <w:bottom w:val="none" w:sz="0" w:space="0" w:color="auto"/>
            <w:right w:val="none" w:sz="0" w:space="0" w:color="auto"/>
          </w:divBdr>
        </w:div>
        <w:div w:id="2066760169">
          <w:marLeft w:val="0"/>
          <w:marRight w:val="0"/>
          <w:marTop w:val="0"/>
          <w:marBottom w:val="0"/>
          <w:divBdr>
            <w:top w:val="none" w:sz="0" w:space="0" w:color="auto"/>
            <w:left w:val="none" w:sz="0" w:space="0" w:color="auto"/>
            <w:bottom w:val="none" w:sz="0" w:space="0" w:color="auto"/>
            <w:right w:val="none" w:sz="0" w:space="0" w:color="auto"/>
          </w:divBdr>
        </w:div>
        <w:div w:id="656959881">
          <w:marLeft w:val="0"/>
          <w:marRight w:val="0"/>
          <w:marTop w:val="0"/>
          <w:marBottom w:val="0"/>
          <w:divBdr>
            <w:top w:val="none" w:sz="0" w:space="0" w:color="auto"/>
            <w:left w:val="none" w:sz="0" w:space="0" w:color="auto"/>
            <w:bottom w:val="none" w:sz="0" w:space="0" w:color="auto"/>
            <w:right w:val="none" w:sz="0" w:space="0" w:color="auto"/>
          </w:divBdr>
        </w:div>
        <w:div w:id="707724549">
          <w:marLeft w:val="0"/>
          <w:marRight w:val="0"/>
          <w:marTop w:val="0"/>
          <w:marBottom w:val="0"/>
          <w:divBdr>
            <w:top w:val="none" w:sz="0" w:space="0" w:color="auto"/>
            <w:left w:val="none" w:sz="0" w:space="0" w:color="auto"/>
            <w:bottom w:val="none" w:sz="0" w:space="0" w:color="auto"/>
            <w:right w:val="none" w:sz="0" w:space="0" w:color="auto"/>
          </w:divBdr>
        </w:div>
        <w:div w:id="454836192">
          <w:marLeft w:val="0"/>
          <w:marRight w:val="0"/>
          <w:marTop w:val="0"/>
          <w:marBottom w:val="0"/>
          <w:divBdr>
            <w:top w:val="none" w:sz="0" w:space="0" w:color="auto"/>
            <w:left w:val="none" w:sz="0" w:space="0" w:color="auto"/>
            <w:bottom w:val="none" w:sz="0" w:space="0" w:color="auto"/>
            <w:right w:val="none" w:sz="0" w:space="0" w:color="auto"/>
          </w:divBdr>
        </w:div>
        <w:div w:id="196889329">
          <w:marLeft w:val="0"/>
          <w:marRight w:val="0"/>
          <w:marTop w:val="0"/>
          <w:marBottom w:val="0"/>
          <w:divBdr>
            <w:top w:val="none" w:sz="0" w:space="0" w:color="auto"/>
            <w:left w:val="none" w:sz="0" w:space="0" w:color="auto"/>
            <w:bottom w:val="none" w:sz="0" w:space="0" w:color="auto"/>
            <w:right w:val="none" w:sz="0" w:space="0" w:color="auto"/>
          </w:divBdr>
        </w:div>
        <w:div w:id="186798244">
          <w:marLeft w:val="0"/>
          <w:marRight w:val="0"/>
          <w:marTop w:val="0"/>
          <w:marBottom w:val="0"/>
          <w:divBdr>
            <w:top w:val="none" w:sz="0" w:space="0" w:color="auto"/>
            <w:left w:val="none" w:sz="0" w:space="0" w:color="auto"/>
            <w:bottom w:val="none" w:sz="0" w:space="0" w:color="auto"/>
            <w:right w:val="none" w:sz="0" w:space="0" w:color="auto"/>
          </w:divBdr>
        </w:div>
        <w:div w:id="1095050436">
          <w:marLeft w:val="0"/>
          <w:marRight w:val="0"/>
          <w:marTop w:val="0"/>
          <w:marBottom w:val="0"/>
          <w:divBdr>
            <w:top w:val="none" w:sz="0" w:space="0" w:color="auto"/>
            <w:left w:val="none" w:sz="0" w:space="0" w:color="auto"/>
            <w:bottom w:val="none" w:sz="0" w:space="0" w:color="auto"/>
            <w:right w:val="none" w:sz="0" w:space="0" w:color="auto"/>
          </w:divBdr>
        </w:div>
        <w:div w:id="2059014329">
          <w:marLeft w:val="0"/>
          <w:marRight w:val="0"/>
          <w:marTop w:val="0"/>
          <w:marBottom w:val="0"/>
          <w:divBdr>
            <w:top w:val="none" w:sz="0" w:space="0" w:color="auto"/>
            <w:left w:val="none" w:sz="0" w:space="0" w:color="auto"/>
            <w:bottom w:val="none" w:sz="0" w:space="0" w:color="auto"/>
            <w:right w:val="none" w:sz="0" w:space="0" w:color="auto"/>
          </w:divBdr>
        </w:div>
        <w:div w:id="77097678">
          <w:marLeft w:val="0"/>
          <w:marRight w:val="0"/>
          <w:marTop w:val="0"/>
          <w:marBottom w:val="0"/>
          <w:divBdr>
            <w:top w:val="none" w:sz="0" w:space="0" w:color="auto"/>
            <w:left w:val="none" w:sz="0" w:space="0" w:color="auto"/>
            <w:bottom w:val="none" w:sz="0" w:space="0" w:color="auto"/>
            <w:right w:val="none" w:sz="0" w:space="0" w:color="auto"/>
          </w:divBdr>
        </w:div>
        <w:div w:id="321588213">
          <w:marLeft w:val="0"/>
          <w:marRight w:val="0"/>
          <w:marTop w:val="0"/>
          <w:marBottom w:val="0"/>
          <w:divBdr>
            <w:top w:val="none" w:sz="0" w:space="0" w:color="auto"/>
            <w:left w:val="none" w:sz="0" w:space="0" w:color="auto"/>
            <w:bottom w:val="none" w:sz="0" w:space="0" w:color="auto"/>
            <w:right w:val="none" w:sz="0" w:space="0" w:color="auto"/>
          </w:divBdr>
        </w:div>
        <w:div w:id="934165535">
          <w:marLeft w:val="0"/>
          <w:marRight w:val="0"/>
          <w:marTop w:val="0"/>
          <w:marBottom w:val="0"/>
          <w:divBdr>
            <w:top w:val="none" w:sz="0" w:space="0" w:color="auto"/>
            <w:left w:val="none" w:sz="0" w:space="0" w:color="auto"/>
            <w:bottom w:val="none" w:sz="0" w:space="0" w:color="auto"/>
            <w:right w:val="none" w:sz="0" w:space="0" w:color="auto"/>
          </w:divBdr>
        </w:div>
        <w:div w:id="16732755">
          <w:marLeft w:val="0"/>
          <w:marRight w:val="0"/>
          <w:marTop w:val="0"/>
          <w:marBottom w:val="0"/>
          <w:divBdr>
            <w:top w:val="none" w:sz="0" w:space="0" w:color="auto"/>
            <w:left w:val="none" w:sz="0" w:space="0" w:color="auto"/>
            <w:bottom w:val="none" w:sz="0" w:space="0" w:color="auto"/>
            <w:right w:val="none" w:sz="0" w:space="0" w:color="auto"/>
          </w:divBdr>
        </w:div>
        <w:div w:id="1698194036">
          <w:marLeft w:val="0"/>
          <w:marRight w:val="0"/>
          <w:marTop w:val="0"/>
          <w:marBottom w:val="0"/>
          <w:divBdr>
            <w:top w:val="none" w:sz="0" w:space="0" w:color="auto"/>
            <w:left w:val="none" w:sz="0" w:space="0" w:color="auto"/>
            <w:bottom w:val="none" w:sz="0" w:space="0" w:color="auto"/>
            <w:right w:val="none" w:sz="0" w:space="0" w:color="auto"/>
          </w:divBdr>
        </w:div>
        <w:div w:id="517549250">
          <w:marLeft w:val="0"/>
          <w:marRight w:val="0"/>
          <w:marTop w:val="0"/>
          <w:marBottom w:val="0"/>
          <w:divBdr>
            <w:top w:val="none" w:sz="0" w:space="0" w:color="auto"/>
            <w:left w:val="none" w:sz="0" w:space="0" w:color="auto"/>
            <w:bottom w:val="none" w:sz="0" w:space="0" w:color="auto"/>
            <w:right w:val="none" w:sz="0" w:space="0" w:color="auto"/>
          </w:divBdr>
        </w:div>
        <w:div w:id="318967271">
          <w:marLeft w:val="0"/>
          <w:marRight w:val="0"/>
          <w:marTop w:val="0"/>
          <w:marBottom w:val="0"/>
          <w:divBdr>
            <w:top w:val="none" w:sz="0" w:space="0" w:color="auto"/>
            <w:left w:val="none" w:sz="0" w:space="0" w:color="auto"/>
            <w:bottom w:val="none" w:sz="0" w:space="0" w:color="auto"/>
            <w:right w:val="none" w:sz="0" w:space="0" w:color="auto"/>
          </w:divBdr>
        </w:div>
        <w:div w:id="1516772090">
          <w:marLeft w:val="0"/>
          <w:marRight w:val="0"/>
          <w:marTop w:val="0"/>
          <w:marBottom w:val="0"/>
          <w:divBdr>
            <w:top w:val="none" w:sz="0" w:space="0" w:color="auto"/>
            <w:left w:val="none" w:sz="0" w:space="0" w:color="auto"/>
            <w:bottom w:val="none" w:sz="0" w:space="0" w:color="auto"/>
            <w:right w:val="none" w:sz="0" w:space="0" w:color="auto"/>
          </w:divBdr>
        </w:div>
        <w:div w:id="1755861632">
          <w:marLeft w:val="0"/>
          <w:marRight w:val="0"/>
          <w:marTop w:val="0"/>
          <w:marBottom w:val="0"/>
          <w:divBdr>
            <w:top w:val="none" w:sz="0" w:space="0" w:color="auto"/>
            <w:left w:val="none" w:sz="0" w:space="0" w:color="auto"/>
            <w:bottom w:val="none" w:sz="0" w:space="0" w:color="auto"/>
            <w:right w:val="none" w:sz="0" w:space="0" w:color="auto"/>
          </w:divBdr>
        </w:div>
        <w:div w:id="575096808">
          <w:marLeft w:val="0"/>
          <w:marRight w:val="0"/>
          <w:marTop w:val="0"/>
          <w:marBottom w:val="0"/>
          <w:divBdr>
            <w:top w:val="none" w:sz="0" w:space="0" w:color="auto"/>
            <w:left w:val="none" w:sz="0" w:space="0" w:color="auto"/>
            <w:bottom w:val="none" w:sz="0" w:space="0" w:color="auto"/>
            <w:right w:val="none" w:sz="0" w:space="0" w:color="auto"/>
          </w:divBdr>
        </w:div>
        <w:div w:id="705760764">
          <w:marLeft w:val="0"/>
          <w:marRight w:val="0"/>
          <w:marTop w:val="0"/>
          <w:marBottom w:val="0"/>
          <w:divBdr>
            <w:top w:val="none" w:sz="0" w:space="0" w:color="auto"/>
            <w:left w:val="none" w:sz="0" w:space="0" w:color="auto"/>
            <w:bottom w:val="none" w:sz="0" w:space="0" w:color="auto"/>
            <w:right w:val="none" w:sz="0" w:space="0" w:color="auto"/>
          </w:divBdr>
        </w:div>
        <w:div w:id="123546865">
          <w:marLeft w:val="0"/>
          <w:marRight w:val="0"/>
          <w:marTop w:val="0"/>
          <w:marBottom w:val="0"/>
          <w:divBdr>
            <w:top w:val="none" w:sz="0" w:space="0" w:color="auto"/>
            <w:left w:val="none" w:sz="0" w:space="0" w:color="auto"/>
            <w:bottom w:val="none" w:sz="0" w:space="0" w:color="auto"/>
            <w:right w:val="none" w:sz="0" w:space="0" w:color="auto"/>
          </w:divBdr>
        </w:div>
        <w:div w:id="760108646">
          <w:marLeft w:val="0"/>
          <w:marRight w:val="0"/>
          <w:marTop w:val="0"/>
          <w:marBottom w:val="0"/>
          <w:divBdr>
            <w:top w:val="none" w:sz="0" w:space="0" w:color="auto"/>
            <w:left w:val="none" w:sz="0" w:space="0" w:color="auto"/>
            <w:bottom w:val="none" w:sz="0" w:space="0" w:color="auto"/>
            <w:right w:val="none" w:sz="0" w:space="0" w:color="auto"/>
          </w:divBdr>
        </w:div>
        <w:div w:id="747265079">
          <w:marLeft w:val="0"/>
          <w:marRight w:val="0"/>
          <w:marTop w:val="0"/>
          <w:marBottom w:val="0"/>
          <w:divBdr>
            <w:top w:val="none" w:sz="0" w:space="0" w:color="auto"/>
            <w:left w:val="none" w:sz="0" w:space="0" w:color="auto"/>
            <w:bottom w:val="none" w:sz="0" w:space="0" w:color="auto"/>
            <w:right w:val="none" w:sz="0" w:space="0" w:color="auto"/>
          </w:divBdr>
        </w:div>
        <w:div w:id="1121537624">
          <w:marLeft w:val="0"/>
          <w:marRight w:val="0"/>
          <w:marTop w:val="0"/>
          <w:marBottom w:val="0"/>
          <w:divBdr>
            <w:top w:val="none" w:sz="0" w:space="0" w:color="auto"/>
            <w:left w:val="none" w:sz="0" w:space="0" w:color="auto"/>
            <w:bottom w:val="none" w:sz="0" w:space="0" w:color="auto"/>
            <w:right w:val="none" w:sz="0" w:space="0" w:color="auto"/>
          </w:divBdr>
        </w:div>
        <w:div w:id="768890763">
          <w:marLeft w:val="0"/>
          <w:marRight w:val="0"/>
          <w:marTop w:val="0"/>
          <w:marBottom w:val="0"/>
          <w:divBdr>
            <w:top w:val="none" w:sz="0" w:space="0" w:color="auto"/>
            <w:left w:val="none" w:sz="0" w:space="0" w:color="auto"/>
            <w:bottom w:val="none" w:sz="0" w:space="0" w:color="auto"/>
            <w:right w:val="none" w:sz="0" w:space="0" w:color="auto"/>
          </w:divBdr>
        </w:div>
        <w:div w:id="2133283097">
          <w:marLeft w:val="0"/>
          <w:marRight w:val="0"/>
          <w:marTop w:val="0"/>
          <w:marBottom w:val="0"/>
          <w:divBdr>
            <w:top w:val="none" w:sz="0" w:space="0" w:color="auto"/>
            <w:left w:val="none" w:sz="0" w:space="0" w:color="auto"/>
            <w:bottom w:val="none" w:sz="0" w:space="0" w:color="auto"/>
            <w:right w:val="none" w:sz="0" w:space="0" w:color="auto"/>
          </w:divBdr>
        </w:div>
        <w:div w:id="1477916461">
          <w:marLeft w:val="0"/>
          <w:marRight w:val="0"/>
          <w:marTop w:val="0"/>
          <w:marBottom w:val="0"/>
          <w:divBdr>
            <w:top w:val="none" w:sz="0" w:space="0" w:color="auto"/>
            <w:left w:val="none" w:sz="0" w:space="0" w:color="auto"/>
            <w:bottom w:val="none" w:sz="0" w:space="0" w:color="auto"/>
            <w:right w:val="none" w:sz="0" w:space="0" w:color="auto"/>
          </w:divBdr>
        </w:div>
        <w:div w:id="1627005547">
          <w:marLeft w:val="0"/>
          <w:marRight w:val="0"/>
          <w:marTop w:val="0"/>
          <w:marBottom w:val="0"/>
          <w:divBdr>
            <w:top w:val="none" w:sz="0" w:space="0" w:color="auto"/>
            <w:left w:val="none" w:sz="0" w:space="0" w:color="auto"/>
            <w:bottom w:val="none" w:sz="0" w:space="0" w:color="auto"/>
            <w:right w:val="none" w:sz="0" w:space="0" w:color="auto"/>
          </w:divBdr>
        </w:div>
        <w:div w:id="2095667501">
          <w:marLeft w:val="0"/>
          <w:marRight w:val="0"/>
          <w:marTop w:val="0"/>
          <w:marBottom w:val="0"/>
          <w:divBdr>
            <w:top w:val="none" w:sz="0" w:space="0" w:color="auto"/>
            <w:left w:val="none" w:sz="0" w:space="0" w:color="auto"/>
            <w:bottom w:val="none" w:sz="0" w:space="0" w:color="auto"/>
            <w:right w:val="none" w:sz="0" w:space="0" w:color="auto"/>
          </w:divBdr>
        </w:div>
        <w:div w:id="1054960711">
          <w:marLeft w:val="0"/>
          <w:marRight w:val="0"/>
          <w:marTop w:val="0"/>
          <w:marBottom w:val="0"/>
          <w:divBdr>
            <w:top w:val="none" w:sz="0" w:space="0" w:color="auto"/>
            <w:left w:val="none" w:sz="0" w:space="0" w:color="auto"/>
            <w:bottom w:val="none" w:sz="0" w:space="0" w:color="auto"/>
            <w:right w:val="none" w:sz="0" w:space="0" w:color="auto"/>
          </w:divBdr>
        </w:div>
        <w:div w:id="242908606">
          <w:marLeft w:val="0"/>
          <w:marRight w:val="0"/>
          <w:marTop w:val="0"/>
          <w:marBottom w:val="0"/>
          <w:divBdr>
            <w:top w:val="none" w:sz="0" w:space="0" w:color="auto"/>
            <w:left w:val="none" w:sz="0" w:space="0" w:color="auto"/>
            <w:bottom w:val="none" w:sz="0" w:space="0" w:color="auto"/>
            <w:right w:val="none" w:sz="0" w:space="0" w:color="auto"/>
          </w:divBdr>
        </w:div>
        <w:div w:id="2139562961">
          <w:marLeft w:val="0"/>
          <w:marRight w:val="0"/>
          <w:marTop w:val="0"/>
          <w:marBottom w:val="0"/>
          <w:divBdr>
            <w:top w:val="none" w:sz="0" w:space="0" w:color="auto"/>
            <w:left w:val="none" w:sz="0" w:space="0" w:color="auto"/>
            <w:bottom w:val="none" w:sz="0" w:space="0" w:color="auto"/>
            <w:right w:val="none" w:sz="0" w:space="0" w:color="auto"/>
          </w:divBdr>
        </w:div>
        <w:div w:id="211499310">
          <w:marLeft w:val="0"/>
          <w:marRight w:val="0"/>
          <w:marTop w:val="0"/>
          <w:marBottom w:val="0"/>
          <w:divBdr>
            <w:top w:val="none" w:sz="0" w:space="0" w:color="auto"/>
            <w:left w:val="none" w:sz="0" w:space="0" w:color="auto"/>
            <w:bottom w:val="none" w:sz="0" w:space="0" w:color="auto"/>
            <w:right w:val="none" w:sz="0" w:space="0" w:color="auto"/>
          </w:divBdr>
        </w:div>
        <w:div w:id="975912303">
          <w:marLeft w:val="0"/>
          <w:marRight w:val="0"/>
          <w:marTop w:val="0"/>
          <w:marBottom w:val="0"/>
          <w:divBdr>
            <w:top w:val="none" w:sz="0" w:space="0" w:color="auto"/>
            <w:left w:val="none" w:sz="0" w:space="0" w:color="auto"/>
            <w:bottom w:val="none" w:sz="0" w:space="0" w:color="auto"/>
            <w:right w:val="none" w:sz="0" w:space="0" w:color="auto"/>
          </w:divBdr>
        </w:div>
        <w:div w:id="2007973739">
          <w:marLeft w:val="0"/>
          <w:marRight w:val="0"/>
          <w:marTop w:val="0"/>
          <w:marBottom w:val="0"/>
          <w:divBdr>
            <w:top w:val="none" w:sz="0" w:space="0" w:color="auto"/>
            <w:left w:val="none" w:sz="0" w:space="0" w:color="auto"/>
            <w:bottom w:val="none" w:sz="0" w:space="0" w:color="auto"/>
            <w:right w:val="none" w:sz="0" w:space="0" w:color="auto"/>
          </w:divBdr>
        </w:div>
        <w:div w:id="326790081">
          <w:marLeft w:val="0"/>
          <w:marRight w:val="0"/>
          <w:marTop w:val="0"/>
          <w:marBottom w:val="0"/>
          <w:divBdr>
            <w:top w:val="none" w:sz="0" w:space="0" w:color="auto"/>
            <w:left w:val="none" w:sz="0" w:space="0" w:color="auto"/>
            <w:bottom w:val="none" w:sz="0" w:space="0" w:color="auto"/>
            <w:right w:val="none" w:sz="0" w:space="0" w:color="auto"/>
          </w:divBdr>
        </w:div>
        <w:div w:id="1882588758">
          <w:marLeft w:val="0"/>
          <w:marRight w:val="0"/>
          <w:marTop w:val="0"/>
          <w:marBottom w:val="0"/>
          <w:divBdr>
            <w:top w:val="none" w:sz="0" w:space="0" w:color="auto"/>
            <w:left w:val="none" w:sz="0" w:space="0" w:color="auto"/>
            <w:bottom w:val="none" w:sz="0" w:space="0" w:color="auto"/>
            <w:right w:val="none" w:sz="0" w:space="0" w:color="auto"/>
          </w:divBdr>
        </w:div>
        <w:div w:id="742072436">
          <w:marLeft w:val="0"/>
          <w:marRight w:val="0"/>
          <w:marTop w:val="0"/>
          <w:marBottom w:val="0"/>
          <w:divBdr>
            <w:top w:val="none" w:sz="0" w:space="0" w:color="auto"/>
            <w:left w:val="none" w:sz="0" w:space="0" w:color="auto"/>
            <w:bottom w:val="none" w:sz="0" w:space="0" w:color="auto"/>
            <w:right w:val="none" w:sz="0" w:space="0" w:color="auto"/>
          </w:divBdr>
        </w:div>
        <w:div w:id="638152380">
          <w:marLeft w:val="0"/>
          <w:marRight w:val="0"/>
          <w:marTop w:val="0"/>
          <w:marBottom w:val="0"/>
          <w:divBdr>
            <w:top w:val="none" w:sz="0" w:space="0" w:color="auto"/>
            <w:left w:val="none" w:sz="0" w:space="0" w:color="auto"/>
            <w:bottom w:val="none" w:sz="0" w:space="0" w:color="auto"/>
            <w:right w:val="none" w:sz="0" w:space="0" w:color="auto"/>
          </w:divBdr>
        </w:div>
        <w:div w:id="1004281417">
          <w:marLeft w:val="0"/>
          <w:marRight w:val="0"/>
          <w:marTop w:val="0"/>
          <w:marBottom w:val="0"/>
          <w:divBdr>
            <w:top w:val="none" w:sz="0" w:space="0" w:color="auto"/>
            <w:left w:val="none" w:sz="0" w:space="0" w:color="auto"/>
            <w:bottom w:val="none" w:sz="0" w:space="0" w:color="auto"/>
            <w:right w:val="none" w:sz="0" w:space="0" w:color="auto"/>
          </w:divBdr>
        </w:div>
        <w:div w:id="1708141687">
          <w:marLeft w:val="0"/>
          <w:marRight w:val="0"/>
          <w:marTop w:val="0"/>
          <w:marBottom w:val="0"/>
          <w:divBdr>
            <w:top w:val="none" w:sz="0" w:space="0" w:color="auto"/>
            <w:left w:val="none" w:sz="0" w:space="0" w:color="auto"/>
            <w:bottom w:val="none" w:sz="0" w:space="0" w:color="auto"/>
            <w:right w:val="none" w:sz="0" w:space="0" w:color="auto"/>
          </w:divBdr>
        </w:div>
        <w:div w:id="1402171420">
          <w:marLeft w:val="0"/>
          <w:marRight w:val="0"/>
          <w:marTop w:val="0"/>
          <w:marBottom w:val="0"/>
          <w:divBdr>
            <w:top w:val="none" w:sz="0" w:space="0" w:color="auto"/>
            <w:left w:val="none" w:sz="0" w:space="0" w:color="auto"/>
            <w:bottom w:val="none" w:sz="0" w:space="0" w:color="auto"/>
            <w:right w:val="none" w:sz="0" w:space="0" w:color="auto"/>
          </w:divBdr>
        </w:div>
        <w:div w:id="223100659">
          <w:marLeft w:val="0"/>
          <w:marRight w:val="0"/>
          <w:marTop w:val="0"/>
          <w:marBottom w:val="0"/>
          <w:divBdr>
            <w:top w:val="none" w:sz="0" w:space="0" w:color="auto"/>
            <w:left w:val="none" w:sz="0" w:space="0" w:color="auto"/>
            <w:bottom w:val="none" w:sz="0" w:space="0" w:color="auto"/>
            <w:right w:val="none" w:sz="0" w:space="0" w:color="auto"/>
          </w:divBdr>
        </w:div>
        <w:div w:id="311763604">
          <w:marLeft w:val="0"/>
          <w:marRight w:val="0"/>
          <w:marTop w:val="0"/>
          <w:marBottom w:val="0"/>
          <w:divBdr>
            <w:top w:val="none" w:sz="0" w:space="0" w:color="auto"/>
            <w:left w:val="none" w:sz="0" w:space="0" w:color="auto"/>
            <w:bottom w:val="none" w:sz="0" w:space="0" w:color="auto"/>
            <w:right w:val="none" w:sz="0" w:space="0" w:color="auto"/>
          </w:divBdr>
        </w:div>
        <w:div w:id="392386229">
          <w:marLeft w:val="0"/>
          <w:marRight w:val="0"/>
          <w:marTop w:val="0"/>
          <w:marBottom w:val="0"/>
          <w:divBdr>
            <w:top w:val="none" w:sz="0" w:space="0" w:color="auto"/>
            <w:left w:val="none" w:sz="0" w:space="0" w:color="auto"/>
            <w:bottom w:val="none" w:sz="0" w:space="0" w:color="auto"/>
            <w:right w:val="none" w:sz="0" w:space="0" w:color="auto"/>
          </w:divBdr>
        </w:div>
        <w:div w:id="52504536">
          <w:marLeft w:val="0"/>
          <w:marRight w:val="0"/>
          <w:marTop w:val="0"/>
          <w:marBottom w:val="0"/>
          <w:divBdr>
            <w:top w:val="none" w:sz="0" w:space="0" w:color="auto"/>
            <w:left w:val="none" w:sz="0" w:space="0" w:color="auto"/>
            <w:bottom w:val="none" w:sz="0" w:space="0" w:color="auto"/>
            <w:right w:val="none" w:sz="0" w:space="0" w:color="auto"/>
          </w:divBdr>
        </w:div>
        <w:div w:id="780685536">
          <w:marLeft w:val="0"/>
          <w:marRight w:val="0"/>
          <w:marTop w:val="0"/>
          <w:marBottom w:val="0"/>
          <w:divBdr>
            <w:top w:val="none" w:sz="0" w:space="0" w:color="auto"/>
            <w:left w:val="none" w:sz="0" w:space="0" w:color="auto"/>
            <w:bottom w:val="none" w:sz="0" w:space="0" w:color="auto"/>
            <w:right w:val="none" w:sz="0" w:space="0" w:color="auto"/>
          </w:divBdr>
        </w:div>
        <w:div w:id="1002902435">
          <w:marLeft w:val="0"/>
          <w:marRight w:val="0"/>
          <w:marTop w:val="0"/>
          <w:marBottom w:val="0"/>
          <w:divBdr>
            <w:top w:val="none" w:sz="0" w:space="0" w:color="auto"/>
            <w:left w:val="none" w:sz="0" w:space="0" w:color="auto"/>
            <w:bottom w:val="none" w:sz="0" w:space="0" w:color="auto"/>
            <w:right w:val="none" w:sz="0" w:space="0" w:color="auto"/>
          </w:divBdr>
        </w:div>
        <w:div w:id="1796171787">
          <w:marLeft w:val="0"/>
          <w:marRight w:val="0"/>
          <w:marTop w:val="0"/>
          <w:marBottom w:val="0"/>
          <w:divBdr>
            <w:top w:val="none" w:sz="0" w:space="0" w:color="auto"/>
            <w:left w:val="none" w:sz="0" w:space="0" w:color="auto"/>
            <w:bottom w:val="none" w:sz="0" w:space="0" w:color="auto"/>
            <w:right w:val="none" w:sz="0" w:space="0" w:color="auto"/>
          </w:divBdr>
        </w:div>
        <w:div w:id="419370154">
          <w:marLeft w:val="0"/>
          <w:marRight w:val="0"/>
          <w:marTop w:val="0"/>
          <w:marBottom w:val="0"/>
          <w:divBdr>
            <w:top w:val="none" w:sz="0" w:space="0" w:color="auto"/>
            <w:left w:val="none" w:sz="0" w:space="0" w:color="auto"/>
            <w:bottom w:val="none" w:sz="0" w:space="0" w:color="auto"/>
            <w:right w:val="none" w:sz="0" w:space="0" w:color="auto"/>
          </w:divBdr>
        </w:div>
        <w:div w:id="1251895049">
          <w:marLeft w:val="0"/>
          <w:marRight w:val="0"/>
          <w:marTop w:val="0"/>
          <w:marBottom w:val="0"/>
          <w:divBdr>
            <w:top w:val="none" w:sz="0" w:space="0" w:color="auto"/>
            <w:left w:val="none" w:sz="0" w:space="0" w:color="auto"/>
            <w:bottom w:val="none" w:sz="0" w:space="0" w:color="auto"/>
            <w:right w:val="none" w:sz="0" w:space="0" w:color="auto"/>
          </w:divBdr>
        </w:div>
        <w:div w:id="249630278">
          <w:marLeft w:val="0"/>
          <w:marRight w:val="0"/>
          <w:marTop w:val="0"/>
          <w:marBottom w:val="0"/>
          <w:divBdr>
            <w:top w:val="none" w:sz="0" w:space="0" w:color="auto"/>
            <w:left w:val="none" w:sz="0" w:space="0" w:color="auto"/>
            <w:bottom w:val="none" w:sz="0" w:space="0" w:color="auto"/>
            <w:right w:val="none" w:sz="0" w:space="0" w:color="auto"/>
          </w:divBdr>
        </w:div>
        <w:div w:id="832838418">
          <w:marLeft w:val="0"/>
          <w:marRight w:val="0"/>
          <w:marTop w:val="0"/>
          <w:marBottom w:val="0"/>
          <w:divBdr>
            <w:top w:val="none" w:sz="0" w:space="0" w:color="auto"/>
            <w:left w:val="none" w:sz="0" w:space="0" w:color="auto"/>
            <w:bottom w:val="none" w:sz="0" w:space="0" w:color="auto"/>
            <w:right w:val="none" w:sz="0" w:space="0" w:color="auto"/>
          </w:divBdr>
        </w:div>
        <w:div w:id="153421414">
          <w:marLeft w:val="0"/>
          <w:marRight w:val="0"/>
          <w:marTop w:val="0"/>
          <w:marBottom w:val="0"/>
          <w:divBdr>
            <w:top w:val="none" w:sz="0" w:space="0" w:color="auto"/>
            <w:left w:val="none" w:sz="0" w:space="0" w:color="auto"/>
            <w:bottom w:val="none" w:sz="0" w:space="0" w:color="auto"/>
            <w:right w:val="none" w:sz="0" w:space="0" w:color="auto"/>
          </w:divBdr>
        </w:div>
        <w:div w:id="163477770">
          <w:marLeft w:val="0"/>
          <w:marRight w:val="0"/>
          <w:marTop w:val="0"/>
          <w:marBottom w:val="0"/>
          <w:divBdr>
            <w:top w:val="none" w:sz="0" w:space="0" w:color="auto"/>
            <w:left w:val="none" w:sz="0" w:space="0" w:color="auto"/>
            <w:bottom w:val="none" w:sz="0" w:space="0" w:color="auto"/>
            <w:right w:val="none" w:sz="0" w:space="0" w:color="auto"/>
          </w:divBdr>
        </w:div>
        <w:div w:id="685060455">
          <w:marLeft w:val="0"/>
          <w:marRight w:val="0"/>
          <w:marTop w:val="0"/>
          <w:marBottom w:val="0"/>
          <w:divBdr>
            <w:top w:val="none" w:sz="0" w:space="0" w:color="auto"/>
            <w:left w:val="none" w:sz="0" w:space="0" w:color="auto"/>
            <w:bottom w:val="none" w:sz="0" w:space="0" w:color="auto"/>
            <w:right w:val="none" w:sz="0" w:space="0" w:color="auto"/>
          </w:divBdr>
        </w:div>
        <w:div w:id="1439520051">
          <w:marLeft w:val="0"/>
          <w:marRight w:val="0"/>
          <w:marTop w:val="0"/>
          <w:marBottom w:val="0"/>
          <w:divBdr>
            <w:top w:val="none" w:sz="0" w:space="0" w:color="auto"/>
            <w:left w:val="none" w:sz="0" w:space="0" w:color="auto"/>
            <w:bottom w:val="none" w:sz="0" w:space="0" w:color="auto"/>
            <w:right w:val="none" w:sz="0" w:space="0" w:color="auto"/>
          </w:divBdr>
        </w:div>
        <w:div w:id="397096283">
          <w:marLeft w:val="0"/>
          <w:marRight w:val="0"/>
          <w:marTop w:val="0"/>
          <w:marBottom w:val="0"/>
          <w:divBdr>
            <w:top w:val="none" w:sz="0" w:space="0" w:color="auto"/>
            <w:left w:val="none" w:sz="0" w:space="0" w:color="auto"/>
            <w:bottom w:val="none" w:sz="0" w:space="0" w:color="auto"/>
            <w:right w:val="none" w:sz="0" w:space="0" w:color="auto"/>
          </w:divBdr>
        </w:div>
        <w:div w:id="1862353687">
          <w:marLeft w:val="0"/>
          <w:marRight w:val="0"/>
          <w:marTop w:val="0"/>
          <w:marBottom w:val="0"/>
          <w:divBdr>
            <w:top w:val="none" w:sz="0" w:space="0" w:color="auto"/>
            <w:left w:val="none" w:sz="0" w:space="0" w:color="auto"/>
            <w:bottom w:val="none" w:sz="0" w:space="0" w:color="auto"/>
            <w:right w:val="none" w:sz="0" w:space="0" w:color="auto"/>
          </w:divBdr>
        </w:div>
        <w:div w:id="1630817465">
          <w:marLeft w:val="0"/>
          <w:marRight w:val="0"/>
          <w:marTop w:val="0"/>
          <w:marBottom w:val="0"/>
          <w:divBdr>
            <w:top w:val="none" w:sz="0" w:space="0" w:color="auto"/>
            <w:left w:val="none" w:sz="0" w:space="0" w:color="auto"/>
            <w:bottom w:val="none" w:sz="0" w:space="0" w:color="auto"/>
            <w:right w:val="none" w:sz="0" w:space="0" w:color="auto"/>
          </w:divBdr>
        </w:div>
        <w:div w:id="1754158180">
          <w:marLeft w:val="0"/>
          <w:marRight w:val="0"/>
          <w:marTop w:val="0"/>
          <w:marBottom w:val="0"/>
          <w:divBdr>
            <w:top w:val="none" w:sz="0" w:space="0" w:color="auto"/>
            <w:left w:val="none" w:sz="0" w:space="0" w:color="auto"/>
            <w:bottom w:val="none" w:sz="0" w:space="0" w:color="auto"/>
            <w:right w:val="none" w:sz="0" w:space="0" w:color="auto"/>
          </w:divBdr>
        </w:div>
        <w:div w:id="393088728">
          <w:marLeft w:val="0"/>
          <w:marRight w:val="0"/>
          <w:marTop w:val="0"/>
          <w:marBottom w:val="0"/>
          <w:divBdr>
            <w:top w:val="none" w:sz="0" w:space="0" w:color="auto"/>
            <w:left w:val="none" w:sz="0" w:space="0" w:color="auto"/>
            <w:bottom w:val="none" w:sz="0" w:space="0" w:color="auto"/>
            <w:right w:val="none" w:sz="0" w:space="0" w:color="auto"/>
          </w:divBdr>
        </w:div>
        <w:div w:id="2116247786">
          <w:marLeft w:val="0"/>
          <w:marRight w:val="0"/>
          <w:marTop w:val="0"/>
          <w:marBottom w:val="0"/>
          <w:divBdr>
            <w:top w:val="none" w:sz="0" w:space="0" w:color="auto"/>
            <w:left w:val="none" w:sz="0" w:space="0" w:color="auto"/>
            <w:bottom w:val="none" w:sz="0" w:space="0" w:color="auto"/>
            <w:right w:val="none" w:sz="0" w:space="0" w:color="auto"/>
          </w:divBdr>
        </w:div>
        <w:div w:id="434593743">
          <w:marLeft w:val="0"/>
          <w:marRight w:val="0"/>
          <w:marTop w:val="0"/>
          <w:marBottom w:val="0"/>
          <w:divBdr>
            <w:top w:val="none" w:sz="0" w:space="0" w:color="auto"/>
            <w:left w:val="none" w:sz="0" w:space="0" w:color="auto"/>
            <w:bottom w:val="none" w:sz="0" w:space="0" w:color="auto"/>
            <w:right w:val="none" w:sz="0" w:space="0" w:color="auto"/>
          </w:divBdr>
        </w:div>
        <w:div w:id="998582601">
          <w:marLeft w:val="0"/>
          <w:marRight w:val="0"/>
          <w:marTop w:val="0"/>
          <w:marBottom w:val="0"/>
          <w:divBdr>
            <w:top w:val="none" w:sz="0" w:space="0" w:color="auto"/>
            <w:left w:val="none" w:sz="0" w:space="0" w:color="auto"/>
            <w:bottom w:val="none" w:sz="0" w:space="0" w:color="auto"/>
            <w:right w:val="none" w:sz="0" w:space="0" w:color="auto"/>
          </w:divBdr>
        </w:div>
        <w:div w:id="2083601226">
          <w:marLeft w:val="0"/>
          <w:marRight w:val="0"/>
          <w:marTop w:val="0"/>
          <w:marBottom w:val="0"/>
          <w:divBdr>
            <w:top w:val="none" w:sz="0" w:space="0" w:color="auto"/>
            <w:left w:val="none" w:sz="0" w:space="0" w:color="auto"/>
            <w:bottom w:val="none" w:sz="0" w:space="0" w:color="auto"/>
            <w:right w:val="none" w:sz="0" w:space="0" w:color="auto"/>
          </w:divBdr>
        </w:div>
        <w:div w:id="750539023">
          <w:marLeft w:val="0"/>
          <w:marRight w:val="0"/>
          <w:marTop w:val="0"/>
          <w:marBottom w:val="0"/>
          <w:divBdr>
            <w:top w:val="none" w:sz="0" w:space="0" w:color="auto"/>
            <w:left w:val="none" w:sz="0" w:space="0" w:color="auto"/>
            <w:bottom w:val="none" w:sz="0" w:space="0" w:color="auto"/>
            <w:right w:val="none" w:sz="0" w:space="0" w:color="auto"/>
          </w:divBdr>
        </w:div>
        <w:div w:id="1047728790">
          <w:marLeft w:val="0"/>
          <w:marRight w:val="0"/>
          <w:marTop w:val="0"/>
          <w:marBottom w:val="0"/>
          <w:divBdr>
            <w:top w:val="none" w:sz="0" w:space="0" w:color="auto"/>
            <w:left w:val="none" w:sz="0" w:space="0" w:color="auto"/>
            <w:bottom w:val="none" w:sz="0" w:space="0" w:color="auto"/>
            <w:right w:val="none" w:sz="0" w:space="0" w:color="auto"/>
          </w:divBdr>
        </w:div>
        <w:div w:id="577712799">
          <w:marLeft w:val="0"/>
          <w:marRight w:val="0"/>
          <w:marTop w:val="0"/>
          <w:marBottom w:val="0"/>
          <w:divBdr>
            <w:top w:val="none" w:sz="0" w:space="0" w:color="auto"/>
            <w:left w:val="none" w:sz="0" w:space="0" w:color="auto"/>
            <w:bottom w:val="none" w:sz="0" w:space="0" w:color="auto"/>
            <w:right w:val="none" w:sz="0" w:space="0" w:color="auto"/>
          </w:divBdr>
        </w:div>
        <w:div w:id="191382508">
          <w:marLeft w:val="0"/>
          <w:marRight w:val="0"/>
          <w:marTop w:val="0"/>
          <w:marBottom w:val="0"/>
          <w:divBdr>
            <w:top w:val="none" w:sz="0" w:space="0" w:color="auto"/>
            <w:left w:val="none" w:sz="0" w:space="0" w:color="auto"/>
            <w:bottom w:val="none" w:sz="0" w:space="0" w:color="auto"/>
            <w:right w:val="none" w:sz="0" w:space="0" w:color="auto"/>
          </w:divBdr>
        </w:div>
        <w:div w:id="1064992034">
          <w:marLeft w:val="0"/>
          <w:marRight w:val="0"/>
          <w:marTop w:val="0"/>
          <w:marBottom w:val="0"/>
          <w:divBdr>
            <w:top w:val="none" w:sz="0" w:space="0" w:color="auto"/>
            <w:left w:val="none" w:sz="0" w:space="0" w:color="auto"/>
            <w:bottom w:val="none" w:sz="0" w:space="0" w:color="auto"/>
            <w:right w:val="none" w:sz="0" w:space="0" w:color="auto"/>
          </w:divBdr>
        </w:div>
        <w:div w:id="592015512">
          <w:marLeft w:val="0"/>
          <w:marRight w:val="0"/>
          <w:marTop w:val="0"/>
          <w:marBottom w:val="0"/>
          <w:divBdr>
            <w:top w:val="none" w:sz="0" w:space="0" w:color="auto"/>
            <w:left w:val="none" w:sz="0" w:space="0" w:color="auto"/>
            <w:bottom w:val="none" w:sz="0" w:space="0" w:color="auto"/>
            <w:right w:val="none" w:sz="0" w:space="0" w:color="auto"/>
          </w:divBdr>
        </w:div>
        <w:div w:id="363604521">
          <w:marLeft w:val="0"/>
          <w:marRight w:val="0"/>
          <w:marTop w:val="0"/>
          <w:marBottom w:val="0"/>
          <w:divBdr>
            <w:top w:val="none" w:sz="0" w:space="0" w:color="auto"/>
            <w:left w:val="none" w:sz="0" w:space="0" w:color="auto"/>
            <w:bottom w:val="none" w:sz="0" w:space="0" w:color="auto"/>
            <w:right w:val="none" w:sz="0" w:space="0" w:color="auto"/>
          </w:divBdr>
        </w:div>
        <w:div w:id="1770272417">
          <w:marLeft w:val="0"/>
          <w:marRight w:val="0"/>
          <w:marTop w:val="0"/>
          <w:marBottom w:val="0"/>
          <w:divBdr>
            <w:top w:val="none" w:sz="0" w:space="0" w:color="auto"/>
            <w:left w:val="none" w:sz="0" w:space="0" w:color="auto"/>
            <w:bottom w:val="none" w:sz="0" w:space="0" w:color="auto"/>
            <w:right w:val="none" w:sz="0" w:space="0" w:color="auto"/>
          </w:divBdr>
        </w:div>
        <w:div w:id="1190022945">
          <w:marLeft w:val="0"/>
          <w:marRight w:val="0"/>
          <w:marTop w:val="0"/>
          <w:marBottom w:val="0"/>
          <w:divBdr>
            <w:top w:val="none" w:sz="0" w:space="0" w:color="auto"/>
            <w:left w:val="none" w:sz="0" w:space="0" w:color="auto"/>
            <w:bottom w:val="none" w:sz="0" w:space="0" w:color="auto"/>
            <w:right w:val="none" w:sz="0" w:space="0" w:color="auto"/>
          </w:divBdr>
        </w:div>
        <w:div w:id="1323460710">
          <w:marLeft w:val="0"/>
          <w:marRight w:val="0"/>
          <w:marTop w:val="0"/>
          <w:marBottom w:val="0"/>
          <w:divBdr>
            <w:top w:val="none" w:sz="0" w:space="0" w:color="auto"/>
            <w:left w:val="none" w:sz="0" w:space="0" w:color="auto"/>
            <w:bottom w:val="none" w:sz="0" w:space="0" w:color="auto"/>
            <w:right w:val="none" w:sz="0" w:space="0" w:color="auto"/>
          </w:divBdr>
        </w:div>
        <w:div w:id="623971520">
          <w:marLeft w:val="0"/>
          <w:marRight w:val="0"/>
          <w:marTop w:val="0"/>
          <w:marBottom w:val="0"/>
          <w:divBdr>
            <w:top w:val="none" w:sz="0" w:space="0" w:color="auto"/>
            <w:left w:val="none" w:sz="0" w:space="0" w:color="auto"/>
            <w:bottom w:val="none" w:sz="0" w:space="0" w:color="auto"/>
            <w:right w:val="none" w:sz="0" w:space="0" w:color="auto"/>
          </w:divBdr>
        </w:div>
        <w:div w:id="800925748">
          <w:marLeft w:val="0"/>
          <w:marRight w:val="0"/>
          <w:marTop w:val="0"/>
          <w:marBottom w:val="0"/>
          <w:divBdr>
            <w:top w:val="none" w:sz="0" w:space="0" w:color="auto"/>
            <w:left w:val="none" w:sz="0" w:space="0" w:color="auto"/>
            <w:bottom w:val="none" w:sz="0" w:space="0" w:color="auto"/>
            <w:right w:val="none" w:sz="0" w:space="0" w:color="auto"/>
          </w:divBdr>
        </w:div>
        <w:div w:id="1966347744">
          <w:marLeft w:val="0"/>
          <w:marRight w:val="0"/>
          <w:marTop w:val="0"/>
          <w:marBottom w:val="0"/>
          <w:divBdr>
            <w:top w:val="none" w:sz="0" w:space="0" w:color="auto"/>
            <w:left w:val="none" w:sz="0" w:space="0" w:color="auto"/>
            <w:bottom w:val="none" w:sz="0" w:space="0" w:color="auto"/>
            <w:right w:val="none" w:sz="0" w:space="0" w:color="auto"/>
          </w:divBdr>
        </w:div>
        <w:div w:id="816991656">
          <w:marLeft w:val="0"/>
          <w:marRight w:val="0"/>
          <w:marTop w:val="0"/>
          <w:marBottom w:val="0"/>
          <w:divBdr>
            <w:top w:val="none" w:sz="0" w:space="0" w:color="auto"/>
            <w:left w:val="none" w:sz="0" w:space="0" w:color="auto"/>
            <w:bottom w:val="none" w:sz="0" w:space="0" w:color="auto"/>
            <w:right w:val="none" w:sz="0" w:space="0" w:color="auto"/>
          </w:divBdr>
        </w:div>
        <w:div w:id="1298604268">
          <w:marLeft w:val="0"/>
          <w:marRight w:val="0"/>
          <w:marTop w:val="0"/>
          <w:marBottom w:val="0"/>
          <w:divBdr>
            <w:top w:val="none" w:sz="0" w:space="0" w:color="auto"/>
            <w:left w:val="none" w:sz="0" w:space="0" w:color="auto"/>
            <w:bottom w:val="none" w:sz="0" w:space="0" w:color="auto"/>
            <w:right w:val="none" w:sz="0" w:space="0" w:color="auto"/>
          </w:divBdr>
        </w:div>
        <w:div w:id="575745470">
          <w:marLeft w:val="0"/>
          <w:marRight w:val="0"/>
          <w:marTop w:val="0"/>
          <w:marBottom w:val="0"/>
          <w:divBdr>
            <w:top w:val="none" w:sz="0" w:space="0" w:color="auto"/>
            <w:left w:val="none" w:sz="0" w:space="0" w:color="auto"/>
            <w:bottom w:val="none" w:sz="0" w:space="0" w:color="auto"/>
            <w:right w:val="none" w:sz="0" w:space="0" w:color="auto"/>
          </w:divBdr>
        </w:div>
        <w:div w:id="1654598384">
          <w:marLeft w:val="0"/>
          <w:marRight w:val="0"/>
          <w:marTop w:val="0"/>
          <w:marBottom w:val="0"/>
          <w:divBdr>
            <w:top w:val="none" w:sz="0" w:space="0" w:color="auto"/>
            <w:left w:val="none" w:sz="0" w:space="0" w:color="auto"/>
            <w:bottom w:val="none" w:sz="0" w:space="0" w:color="auto"/>
            <w:right w:val="none" w:sz="0" w:space="0" w:color="auto"/>
          </w:divBdr>
        </w:div>
        <w:div w:id="1471823195">
          <w:marLeft w:val="0"/>
          <w:marRight w:val="0"/>
          <w:marTop w:val="0"/>
          <w:marBottom w:val="0"/>
          <w:divBdr>
            <w:top w:val="none" w:sz="0" w:space="0" w:color="auto"/>
            <w:left w:val="none" w:sz="0" w:space="0" w:color="auto"/>
            <w:bottom w:val="none" w:sz="0" w:space="0" w:color="auto"/>
            <w:right w:val="none" w:sz="0" w:space="0" w:color="auto"/>
          </w:divBdr>
        </w:div>
        <w:div w:id="1415397132">
          <w:marLeft w:val="0"/>
          <w:marRight w:val="0"/>
          <w:marTop w:val="0"/>
          <w:marBottom w:val="0"/>
          <w:divBdr>
            <w:top w:val="none" w:sz="0" w:space="0" w:color="auto"/>
            <w:left w:val="none" w:sz="0" w:space="0" w:color="auto"/>
            <w:bottom w:val="none" w:sz="0" w:space="0" w:color="auto"/>
            <w:right w:val="none" w:sz="0" w:space="0" w:color="auto"/>
          </w:divBdr>
        </w:div>
        <w:div w:id="1406224131">
          <w:marLeft w:val="0"/>
          <w:marRight w:val="0"/>
          <w:marTop w:val="0"/>
          <w:marBottom w:val="0"/>
          <w:divBdr>
            <w:top w:val="none" w:sz="0" w:space="0" w:color="auto"/>
            <w:left w:val="none" w:sz="0" w:space="0" w:color="auto"/>
            <w:bottom w:val="none" w:sz="0" w:space="0" w:color="auto"/>
            <w:right w:val="none" w:sz="0" w:space="0" w:color="auto"/>
          </w:divBdr>
        </w:div>
        <w:div w:id="1250968034">
          <w:marLeft w:val="0"/>
          <w:marRight w:val="0"/>
          <w:marTop w:val="0"/>
          <w:marBottom w:val="0"/>
          <w:divBdr>
            <w:top w:val="none" w:sz="0" w:space="0" w:color="auto"/>
            <w:left w:val="none" w:sz="0" w:space="0" w:color="auto"/>
            <w:bottom w:val="none" w:sz="0" w:space="0" w:color="auto"/>
            <w:right w:val="none" w:sz="0" w:space="0" w:color="auto"/>
          </w:divBdr>
        </w:div>
        <w:div w:id="432437313">
          <w:marLeft w:val="0"/>
          <w:marRight w:val="0"/>
          <w:marTop w:val="0"/>
          <w:marBottom w:val="0"/>
          <w:divBdr>
            <w:top w:val="none" w:sz="0" w:space="0" w:color="auto"/>
            <w:left w:val="none" w:sz="0" w:space="0" w:color="auto"/>
            <w:bottom w:val="none" w:sz="0" w:space="0" w:color="auto"/>
            <w:right w:val="none" w:sz="0" w:space="0" w:color="auto"/>
          </w:divBdr>
        </w:div>
        <w:div w:id="2110932200">
          <w:marLeft w:val="0"/>
          <w:marRight w:val="0"/>
          <w:marTop w:val="0"/>
          <w:marBottom w:val="0"/>
          <w:divBdr>
            <w:top w:val="none" w:sz="0" w:space="0" w:color="auto"/>
            <w:left w:val="none" w:sz="0" w:space="0" w:color="auto"/>
            <w:bottom w:val="none" w:sz="0" w:space="0" w:color="auto"/>
            <w:right w:val="none" w:sz="0" w:space="0" w:color="auto"/>
          </w:divBdr>
        </w:div>
        <w:div w:id="289701419">
          <w:marLeft w:val="0"/>
          <w:marRight w:val="0"/>
          <w:marTop w:val="0"/>
          <w:marBottom w:val="0"/>
          <w:divBdr>
            <w:top w:val="none" w:sz="0" w:space="0" w:color="auto"/>
            <w:left w:val="none" w:sz="0" w:space="0" w:color="auto"/>
            <w:bottom w:val="none" w:sz="0" w:space="0" w:color="auto"/>
            <w:right w:val="none" w:sz="0" w:space="0" w:color="auto"/>
          </w:divBdr>
        </w:div>
        <w:div w:id="1496845451">
          <w:marLeft w:val="0"/>
          <w:marRight w:val="0"/>
          <w:marTop w:val="0"/>
          <w:marBottom w:val="0"/>
          <w:divBdr>
            <w:top w:val="none" w:sz="0" w:space="0" w:color="auto"/>
            <w:left w:val="none" w:sz="0" w:space="0" w:color="auto"/>
            <w:bottom w:val="none" w:sz="0" w:space="0" w:color="auto"/>
            <w:right w:val="none" w:sz="0" w:space="0" w:color="auto"/>
          </w:divBdr>
        </w:div>
        <w:div w:id="1150832286">
          <w:marLeft w:val="0"/>
          <w:marRight w:val="0"/>
          <w:marTop w:val="0"/>
          <w:marBottom w:val="0"/>
          <w:divBdr>
            <w:top w:val="none" w:sz="0" w:space="0" w:color="auto"/>
            <w:left w:val="none" w:sz="0" w:space="0" w:color="auto"/>
            <w:bottom w:val="none" w:sz="0" w:space="0" w:color="auto"/>
            <w:right w:val="none" w:sz="0" w:space="0" w:color="auto"/>
          </w:divBdr>
        </w:div>
        <w:div w:id="494345409">
          <w:marLeft w:val="0"/>
          <w:marRight w:val="0"/>
          <w:marTop w:val="0"/>
          <w:marBottom w:val="0"/>
          <w:divBdr>
            <w:top w:val="none" w:sz="0" w:space="0" w:color="auto"/>
            <w:left w:val="none" w:sz="0" w:space="0" w:color="auto"/>
            <w:bottom w:val="none" w:sz="0" w:space="0" w:color="auto"/>
            <w:right w:val="none" w:sz="0" w:space="0" w:color="auto"/>
          </w:divBdr>
        </w:div>
        <w:div w:id="435442494">
          <w:marLeft w:val="0"/>
          <w:marRight w:val="0"/>
          <w:marTop w:val="0"/>
          <w:marBottom w:val="0"/>
          <w:divBdr>
            <w:top w:val="none" w:sz="0" w:space="0" w:color="auto"/>
            <w:left w:val="none" w:sz="0" w:space="0" w:color="auto"/>
            <w:bottom w:val="none" w:sz="0" w:space="0" w:color="auto"/>
            <w:right w:val="none" w:sz="0" w:space="0" w:color="auto"/>
          </w:divBdr>
        </w:div>
        <w:div w:id="517961499">
          <w:marLeft w:val="0"/>
          <w:marRight w:val="0"/>
          <w:marTop w:val="0"/>
          <w:marBottom w:val="0"/>
          <w:divBdr>
            <w:top w:val="none" w:sz="0" w:space="0" w:color="auto"/>
            <w:left w:val="none" w:sz="0" w:space="0" w:color="auto"/>
            <w:bottom w:val="none" w:sz="0" w:space="0" w:color="auto"/>
            <w:right w:val="none" w:sz="0" w:space="0" w:color="auto"/>
          </w:divBdr>
        </w:div>
        <w:div w:id="1917785261">
          <w:marLeft w:val="0"/>
          <w:marRight w:val="0"/>
          <w:marTop w:val="0"/>
          <w:marBottom w:val="0"/>
          <w:divBdr>
            <w:top w:val="none" w:sz="0" w:space="0" w:color="auto"/>
            <w:left w:val="none" w:sz="0" w:space="0" w:color="auto"/>
            <w:bottom w:val="none" w:sz="0" w:space="0" w:color="auto"/>
            <w:right w:val="none" w:sz="0" w:space="0" w:color="auto"/>
          </w:divBdr>
        </w:div>
        <w:div w:id="958300156">
          <w:marLeft w:val="0"/>
          <w:marRight w:val="0"/>
          <w:marTop w:val="0"/>
          <w:marBottom w:val="0"/>
          <w:divBdr>
            <w:top w:val="none" w:sz="0" w:space="0" w:color="auto"/>
            <w:left w:val="none" w:sz="0" w:space="0" w:color="auto"/>
            <w:bottom w:val="none" w:sz="0" w:space="0" w:color="auto"/>
            <w:right w:val="none" w:sz="0" w:space="0" w:color="auto"/>
          </w:divBdr>
        </w:div>
        <w:div w:id="182671994">
          <w:marLeft w:val="0"/>
          <w:marRight w:val="0"/>
          <w:marTop w:val="0"/>
          <w:marBottom w:val="0"/>
          <w:divBdr>
            <w:top w:val="none" w:sz="0" w:space="0" w:color="auto"/>
            <w:left w:val="none" w:sz="0" w:space="0" w:color="auto"/>
            <w:bottom w:val="none" w:sz="0" w:space="0" w:color="auto"/>
            <w:right w:val="none" w:sz="0" w:space="0" w:color="auto"/>
          </w:divBdr>
        </w:div>
        <w:div w:id="405690721">
          <w:marLeft w:val="0"/>
          <w:marRight w:val="0"/>
          <w:marTop w:val="0"/>
          <w:marBottom w:val="0"/>
          <w:divBdr>
            <w:top w:val="none" w:sz="0" w:space="0" w:color="auto"/>
            <w:left w:val="none" w:sz="0" w:space="0" w:color="auto"/>
            <w:bottom w:val="none" w:sz="0" w:space="0" w:color="auto"/>
            <w:right w:val="none" w:sz="0" w:space="0" w:color="auto"/>
          </w:divBdr>
        </w:div>
        <w:div w:id="38479639">
          <w:marLeft w:val="0"/>
          <w:marRight w:val="0"/>
          <w:marTop w:val="0"/>
          <w:marBottom w:val="0"/>
          <w:divBdr>
            <w:top w:val="none" w:sz="0" w:space="0" w:color="auto"/>
            <w:left w:val="none" w:sz="0" w:space="0" w:color="auto"/>
            <w:bottom w:val="none" w:sz="0" w:space="0" w:color="auto"/>
            <w:right w:val="none" w:sz="0" w:space="0" w:color="auto"/>
          </w:divBdr>
        </w:div>
        <w:div w:id="1031997581">
          <w:marLeft w:val="0"/>
          <w:marRight w:val="0"/>
          <w:marTop w:val="0"/>
          <w:marBottom w:val="0"/>
          <w:divBdr>
            <w:top w:val="none" w:sz="0" w:space="0" w:color="auto"/>
            <w:left w:val="none" w:sz="0" w:space="0" w:color="auto"/>
            <w:bottom w:val="none" w:sz="0" w:space="0" w:color="auto"/>
            <w:right w:val="none" w:sz="0" w:space="0" w:color="auto"/>
          </w:divBdr>
        </w:div>
        <w:div w:id="532115416">
          <w:marLeft w:val="0"/>
          <w:marRight w:val="0"/>
          <w:marTop w:val="0"/>
          <w:marBottom w:val="0"/>
          <w:divBdr>
            <w:top w:val="none" w:sz="0" w:space="0" w:color="auto"/>
            <w:left w:val="none" w:sz="0" w:space="0" w:color="auto"/>
            <w:bottom w:val="none" w:sz="0" w:space="0" w:color="auto"/>
            <w:right w:val="none" w:sz="0" w:space="0" w:color="auto"/>
          </w:divBdr>
        </w:div>
        <w:div w:id="1715344659">
          <w:marLeft w:val="0"/>
          <w:marRight w:val="0"/>
          <w:marTop w:val="0"/>
          <w:marBottom w:val="0"/>
          <w:divBdr>
            <w:top w:val="none" w:sz="0" w:space="0" w:color="auto"/>
            <w:left w:val="none" w:sz="0" w:space="0" w:color="auto"/>
            <w:bottom w:val="none" w:sz="0" w:space="0" w:color="auto"/>
            <w:right w:val="none" w:sz="0" w:space="0" w:color="auto"/>
          </w:divBdr>
        </w:div>
        <w:div w:id="143550654">
          <w:marLeft w:val="0"/>
          <w:marRight w:val="0"/>
          <w:marTop w:val="0"/>
          <w:marBottom w:val="0"/>
          <w:divBdr>
            <w:top w:val="none" w:sz="0" w:space="0" w:color="auto"/>
            <w:left w:val="none" w:sz="0" w:space="0" w:color="auto"/>
            <w:bottom w:val="none" w:sz="0" w:space="0" w:color="auto"/>
            <w:right w:val="none" w:sz="0" w:space="0" w:color="auto"/>
          </w:divBdr>
        </w:div>
        <w:div w:id="1507744195">
          <w:marLeft w:val="0"/>
          <w:marRight w:val="0"/>
          <w:marTop w:val="0"/>
          <w:marBottom w:val="0"/>
          <w:divBdr>
            <w:top w:val="none" w:sz="0" w:space="0" w:color="auto"/>
            <w:left w:val="none" w:sz="0" w:space="0" w:color="auto"/>
            <w:bottom w:val="none" w:sz="0" w:space="0" w:color="auto"/>
            <w:right w:val="none" w:sz="0" w:space="0" w:color="auto"/>
          </w:divBdr>
        </w:div>
        <w:div w:id="851844618">
          <w:marLeft w:val="0"/>
          <w:marRight w:val="0"/>
          <w:marTop w:val="0"/>
          <w:marBottom w:val="0"/>
          <w:divBdr>
            <w:top w:val="none" w:sz="0" w:space="0" w:color="auto"/>
            <w:left w:val="none" w:sz="0" w:space="0" w:color="auto"/>
            <w:bottom w:val="none" w:sz="0" w:space="0" w:color="auto"/>
            <w:right w:val="none" w:sz="0" w:space="0" w:color="auto"/>
          </w:divBdr>
        </w:div>
        <w:div w:id="1639532127">
          <w:marLeft w:val="0"/>
          <w:marRight w:val="0"/>
          <w:marTop w:val="0"/>
          <w:marBottom w:val="0"/>
          <w:divBdr>
            <w:top w:val="none" w:sz="0" w:space="0" w:color="auto"/>
            <w:left w:val="none" w:sz="0" w:space="0" w:color="auto"/>
            <w:bottom w:val="none" w:sz="0" w:space="0" w:color="auto"/>
            <w:right w:val="none" w:sz="0" w:space="0" w:color="auto"/>
          </w:divBdr>
        </w:div>
        <w:div w:id="1071656088">
          <w:marLeft w:val="0"/>
          <w:marRight w:val="0"/>
          <w:marTop w:val="0"/>
          <w:marBottom w:val="0"/>
          <w:divBdr>
            <w:top w:val="none" w:sz="0" w:space="0" w:color="auto"/>
            <w:left w:val="none" w:sz="0" w:space="0" w:color="auto"/>
            <w:bottom w:val="none" w:sz="0" w:space="0" w:color="auto"/>
            <w:right w:val="none" w:sz="0" w:space="0" w:color="auto"/>
          </w:divBdr>
        </w:div>
        <w:div w:id="1726176317">
          <w:marLeft w:val="0"/>
          <w:marRight w:val="0"/>
          <w:marTop w:val="0"/>
          <w:marBottom w:val="0"/>
          <w:divBdr>
            <w:top w:val="none" w:sz="0" w:space="0" w:color="auto"/>
            <w:left w:val="none" w:sz="0" w:space="0" w:color="auto"/>
            <w:bottom w:val="none" w:sz="0" w:space="0" w:color="auto"/>
            <w:right w:val="none" w:sz="0" w:space="0" w:color="auto"/>
          </w:divBdr>
        </w:div>
        <w:div w:id="1104687598">
          <w:marLeft w:val="0"/>
          <w:marRight w:val="0"/>
          <w:marTop w:val="0"/>
          <w:marBottom w:val="0"/>
          <w:divBdr>
            <w:top w:val="none" w:sz="0" w:space="0" w:color="auto"/>
            <w:left w:val="none" w:sz="0" w:space="0" w:color="auto"/>
            <w:bottom w:val="none" w:sz="0" w:space="0" w:color="auto"/>
            <w:right w:val="none" w:sz="0" w:space="0" w:color="auto"/>
          </w:divBdr>
        </w:div>
        <w:div w:id="527917597">
          <w:marLeft w:val="0"/>
          <w:marRight w:val="0"/>
          <w:marTop w:val="0"/>
          <w:marBottom w:val="0"/>
          <w:divBdr>
            <w:top w:val="none" w:sz="0" w:space="0" w:color="auto"/>
            <w:left w:val="none" w:sz="0" w:space="0" w:color="auto"/>
            <w:bottom w:val="none" w:sz="0" w:space="0" w:color="auto"/>
            <w:right w:val="none" w:sz="0" w:space="0" w:color="auto"/>
          </w:divBdr>
        </w:div>
        <w:div w:id="376200128">
          <w:marLeft w:val="0"/>
          <w:marRight w:val="0"/>
          <w:marTop w:val="0"/>
          <w:marBottom w:val="0"/>
          <w:divBdr>
            <w:top w:val="none" w:sz="0" w:space="0" w:color="auto"/>
            <w:left w:val="none" w:sz="0" w:space="0" w:color="auto"/>
            <w:bottom w:val="none" w:sz="0" w:space="0" w:color="auto"/>
            <w:right w:val="none" w:sz="0" w:space="0" w:color="auto"/>
          </w:divBdr>
        </w:div>
        <w:div w:id="2139951097">
          <w:marLeft w:val="0"/>
          <w:marRight w:val="0"/>
          <w:marTop w:val="0"/>
          <w:marBottom w:val="0"/>
          <w:divBdr>
            <w:top w:val="none" w:sz="0" w:space="0" w:color="auto"/>
            <w:left w:val="none" w:sz="0" w:space="0" w:color="auto"/>
            <w:bottom w:val="none" w:sz="0" w:space="0" w:color="auto"/>
            <w:right w:val="none" w:sz="0" w:space="0" w:color="auto"/>
          </w:divBdr>
        </w:div>
        <w:div w:id="1478499996">
          <w:marLeft w:val="0"/>
          <w:marRight w:val="0"/>
          <w:marTop w:val="0"/>
          <w:marBottom w:val="0"/>
          <w:divBdr>
            <w:top w:val="none" w:sz="0" w:space="0" w:color="auto"/>
            <w:left w:val="none" w:sz="0" w:space="0" w:color="auto"/>
            <w:bottom w:val="none" w:sz="0" w:space="0" w:color="auto"/>
            <w:right w:val="none" w:sz="0" w:space="0" w:color="auto"/>
          </w:divBdr>
        </w:div>
        <w:div w:id="1165054107">
          <w:marLeft w:val="0"/>
          <w:marRight w:val="0"/>
          <w:marTop w:val="0"/>
          <w:marBottom w:val="0"/>
          <w:divBdr>
            <w:top w:val="none" w:sz="0" w:space="0" w:color="auto"/>
            <w:left w:val="none" w:sz="0" w:space="0" w:color="auto"/>
            <w:bottom w:val="none" w:sz="0" w:space="0" w:color="auto"/>
            <w:right w:val="none" w:sz="0" w:space="0" w:color="auto"/>
          </w:divBdr>
        </w:div>
        <w:div w:id="1965427217">
          <w:marLeft w:val="0"/>
          <w:marRight w:val="0"/>
          <w:marTop w:val="0"/>
          <w:marBottom w:val="0"/>
          <w:divBdr>
            <w:top w:val="none" w:sz="0" w:space="0" w:color="auto"/>
            <w:left w:val="none" w:sz="0" w:space="0" w:color="auto"/>
            <w:bottom w:val="none" w:sz="0" w:space="0" w:color="auto"/>
            <w:right w:val="none" w:sz="0" w:space="0" w:color="auto"/>
          </w:divBdr>
        </w:div>
        <w:div w:id="701366729">
          <w:marLeft w:val="0"/>
          <w:marRight w:val="0"/>
          <w:marTop w:val="0"/>
          <w:marBottom w:val="0"/>
          <w:divBdr>
            <w:top w:val="none" w:sz="0" w:space="0" w:color="auto"/>
            <w:left w:val="none" w:sz="0" w:space="0" w:color="auto"/>
            <w:bottom w:val="none" w:sz="0" w:space="0" w:color="auto"/>
            <w:right w:val="none" w:sz="0" w:space="0" w:color="auto"/>
          </w:divBdr>
        </w:div>
        <w:div w:id="32507914">
          <w:marLeft w:val="0"/>
          <w:marRight w:val="0"/>
          <w:marTop w:val="0"/>
          <w:marBottom w:val="0"/>
          <w:divBdr>
            <w:top w:val="none" w:sz="0" w:space="0" w:color="auto"/>
            <w:left w:val="none" w:sz="0" w:space="0" w:color="auto"/>
            <w:bottom w:val="none" w:sz="0" w:space="0" w:color="auto"/>
            <w:right w:val="none" w:sz="0" w:space="0" w:color="auto"/>
          </w:divBdr>
        </w:div>
        <w:div w:id="1794593451">
          <w:marLeft w:val="0"/>
          <w:marRight w:val="0"/>
          <w:marTop w:val="0"/>
          <w:marBottom w:val="0"/>
          <w:divBdr>
            <w:top w:val="none" w:sz="0" w:space="0" w:color="auto"/>
            <w:left w:val="none" w:sz="0" w:space="0" w:color="auto"/>
            <w:bottom w:val="none" w:sz="0" w:space="0" w:color="auto"/>
            <w:right w:val="none" w:sz="0" w:space="0" w:color="auto"/>
          </w:divBdr>
        </w:div>
        <w:div w:id="123626584">
          <w:marLeft w:val="0"/>
          <w:marRight w:val="0"/>
          <w:marTop w:val="0"/>
          <w:marBottom w:val="0"/>
          <w:divBdr>
            <w:top w:val="none" w:sz="0" w:space="0" w:color="auto"/>
            <w:left w:val="none" w:sz="0" w:space="0" w:color="auto"/>
            <w:bottom w:val="none" w:sz="0" w:space="0" w:color="auto"/>
            <w:right w:val="none" w:sz="0" w:space="0" w:color="auto"/>
          </w:divBdr>
        </w:div>
        <w:div w:id="550918734">
          <w:marLeft w:val="0"/>
          <w:marRight w:val="0"/>
          <w:marTop w:val="0"/>
          <w:marBottom w:val="0"/>
          <w:divBdr>
            <w:top w:val="none" w:sz="0" w:space="0" w:color="auto"/>
            <w:left w:val="none" w:sz="0" w:space="0" w:color="auto"/>
            <w:bottom w:val="none" w:sz="0" w:space="0" w:color="auto"/>
            <w:right w:val="none" w:sz="0" w:space="0" w:color="auto"/>
          </w:divBdr>
        </w:div>
        <w:div w:id="224605576">
          <w:marLeft w:val="0"/>
          <w:marRight w:val="0"/>
          <w:marTop w:val="0"/>
          <w:marBottom w:val="0"/>
          <w:divBdr>
            <w:top w:val="none" w:sz="0" w:space="0" w:color="auto"/>
            <w:left w:val="none" w:sz="0" w:space="0" w:color="auto"/>
            <w:bottom w:val="none" w:sz="0" w:space="0" w:color="auto"/>
            <w:right w:val="none" w:sz="0" w:space="0" w:color="auto"/>
          </w:divBdr>
        </w:div>
        <w:div w:id="1139112806">
          <w:marLeft w:val="0"/>
          <w:marRight w:val="0"/>
          <w:marTop w:val="0"/>
          <w:marBottom w:val="0"/>
          <w:divBdr>
            <w:top w:val="none" w:sz="0" w:space="0" w:color="auto"/>
            <w:left w:val="none" w:sz="0" w:space="0" w:color="auto"/>
            <w:bottom w:val="none" w:sz="0" w:space="0" w:color="auto"/>
            <w:right w:val="none" w:sz="0" w:space="0" w:color="auto"/>
          </w:divBdr>
        </w:div>
        <w:div w:id="414517490">
          <w:marLeft w:val="0"/>
          <w:marRight w:val="0"/>
          <w:marTop w:val="0"/>
          <w:marBottom w:val="0"/>
          <w:divBdr>
            <w:top w:val="none" w:sz="0" w:space="0" w:color="auto"/>
            <w:left w:val="none" w:sz="0" w:space="0" w:color="auto"/>
            <w:bottom w:val="none" w:sz="0" w:space="0" w:color="auto"/>
            <w:right w:val="none" w:sz="0" w:space="0" w:color="auto"/>
          </w:divBdr>
        </w:div>
        <w:div w:id="1055274673">
          <w:marLeft w:val="0"/>
          <w:marRight w:val="0"/>
          <w:marTop w:val="0"/>
          <w:marBottom w:val="0"/>
          <w:divBdr>
            <w:top w:val="none" w:sz="0" w:space="0" w:color="auto"/>
            <w:left w:val="none" w:sz="0" w:space="0" w:color="auto"/>
            <w:bottom w:val="none" w:sz="0" w:space="0" w:color="auto"/>
            <w:right w:val="none" w:sz="0" w:space="0" w:color="auto"/>
          </w:divBdr>
        </w:div>
        <w:div w:id="943535756">
          <w:marLeft w:val="0"/>
          <w:marRight w:val="0"/>
          <w:marTop w:val="0"/>
          <w:marBottom w:val="0"/>
          <w:divBdr>
            <w:top w:val="none" w:sz="0" w:space="0" w:color="auto"/>
            <w:left w:val="none" w:sz="0" w:space="0" w:color="auto"/>
            <w:bottom w:val="none" w:sz="0" w:space="0" w:color="auto"/>
            <w:right w:val="none" w:sz="0" w:space="0" w:color="auto"/>
          </w:divBdr>
        </w:div>
        <w:div w:id="1106079214">
          <w:marLeft w:val="0"/>
          <w:marRight w:val="0"/>
          <w:marTop w:val="0"/>
          <w:marBottom w:val="0"/>
          <w:divBdr>
            <w:top w:val="none" w:sz="0" w:space="0" w:color="auto"/>
            <w:left w:val="none" w:sz="0" w:space="0" w:color="auto"/>
            <w:bottom w:val="none" w:sz="0" w:space="0" w:color="auto"/>
            <w:right w:val="none" w:sz="0" w:space="0" w:color="auto"/>
          </w:divBdr>
        </w:div>
        <w:div w:id="1828201172">
          <w:marLeft w:val="0"/>
          <w:marRight w:val="0"/>
          <w:marTop w:val="0"/>
          <w:marBottom w:val="0"/>
          <w:divBdr>
            <w:top w:val="none" w:sz="0" w:space="0" w:color="auto"/>
            <w:left w:val="none" w:sz="0" w:space="0" w:color="auto"/>
            <w:bottom w:val="none" w:sz="0" w:space="0" w:color="auto"/>
            <w:right w:val="none" w:sz="0" w:space="0" w:color="auto"/>
          </w:divBdr>
        </w:div>
        <w:div w:id="854340394">
          <w:marLeft w:val="0"/>
          <w:marRight w:val="0"/>
          <w:marTop w:val="0"/>
          <w:marBottom w:val="0"/>
          <w:divBdr>
            <w:top w:val="none" w:sz="0" w:space="0" w:color="auto"/>
            <w:left w:val="none" w:sz="0" w:space="0" w:color="auto"/>
            <w:bottom w:val="none" w:sz="0" w:space="0" w:color="auto"/>
            <w:right w:val="none" w:sz="0" w:space="0" w:color="auto"/>
          </w:divBdr>
        </w:div>
        <w:div w:id="1815445376">
          <w:marLeft w:val="0"/>
          <w:marRight w:val="0"/>
          <w:marTop w:val="0"/>
          <w:marBottom w:val="0"/>
          <w:divBdr>
            <w:top w:val="none" w:sz="0" w:space="0" w:color="auto"/>
            <w:left w:val="none" w:sz="0" w:space="0" w:color="auto"/>
            <w:bottom w:val="none" w:sz="0" w:space="0" w:color="auto"/>
            <w:right w:val="none" w:sz="0" w:space="0" w:color="auto"/>
          </w:divBdr>
        </w:div>
        <w:div w:id="227303365">
          <w:marLeft w:val="0"/>
          <w:marRight w:val="0"/>
          <w:marTop w:val="0"/>
          <w:marBottom w:val="0"/>
          <w:divBdr>
            <w:top w:val="none" w:sz="0" w:space="0" w:color="auto"/>
            <w:left w:val="none" w:sz="0" w:space="0" w:color="auto"/>
            <w:bottom w:val="none" w:sz="0" w:space="0" w:color="auto"/>
            <w:right w:val="none" w:sz="0" w:space="0" w:color="auto"/>
          </w:divBdr>
        </w:div>
        <w:div w:id="676158775">
          <w:marLeft w:val="0"/>
          <w:marRight w:val="0"/>
          <w:marTop w:val="0"/>
          <w:marBottom w:val="0"/>
          <w:divBdr>
            <w:top w:val="none" w:sz="0" w:space="0" w:color="auto"/>
            <w:left w:val="none" w:sz="0" w:space="0" w:color="auto"/>
            <w:bottom w:val="none" w:sz="0" w:space="0" w:color="auto"/>
            <w:right w:val="none" w:sz="0" w:space="0" w:color="auto"/>
          </w:divBdr>
        </w:div>
        <w:div w:id="475293629">
          <w:marLeft w:val="0"/>
          <w:marRight w:val="0"/>
          <w:marTop w:val="0"/>
          <w:marBottom w:val="0"/>
          <w:divBdr>
            <w:top w:val="none" w:sz="0" w:space="0" w:color="auto"/>
            <w:left w:val="none" w:sz="0" w:space="0" w:color="auto"/>
            <w:bottom w:val="none" w:sz="0" w:space="0" w:color="auto"/>
            <w:right w:val="none" w:sz="0" w:space="0" w:color="auto"/>
          </w:divBdr>
        </w:div>
        <w:div w:id="1960185442">
          <w:marLeft w:val="0"/>
          <w:marRight w:val="0"/>
          <w:marTop w:val="0"/>
          <w:marBottom w:val="0"/>
          <w:divBdr>
            <w:top w:val="none" w:sz="0" w:space="0" w:color="auto"/>
            <w:left w:val="none" w:sz="0" w:space="0" w:color="auto"/>
            <w:bottom w:val="none" w:sz="0" w:space="0" w:color="auto"/>
            <w:right w:val="none" w:sz="0" w:space="0" w:color="auto"/>
          </w:divBdr>
        </w:div>
        <w:div w:id="1654064680">
          <w:marLeft w:val="0"/>
          <w:marRight w:val="0"/>
          <w:marTop w:val="0"/>
          <w:marBottom w:val="0"/>
          <w:divBdr>
            <w:top w:val="none" w:sz="0" w:space="0" w:color="auto"/>
            <w:left w:val="none" w:sz="0" w:space="0" w:color="auto"/>
            <w:bottom w:val="none" w:sz="0" w:space="0" w:color="auto"/>
            <w:right w:val="none" w:sz="0" w:space="0" w:color="auto"/>
          </w:divBdr>
        </w:div>
        <w:div w:id="781610201">
          <w:marLeft w:val="0"/>
          <w:marRight w:val="0"/>
          <w:marTop w:val="0"/>
          <w:marBottom w:val="0"/>
          <w:divBdr>
            <w:top w:val="none" w:sz="0" w:space="0" w:color="auto"/>
            <w:left w:val="none" w:sz="0" w:space="0" w:color="auto"/>
            <w:bottom w:val="none" w:sz="0" w:space="0" w:color="auto"/>
            <w:right w:val="none" w:sz="0" w:space="0" w:color="auto"/>
          </w:divBdr>
        </w:div>
        <w:div w:id="1868713610">
          <w:marLeft w:val="0"/>
          <w:marRight w:val="0"/>
          <w:marTop w:val="0"/>
          <w:marBottom w:val="0"/>
          <w:divBdr>
            <w:top w:val="none" w:sz="0" w:space="0" w:color="auto"/>
            <w:left w:val="none" w:sz="0" w:space="0" w:color="auto"/>
            <w:bottom w:val="none" w:sz="0" w:space="0" w:color="auto"/>
            <w:right w:val="none" w:sz="0" w:space="0" w:color="auto"/>
          </w:divBdr>
        </w:div>
        <w:div w:id="359160406">
          <w:marLeft w:val="0"/>
          <w:marRight w:val="0"/>
          <w:marTop w:val="0"/>
          <w:marBottom w:val="0"/>
          <w:divBdr>
            <w:top w:val="none" w:sz="0" w:space="0" w:color="auto"/>
            <w:left w:val="none" w:sz="0" w:space="0" w:color="auto"/>
            <w:bottom w:val="none" w:sz="0" w:space="0" w:color="auto"/>
            <w:right w:val="none" w:sz="0" w:space="0" w:color="auto"/>
          </w:divBdr>
        </w:div>
        <w:div w:id="743643006">
          <w:marLeft w:val="0"/>
          <w:marRight w:val="0"/>
          <w:marTop w:val="0"/>
          <w:marBottom w:val="0"/>
          <w:divBdr>
            <w:top w:val="none" w:sz="0" w:space="0" w:color="auto"/>
            <w:left w:val="none" w:sz="0" w:space="0" w:color="auto"/>
            <w:bottom w:val="none" w:sz="0" w:space="0" w:color="auto"/>
            <w:right w:val="none" w:sz="0" w:space="0" w:color="auto"/>
          </w:divBdr>
        </w:div>
        <w:div w:id="1306861591">
          <w:marLeft w:val="0"/>
          <w:marRight w:val="0"/>
          <w:marTop w:val="0"/>
          <w:marBottom w:val="0"/>
          <w:divBdr>
            <w:top w:val="none" w:sz="0" w:space="0" w:color="auto"/>
            <w:left w:val="none" w:sz="0" w:space="0" w:color="auto"/>
            <w:bottom w:val="none" w:sz="0" w:space="0" w:color="auto"/>
            <w:right w:val="none" w:sz="0" w:space="0" w:color="auto"/>
          </w:divBdr>
        </w:div>
        <w:div w:id="404844109">
          <w:marLeft w:val="0"/>
          <w:marRight w:val="0"/>
          <w:marTop w:val="0"/>
          <w:marBottom w:val="0"/>
          <w:divBdr>
            <w:top w:val="none" w:sz="0" w:space="0" w:color="auto"/>
            <w:left w:val="none" w:sz="0" w:space="0" w:color="auto"/>
            <w:bottom w:val="none" w:sz="0" w:space="0" w:color="auto"/>
            <w:right w:val="none" w:sz="0" w:space="0" w:color="auto"/>
          </w:divBdr>
        </w:div>
        <w:div w:id="455291918">
          <w:marLeft w:val="0"/>
          <w:marRight w:val="0"/>
          <w:marTop w:val="0"/>
          <w:marBottom w:val="0"/>
          <w:divBdr>
            <w:top w:val="none" w:sz="0" w:space="0" w:color="auto"/>
            <w:left w:val="none" w:sz="0" w:space="0" w:color="auto"/>
            <w:bottom w:val="none" w:sz="0" w:space="0" w:color="auto"/>
            <w:right w:val="none" w:sz="0" w:space="0" w:color="auto"/>
          </w:divBdr>
        </w:div>
        <w:div w:id="116292993">
          <w:marLeft w:val="0"/>
          <w:marRight w:val="0"/>
          <w:marTop w:val="0"/>
          <w:marBottom w:val="0"/>
          <w:divBdr>
            <w:top w:val="none" w:sz="0" w:space="0" w:color="auto"/>
            <w:left w:val="none" w:sz="0" w:space="0" w:color="auto"/>
            <w:bottom w:val="none" w:sz="0" w:space="0" w:color="auto"/>
            <w:right w:val="none" w:sz="0" w:space="0" w:color="auto"/>
          </w:divBdr>
        </w:div>
        <w:div w:id="2004972398">
          <w:marLeft w:val="0"/>
          <w:marRight w:val="0"/>
          <w:marTop w:val="0"/>
          <w:marBottom w:val="0"/>
          <w:divBdr>
            <w:top w:val="none" w:sz="0" w:space="0" w:color="auto"/>
            <w:left w:val="none" w:sz="0" w:space="0" w:color="auto"/>
            <w:bottom w:val="none" w:sz="0" w:space="0" w:color="auto"/>
            <w:right w:val="none" w:sz="0" w:space="0" w:color="auto"/>
          </w:divBdr>
        </w:div>
        <w:div w:id="1870676215">
          <w:marLeft w:val="0"/>
          <w:marRight w:val="0"/>
          <w:marTop w:val="0"/>
          <w:marBottom w:val="0"/>
          <w:divBdr>
            <w:top w:val="none" w:sz="0" w:space="0" w:color="auto"/>
            <w:left w:val="none" w:sz="0" w:space="0" w:color="auto"/>
            <w:bottom w:val="none" w:sz="0" w:space="0" w:color="auto"/>
            <w:right w:val="none" w:sz="0" w:space="0" w:color="auto"/>
          </w:divBdr>
        </w:div>
        <w:div w:id="1393114714">
          <w:marLeft w:val="0"/>
          <w:marRight w:val="0"/>
          <w:marTop w:val="0"/>
          <w:marBottom w:val="0"/>
          <w:divBdr>
            <w:top w:val="none" w:sz="0" w:space="0" w:color="auto"/>
            <w:left w:val="none" w:sz="0" w:space="0" w:color="auto"/>
            <w:bottom w:val="none" w:sz="0" w:space="0" w:color="auto"/>
            <w:right w:val="none" w:sz="0" w:space="0" w:color="auto"/>
          </w:divBdr>
        </w:div>
        <w:div w:id="566451608">
          <w:marLeft w:val="0"/>
          <w:marRight w:val="0"/>
          <w:marTop w:val="0"/>
          <w:marBottom w:val="0"/>
          <w:divBdr>
            <w:top w:val="none" w:sz="0" w:space="0" w:color="auto"/>
            <w:left w:val="none" w:sz="0" w:space="0" w:color="auto"/>
            <w:bottom w:val="none" w:sz="0" w:space="0" w:color="auto"/>
            <w:right w:val="none" w:sz="0" w:space="0" w:color="auto"/>
          </w:divBdr>
        </w:div>
        <w:div w:id="1027178099">
          <w:marLeft w:val="0"/>
          <w:marRight w:val="0"/>
          <w:marTop w:val="0"/>
          <w:marBottom w:val="0"/>
          <w:divBdr>
            <w:top w:val="none" w:sz="0" w:space="0" w:color="auto"/>
            <w:left w:val="none" w:sz="0" w:space="0" w:color="auto"/>
            <w:bottom w:val="none" w:sz="0" w:space="0" w:color="auto"/>
            <w:right w:val="none" w:sz="0" w:space="0" w:color="auto"/>
          </w:divBdr>
        </w:div>
        <w:div w:id="672026998">
          <w:marLeft w:val="0"/>
          <w:marRight w:val="0"/>
          <w:marTop w:val="0"/>
          <w:marBottom w:val="0"/>
          <w:divBdr>
            <w:top w:val="none" w:sz="0" w:space="0" w:color="auto"/>
            <w:left w:val="none" w:sz="0" w:space="0" w:color="auto"/>
            <w:bottom w:val="none" w:sz="0" w:space="0" w:color="auto"/>
            <w:right w:val="none" w:sz="0" w:space="0" w:color="auto"/>
          </w:divBdr>
        </w:div>
        <w:div w:id="1174346574">
          <w:marLeft w:val="0"/>
          <w:marRight w:val="0"/>
          <w:marTop w:val="0"/>
          <w:marBottom w:val="0"/>
          <w:divBdr>
            <w:top w:val="none" w:sz="0" w:space="0" w:color="auto"/>
            <w:left w:val="none" w:sz="0" w:space="0" w:color="auto"/>
            <w:bottom w:val="none" w:sz="0" w:space="0" w:color="auto"/>
            <w:right w:val="none" w:sz="0" w:space="0" w:color="auto"/>
          </w:divBdr>
        </w:div>
        <w:div w:id="506210072">
          <w:marLeft w:val="0"/>
          <w:marRight w:val="0"/>
          <w:marTop w:val="0"/>
          <w:marBottom w:val="0"/>
          <w:divBdr>
            <w:top w:val="none" w:sz="0" w:space="0" w:color="auto"/>
            <w:left w:val="none" w:sz="0" w:space="0" w:color="auto"/>
            <w:bottom w:val="none" w:sz="0" w:space="0" w:color="auto"/>
            <w:right w:val="none" w:sz="0" w:space="0" w:color="auto"/>
          </w:divBdr>
        </w:div>
        <w:div w:id="1342774776">
          <w:marLeft w:val="0"/>
          <w:marRight w:val="0"/>
          <w:marTop w:val="0"/>
          <w:marBottom w:val="0"/>
          <w:divBdr>
            <w:top w:val="none" w:sz="0" w:space="0" w:color="auto"/>
            <w:left w:val="none" w:sz="0" w:space="0" w:color="auto"/>
            <w:bottom w:val="none" w:sz="0" w:space="0" w:color="auto"/>
            <w:right w:val="none" w:sz="0" w:space="0" w:color="auto"/>
          </w:divBdr>
        </w:div>
        <w:div w:id="1174762188">
          <w:marLeft w:val="0"/>
          <w:marRight w:val="0"/>
          <w:marTop w:val="0"/>
          <w:marBottom w:val="0"/>
          <w:divBdr>
            <w:top w:val="none" w:sz="0" w:space="0" w:color="auto"/>
            <w:left w:val="none" w:sz="0" w:space="0" w:color="auto"/>
            <w:bottom w:val="none" w:sz="0" w:space="0" w:color="auto"/>
            <w:right w:val="none" w:sz="0" w:space="0" w:color="auto"/>
          </w:divBdr>
        </w:div>
        <w:div w:id="659890605">
          <w:marLeft w:val="0"/>
          <w:marRight w:val="0"/>
          <w:marTop w:val="0"/>
          <w:marBottom w:val="0"/>
          <w:divBdr>
            <w:top w:val="none" w:sz="0" w:space="0" w:color="auto"/>
            <w:left w:val="none" w:sz="0" w:space="0" w:color="auto"/>
            <w:bottom w:val="none" w:sz="0" w:space="0" w:color="auto"/>
            <w:right w:val="none" w:sz="0" w:space="0" w:color="auto"/>
          </w:divBdr>
        </w:div>
        <w:div w:id="71858458">
          <w:marLeft w:val="0"/>
          <w:marRight w:val="0"/>
          <w:marTop w:val="0"/>
          <w:marBottom w:val="0"/>
          <w:divBdr>
            <w:top w:val="none" w:sz="0" w:space="0" w:color="auto"/>
            <w:left w:val="none" w:sz="0" w:space="0" w:color="auto"/>
            <w:bottom w:val="none" w:sz="0" w:space="0" w:color="auto"/>
            <w:right w:val="none" w:sz="0" w:space="0" w:color="auto"/>
          </w:divBdr>
        </w:div>
        <w:div w:id="1977754651">
          <w:marLeft w:val="0"/>
          <w:marRight w:val="0"/>
          <w:marTop w:val="0"/>
          <w:marBottom w:val="0"/>
          <w:divBdr>
            <w:top w:val="none" w:sz="0" w:space="0" w:color="auto"/>
            <w:left w:val="none" w:sz="0" w:space="0" w:color="auto"/>
            <w:bottom w:val="none" w:sz="0" w:space="0" w:color="auto"/>
            <w:right w:val="none" w:sz="0" w:space="0" w:color="auto"/>
          </w:divBdr>
        </w:div>
        <w:div w:id="811677342">
          <w:marLeft w:val="0"/>
          <w:marRight w:val="0"/>
          <w:marTop w:val="0"/>
          <w:marBottom w:val="0"/>
          <w:divBdr>
            <w:top w:val="none" w:sz="0" w:space="0" w:color="auto"/>
            <w:left w:val="none" w:sz="0" w:space="0" w:color="auto"/>
            <w:bottom w:val="none" w:sz="0" w:space="0" w:color="auto"/>
            <w:right w:val="none" w:sz="0" w:space="0" w:color="auto"/>
          </w:divBdr>
        </w:div>
        <w:div w:id="1985112144">
          <w:marLeft w:val="0"/>
          <w:marRight w:val="0"/>
          <w:marTop w:val="0"/>
          <w:marBottom w:val="0"/>
          <w:divBdr>
            <w:top w:val="none" w:sz="0" w:space="0" w:color="auto"/>
            <w:left w:val="none" w:sz="0" w:space="0" w:color="auto"/>
            <w:bottom w:val="none" w:sz="0" w:space="0" w:color="auto"/>
            <w:right w:val="none" w:sz="0" w:space="0" w:color="auto"/>
          </w:divBdr>
        </w:div>
        <w:div w:id="1907180511">
          <w:marLeft w:val="0"/>
          <w:marRight w:val="0"/>
          <w:marTop w:val="0"/>
          <w:marBottom w:val="0"/>
          <w:divBdr>
            <w:top w:val="none" w:sz="0" w:space="0" w:color="auto"/>
            <w:left w:val="none" w:sz="0" w:space="0" w:color="auto"/>
            <w:bottom w:val="none" w:sz="0" w:space="0" w:color="auto"/>
            <w:right w:val="none" w:sz="0" w:space="0" w:color="auto"/>
          </w:divBdr>
        </w:div>
        <w:div w:id="1834490411">
          <w:marLeft w:val="0"/>
          <w:marRight w:val="0"/>
          <w:marTop w:val="0"/>
          <w:marBottom w:val="0"/>
          <w:divBdr>
            <w:top w:val="none" w:sz="0" w:space="0" w:color="auto"/>
            <w:left w:val="none" w:sz="0" w:space="0" w:color="auto"/>
            <w:bottom w:val="none" w:sz="0" w:space="0" w:color="auto"/>
            <w:right w:val="none" w:sz="0" w:space="0" w:color="auto"/>
          </w:divBdr>
        </w:div>
        <w:div w:id="2111119481">
          <w:marLeft w:val="0"/>
          <w:marRight w:val="0"/>
          <w:marTop w:val="0"/>
          <w:marBottom w:val="0"/>
          <w:divBdr>
            <w:top w:val="none" w:sz="0" w:space="0" w:color="auto"/>
            <w:left w:val="none" w:sz="0" w:space="0" w:color="auto"/>
            <w:bottom w:val="none" w:sz="0" w:space="0" w:color="auto"/>
            <w:right w:val="none" w:sz="0" w:space="0" w:color="auto"/>
          </w:divBdr>
        </w:div>
        <w:div w:id="1557425566">
          <w:marLeft w:val="0"/>
          <w:marRight w:val="0"/>
          <w:marTop w:val="0"/>
          <w:marBottom w:val="0"/>
          <w:divBdr>
            <w:top w:val="none" w:sz="0" w:space="0" w:color="auto"/>
            <w:left w:val="none" w:sz="0" w:space="0" w:color="auto"/>
            <w:bottom w:val="none" w:sz="0" w:space="0" w:color="auto"/>
            <w:right w:val="none" w:sz="0" w:space="0" w:color="auto"/>
          </w:divBdr>
        </w:div>
        <w:div w:id="2116944886">
          <w:marLeft w:val="0"/>
          <w:marRight w:val="0"/>
          <w:marTop w:val="0"/>
          <w:marBottom w:val="0"/>
          <w:divBdr>
            <w:top w:val="none" w:sz="0" w:space="0" w:color="auto"/>
            <w:left w:val="none" w:sz="0" w:space="0" w:color="auto"/>
            <w:bottom w:val="none" w:sz="0" w:space="0" w:color="auto"/>
            <w:right w:val="none" w:sz="0" w:space="0" w:color="auto"/>
          </w:divBdr>
        </w:div>
        <w:div w:id="1839272523">
          <w:marLeft w:val="0"/>
          <w:marRight w:val="0"/>
          <w:marTop w:val="0"/>
          <w:marBottom w:val="0"/>
          <w:divBdr>
            <w:top w:val="none" w:sz="0" w:space="0" w:color="auto"/>
            <w:left w:val="none" w:sz="0" w:space="0" w:color="auto"/>
            <w:bottom w:val="none" w:sz="0" w:space="0" w:color="auto"/>
            <w:right w:val="none" w:sz="0" w:space="0" w:color="auto"/>
          </w:divBdr>
        </w:div>
        <w:div w:id="1452169833">
          <w:marLeft w:val="0"/>
          <w:marRight w:val="0"/>
          <w:marTop w:val="0"/>
          <w:marBottom w:val="0"/>
          <w:divBdr>
            <w:top w:val="none" w:sz="0" w:space="0" w:color="auto"/>
            <w:left w:val="none" w:sz="0" w:space="0" w:color="auto"/>
            <w:bottom w:val="none" w:sz="0" w:space="0" w:color="auto"/>
            <w:right w:val="none" w:sz="0" w:space="0" w:color="auto"/>
          </w:divBdr>
        </w:div>
        <w:div w:id="222178158">
          <w:marLeft w:val="0"/>
          <w:marRight w:val="0"/>
          <w:marTop w:val="0"/>
          <w:marBottom w:val="0"/>
          <w:divBdr>
            <w:top w:val="none" w:sz="0" w:space="0" w:color="auto"/>
            <w:left w:val="none" w:sz="0" w:space="0" w:color="auto"/>
            <w:bottom w:val="none" w:sz="0" w:space="0" w:color="auto"/>
            <w:right w:val="none" w:sz="0" w:space="0" w:color="auto"/>
          </w:divBdr>
        </w:div>
        <w:div w:id="522206594">
          <w:marLeft w:val="0"/>
          <w:marRight w:val="0"/>
          <w:marTop w:val="0"/>
          <w:marBottom w:val="0"/>
          <w:divBdr>
            <w:top w:val="none" w:sz="0" w:space="0" w:color="auto"/>
            <w:left w:val="none" w:sz="0" w:space="0" w:color="auto"/>
            <w:bottom w:val="none" w:sz="0" w:space="0" w:color="auto"/>
            <w:right w:val="none" w:sz="0" w:space="0" w:color="auto"/>
          </w:divBdr>
        </w:div>
        <w:div w:id="789478020">
          <w:marLeft w:val="0"/>
          <w:marRight w:val="0"/>
          <w:marTop w:val="0"/>
          <w:marBottom w:val="0"/>
          <w:divBdr>
            <w:top w:val="none" w:sz="0" w:space="0" w:color="auto"/>
            <w:left w:val="none" w:sz="0" w:space="0" w:color="auto"/>
            <w:bottom w:val="none" w:sz="0" w:space="0" w:color="auto"/>
            <w:right w:val="none" w:sz="0" w:space="0" w:color="auto"/>
          </w:divBdr>
        </w:div>
        <w:div w:id="1120799469">
          <w:marLeft w:val="0"/>
          <w:marRight w:val="0"/>
          <w:marTop w:val="0"/>
          <w:marBottom w:val="0"/>
          <w:divBdr>
            <w:top w:val="none" w:sz="0" w:space="0" w:color="auto"/>
            <w:left w:val="none" w:sz="0" w:space="0" w:color="auto"/>
            <w:bottom w:val="none" w:sz="0" w:space="0" w:color="auto"/>
            <w:right w:val="none" w:sz="0" w:space="0" w:color="auto"/>
          </w:divBdr>
        </w:div>
        <w:div w:id="697318108">
          <w:marLeft w:val="0"/>
          <w:marRight w:val="0"/>
          <w:marTop w:val="0"/>
          <w:marBottom w:val="0"/>
          <w:divBdr>
            <w:top w:val="none" w:sz="0" w:space="0" w:color="auto"/>
            <w:left w:val="none" w:sz="0" w:space="0" w:color="auto"/>
            <w:bottom w:val="none" w:sz="0" w:space="0" w:color="auto"/>
            <w:right w:val="none" w:sz="0" w:space="0" w:color="auto"/>
          </w:divBdr>
        </w:div>
        <w:div w:id="823424527">
          <w:marLeft w:val="0"/>
          <w:marRight w:val="0"/>
          <w:marTop w:val="0"/>
          <w:marBottom w:val="0"/>
          <w:divBdr>
            <w:top w:val="none" w:sz="0" w:space="0" w:color="auto"/>
            <w:left w:val="none" w:sz="0" w:space="0" w:color="auto"/>
            <w:bottom w:val="none" w:sz="0" w:space="0" w:color="auto"/>
            <w:right w:val="none" w:sz="0" w:space="0" w:color="auto"/>
          </w:divBdr>
        </w:div>
        <w:div w:id="1408070923">
          <w:marLeft w:val="0"/>
          <w:marRight w:val="0"/>
          <w:marTop w:val="0"/>
          <w:marBottom w:val="0"/>
          <w:divBdr>
            <w:top w:val="none" w:sz="0" w:space="0" w:color="auto"/>
            <w:left w:val="none" w:sz="0" w:space="0" w:color="auto"/>
            <w:bottom w:val="none" w:sz="0" w:space="0" w:color="auto"/>
            <w:right w:val="none" w:sz="0" w:space="0" w:color="auto"/>
          </w:divBdr>
        </w:div>
        <w:div w:id="1535924812">
          <w:marLeft w:val="0"/>
          <w:marRight w:val="0"/>
          <w:marTop w:val="0"/>
          <w:marBottom w:val="0"/>
          <w:divBdr>
            <w:top w:val="none" w:sz="0" w:space="0" w:color="auto"/>
            <w:left w:val="none" w:sz="0" w:space="0" w:color="auto"/>
            <w:bottom w:val="none" w:sz="0" w:space="0" w:color="auto"/>
            <w:right w:val="none" w:sz="0" w:space="0" w:color="auto"/>
          </w:divBdr>
        </w:div>
        <w:div w:id="841161597">
          <w:marLeft w:val="0"/>
          <w:marRight w:val="0"/>
          <w:marTop w:val="0"/>
          <w:marBottom w:val="0"/>
          <w:divBdr>
            <w:top w:val="none" w:sz="0" w:space="0" w:color="auto"/>
            <w:left w:val="none" w:sz="0" w:space="0" w:color="auto"/>
            <w:bottom w:val="none" w:sz="0" w:space="0" w:color="auto"/>
            <w:right w:val="none" w:sz="0" w:space="0" w:color="auto"/>
          </w:divBdr>
        </w:div>
        <w:div w:id="624848800">
          <w:marLeft w:val="0"/>
          <w:marRight w:val="0"/>
          <w:marTop w:val="0"/>
          <w:marBottom w:val="0"/>
          <w:divBdr>
            <w:top w:val="none" w:sz="0" w:space="0" w:color="auto"/>
            <w:left w:val="none" w:sz="0" w:space="0" w:color="auto"/>
            <w:bottom w:val="none" w:sz="0" w:space="0" w:color="auto"/>
            <w:right w:val="none" w:sz="0" w:space="0" w:color="auto"/>
          </w:divBdr>
        </w:div>
        <w:div w:id="93594296">
          <w:marLeft w:val="0"/>
          <w:marRight w:val="0"/>
          <w:marTop w:val="0"/>
          <w:marBottom w:val="0"/>
          <w:divBdr>
            <w:top w:val="none" w:sz="0" w:space="0" w:color="auto"/>
            <w:left w:val="none" w:sz="0" w:space="0" w:color="auto"/>
            <w:bottom w:val="none" w:sz="0" w:space="0" w:color="auto"/>
            <w:right w:val="none" w:sz="0" w:space="0" w:color="auto"/>
          </w:divBdr>
        </w:div>
        <w:div w:id="145707292">
          <w:marLeft w:val="0"/>
          <w:marRight w:val="0"/>
          <w:marTop w:val="0"/>
          <w:marBottom w:val="0"/>
          <w:divBdr>
            <w:top w:val="none" w:sz="0" w:space="0" w:color="auto"/>
            <w:left w:val="none" w:sz="0" w:space="0" w:color="auto"/>
            <w:bottom w:val="none" w:sz="0" w:space="0" w:color="auto"/>
            <w:right w:val="none" w:sz="0" w:space="0" w:color="auto"/>
          </w:divBdr>
        </w:div>
        <w:div w:id="1083071125">
          <w:marLeft w:val="0"/>
          <w:marRight w:val="0"/>
          <w:marTop w:val="0"/>
          <w:marBottom w:val="0"/>
          <w:divBdr>
            <w:top w:val="none" w:sz="0" w:space="0" w:color="auto"/>
            <w:left w:val="none" w:sz="0" w:space="0" w:color="auto"/>
            <w:bottom w:val="none" w:sz="0" w:space="0" w:color="auto"/>
            <w:right w:val="none" w:sz="0" w:space="0" w:color="auto"/>
          </w:divBdr>
        </w:div>
        <w:div w:id="641885975">
          <w:marLeft w:val="0"/>
          <w:marRight w:val="0"/>
          <w:marTop w:val="0"/>
          <w:marBottom w:val="0"/>
          <w:divBdr>
            <w:top w:val="none" w:sz="0" w:space="0" w:color="auto"/>
            <w:left w:val="none" w:sz="0" w:space="0" w:color="auto"/>
            <w:bottom w:val="none" w:sz="0" w:space="0" w:color="auto"/>
            <w:right w:val="none" w:sz="0" w:space="0" w:color="auto"/>
          </w:divBdr>
        </w:div>
        <w:div w:id="47261962">
          <w:marLeft w:val="0"/>
          <w:marRight w:val="0"/>
          <w:marTop w:val="0"/>
          <w:marBottom w:val="0"/>
          <w:divBdr>
            <w:top w:val="none" w:sz="0" w:space="0" w:color="auto"/>
            <w:left w:val="none" w:sz="0" w:space="0" w:color="auto"/>
            <w:bottom w:val="none" w:sz="0" w:space="0" w:color="auto"/>
            <w:right w:val="none" w:sz="0" w:space="0" w:color="auto"/>
          </w:divBdr>
        </w:div>
        <w:div w:id="70352198">
          <w:marLeft w:val="0"/>
          <w:marRight w:val="0"/>
          <w:marTop w:val="0"/>
          <w:marBottom w:val="0"/>
          <w:divBdr>
            <w:top w:val="none" w:sz="0" w:space="0" w:color="auto"/>
            <w:left w:val="none" w:sz="0" w:space="0" w:color="auto"/>
            <w:bottom w:val="none" w:sz="0" w:space="0" w:color="auto"/>
            <w:right w:val="none" w:sz="0" w:space="0" w:color="auto"/>
          </w:divBdr>
        </w:div>
        <w:div w:id="1754543924">
          <w:marLeft w:val="0"/>
          <w:marRight w:val="0"/>
          <w:marTop w:val="0"/>
          <w:marBottom w:val="0"/>
          <w:divBdr>
            <w:top w:val="none" w:sz="0" w:space="0" w:color="auto"/>
            <w:left w:val="none" w:sz="0" w:space="0" w:color="auto"/>
            <w:bottom w:val="none" w:sz="0" w:space="0" w:color="auto"/>
            <w:right w:val="none" w:sz="0" w:space="0" w:color="auto"/>
          </w:divBdr>
        </w:div>
        <w:div w:id="1526551380">
          <w:marLeft w:val="0"/>
          <w:marRight w:val="0"/>
          <w:marTop w:val="0"/>
          <w:marBottom w:val="0"/>
          <w:divBdr>
            <w:top w:val="none" w:sz="0" w:space="0" w:color="auto"/>
            <w:left w:val="none" w:sz="0" w:space="0" w:color="auto"/>
            <w:bottom w:val="none" w:sz="0" w:space="0" w:color="auto"/>
            <w:right w:val="none" w:sz="0" w:space="0" w:color="auto"/>
          </w:divBdr>
        </w:div>
        <w:div w:id="1890262778">
          <w:marLeft w:val="0"/>
          <w:marRight w:val="0"/>
          <w:marTop w:val="0"/>
          <w:marBottom w:val="0"/>
          <w:divBdr>
            <w:top w:val="none" w:sz="0" w:space="0" w:color="auto"/>
            <w:left w:val="none" w:sz="0" w:space="0" w:color="auto"/>
            <w:bottom w:val="none" w:sz="0" w:space="0" w:color="auto"/>
            <w:right w:val="none" w:sz="0" w:space="0" w:color="auto"/>
          </w:divBdr>
        </w:div>
        <w:div w:id="1699619996">
          <w:marLeft w:val="0"/>
          <w:marRight w:val="0"/>
          <w:marTop w:val="0"/>
          <w:marBottom w:val="0"/>
          <w:divBdr>
            <w:top w:val="none" w:sz="0" w:space="0" w:color="auto"/>
            <w:left w:val="none" w:sz="0" w:space="0" w:color="auto"/>
            <w:bottom w:val="none" w:sz="0" w:space="0" w:color="auto"/>
            <w:right w:val="none" w:sz="0" w:space="0" w:color="auto"/>
          </w:divBdr>
        </w:div>
        <w:div w:id="76483833">
          <w:marLeft w:val="0"/>
          <w:marRight w:val="0"/>
          <w:marTop w:val="0"/>
          <w:marBottom w:val="0"/>
          <w:divBdr>
            <w:top w:val="none" w:sz="0" w:space="0" w:color="auto"/>
            <w:left w:val="none" w:sz="0" w:space="0" w:color="auto"/>
            <w:bottom w:val="none" w:sz="0" w:space="0" w:color="auto"/>
            <w:right w:val="none" w:sz="0" w:space="0" w:color="auto"/>
          </w:divBdr>
        </w:div>
        <w:div w:id="1063795322">
          <w:marLeft w:val="0"/>
          <w:marRight w:val="0"/>
          <w:marTop w:val="0"/>
          <w:marBottom w:val="0"/>
          <w:divBdr>
            <w:top w:val="none" w:sz="0" w:space="0" w:color="auto"/>
            <w:left w:val="none" w:sz="0" w:space="0" w:color="auto"/>
            <w:bottom w:val="none" w:sz="0" w:space="0" w:color="auto"/>
            <w:right w:val="none" w:sz="0" w:space="0" w:color="auto"/>
          </w:divBdr>
        </w:div>
        <w:div w:id="39550252">
          <w:marLeft w:val="0"/>
          <w:marRight w:val="0"/>
          <w:marTop w:val="0"/>
          <w:marBottom w:val="0"/>
          <w:divBdr>
            <w:top w:val="none" w:sz="0" w:space="0" w:color="auto"/>
            <w:left w:val="none" w:sz="0" w:space="0" w:color="auto"/>
            <w:bottom w:val="none" w:sz="0" w:space="0" w:color="auto"/>
            <w:right w:val="none" w:sz="0" w:space="0" w:color="auto"/>
          </w:divBdr>
        </w:div>
        <w:div w:id="905797646">
          <w:marLeft w:val="0"/>
          <w:marRight w:val="0"/>
          <w:marTop w:val="0"/>
          <w:marBottom w:val="0"/>
          <w:divBdr>
            <w:top w:val="none" w:sz="0" w:space="0" w:color="auto"/>
            <w:left w:val="none" w:sz="0" w:space="0" w:color="auto"/>
            <w:bottom w:val="none" w:sz="0" w:space="0" w:color="auto"/>
            <w:right w:val="none" w:sz="0" w:space="0" w:color="auto"/>
          </w:divBdr>
        </w:div>
        <w:div w:id="508912767">
          <w:marLeft w:val="0"/>
          <w:marRight w:val="0"/>
          <w:marTop w:val="0"/>
          <w:marBottom w:val="0"/>
          <w:divBdr>
            <w:top w:val="none" w:sz="0" w:space="0" w:color="auto"/>
            <w:left w:val="none" w:sz="0" w:space="0" w:color="auto"/>
            <w:bottom w:val="none" w:sz="0" w:space="0" w:color="auto"/>
            <w:right w:val="none" w:sz="0" w:space="0" w:color="auto"/>
          </w:divBdr>
        </w:div>
        <w:div w:id="2099254888">
          <w:marLeft w:val="0"/>
          <w:marRight w:val="0"/>
          <w:marTop w:val="0"/>
          <w:marBottom w:val="0"/>
          <w:divBdr>
            <w:top w:val="none" w:sz="0" w:space="0" w:color="auto"/>
            <w:left w:val="none" w:sz="0" w:space="0" w:color="auto"/>
            <w:bottom w:val="none" w:sz="0" w:space="0" w:color="auto"/>
            <w:right w:val="none" w:sz="0" w:space="0" w:color="auto"/>
          </w:divBdr>
        </w:div>
        <w:div w:id="652367228">
          <w:marLeft w:val="0"/>
          <w:marRight w:val="0"/>
          <w:marTop w:val="0"/>
          <w:marBottom w:val="0"/>
          <w:divBdr>
            <w:top w:val="none" w:sz="0" w:space="0" w:color="auto"/>
            <w:left w:val="none" w:sz="0" w:space="0" w:color="auto"/>
            <w:bottom w:val="none" w:sz="0" w:space="0" w:color="auto"/>
            <w:right w:val="none" w:sz="0" w:space="0" w:color="auto"/>
          </w:divBdr>
        </w:div>
        <w:div w:id="202251055">
          <w:marLeft w:val="0"/>
          <w:marRight w:val="0"/>
          <w:marTop w:val="0"/>
          <w:marBottom w:val="0"/>
          <w:divBdr>
            <w:top w:val="none" w:sz="0" w:space="0" w:color="auto"/>
            <w:left w:val="none" w:sz="0" w:space="0" w:color="auto"/>
            <w:bottom w:val="none" w:sz="0" w:space="0" w:color="auto"/>
            <w:right w:val="none" w:sz="0" w:space="0" w:color="auto"/>
          </w:divBdr>
        </w:div>
        <w:div w:id="1724208564">
          <w:marLeft w:val="0"/>
          <w:marRight w:val="0"/>
          <w:marTop w:val="0"/>
          <w:marBottom w:val="0"/>
          <w:divBdr>
            <w:top w:val="none" w:sz="0" w:space="0" w:color="auto"/>
            <w:left w:val="none" w:sz="0" w:space="0" w:color="auto"/>
            <w:bottom w:val="none" w:sz="0" w:space="0" w:color="auto"/>
            <w:right w:val="none" w:sz="0" w:space="0" w:color="auto"/>
          </w:divBdr>
        </w:div>
        <w:div w:id="1897661779">
          <w:marLeft w:val="0"/>
          <w:marRight w:val="0"/>
          <w:marTop w:val="0"/>
          <w:marBottom w:val="0"/>
          <w:divBdr>
            <w:top w:val="none" w:sz="0" w:space="0" w:color="auto"/>
            <w:left w:val="none" w:sz="0" w:space="0" w:color="auto"/>
            <w:bottom w:val="none" w:sz="0" w:space="0" w:color="auto"/>
            <w:right w:val="none" w:sz="0" w:space="0" w:color="auto"/>
          </w:divBdr>
        </w:div>
        <w:div w:id="1258905238">
          <w:marLeft w:val="0"/>
          <w:marRight w:val="0"/>
          <w:marTop w:val="0"/>
          <w:marBottom w:val="0"/>
          <w:divBdr>
            <w:top w:val="none" w:sz="0" w:space="0" w:color="auto"/>
            <w:left w:val="none" w:sz="0" w:space="0" w:color="auto"/>
            <w:bottom w:val="none" w:sz="0" w:space="0" w:color="auto"/>
            <w:right w:val="none" w:sz="0" w:space="0" w:color="auto"/>
          </w:divBdr>
        </w:div>
        <w:div w:id="944727775">
          <w:marLeft w:val="0"/>
          <w:marRight w:val="0"/>
          <w:marTop w:val="0"/>
          <w:marBottom w:val="0"/>
          <w:divBdr>
            <w:top w:val="none" w:sz="0" w:space="0" w:color="auto"/>
            <w:left w:val="none" w:sz="0" w:space="0" w:color="auto"/>
            <w:bottom w:val="none" w:sz="0" w:space="0" w:color="auto"/>
            <w:right w:val="none" w:sz="0" w:space="0" w:color="auto"/>
          </w:divBdr>
        </w:div>
        <w:div w:id="772093999">
          <w:marLeft w:val="0"/>
          <w:marRight w:val="0"/>
          <w:marTop w:val="0"/>
          <w:marBottom w:val="0"/>
          <w:divBdr>
            <w:top w:val="none" w:sz="0" w:space="0" w:color="auto"/>
            <w:left w:val="none" w:sz="0" w:space="0" w:color="auto"/>
            <w:bottom w:val="none" w:sz="0" w:space="0" w:color="auto"/>
            <w:right w:val="none" w:sz="0" w:space="0" w:color="auto"/>
          </w:divBdr>
        </w:div>
        <w:div w:id="1861821865">
          <w:marLeft w:val="0"/>
          <w:marRight w:val="0"/>
          <w:marTop w:val="0"/>
          <w:marBottom w:val="0"/>
          <w:divBdr>
            <w:top w:val="none" w:sz="0" w:space="0" w:color="auto"/>
            <w:left w:val="none" w:sz="0" w:space="0" w:color="auto"/>
            <w:bottom w:val="none" w:sz="0" w:space="0" w:color="auto"/>
            <w:right w:val="none" w:sz="0" w:space="0" w:color="auto"/>
          </w:divBdr>
        </w:div>
        <w:div w:id="1236017437">
          <w:marLeft w:val="0"/>
          <w:marRight w:val="0"/>
          <w:marTop w:val="0"/>
          <w:marBottom w:val="0"/>
          <w:divBdr>
            <w:top w:val="none" w:sz="0" w:space="0" w:color="auto"/>
            <w:left w:val="none" w:sz="0" w:space="0" w:color="auto"/>
            <w:bottom w:val="none" w:sz="0" w:space="0" w:color="auto"/>
            <w:right w:val="none" w:sz="0" w:space="0" w:color="auto"/>
          </w:divBdr>
        </w:div>
        <w:div w:id="2001615991">
          <w:marLeft w:val="0"/>
          <w:marRight w:val="0"/>
          <w:marTop w:val="0"/>
          <w:marBottom w:val="0"/>
          <w:divBdr>
            <w:top w:val="none" w:sz="0" w:space="0" w:color="auto"/>
            <w:left w:val="none" w:sz="0" w:space="0" w:color="auto"/>
            <w:bottom w:val="none" w:sz="0" w:space="0" w:color="auto"/>
            <w:right w:val="none" w:sz="0" w:space="0" w:color="auto"/>
          </w:divBdr>
        </w:div>
        <w:div w:id="829760065">
          <w:marLeft w:val="0"/>
          <w:marRight w:val="0"/>
          <w:marTop w:val="0"/>
          <w:marBottom w:val="0"/>
          <w:divBdr>
            <w:top w:val="none" w:sz="0" w:space="0" w:color="auto"/>
            <w:left w:val="none" w:sz="0" w:space="0" w:color="auto"/>
            <w:bottom w:val="none" w:sz="0" w:space="0" w:color="auto"/>
            <w:right w:val="none" w:sz="0" w:space="0" w:color="auto"/>
          </w:divBdr>
        </w:div>
        <w:div w:id="920680662">
          <w:marLeft w:val="0"/>
          <w:marRight w:val="0"/>
          <w:marTop w:val="0"/>
          <w:marBottom w:val="0"/>
          <w:divBdr>
            <w:top w:val="none" w:sz="0" w:space="0" w:color="auto"/>
            <w:left w:val="none" w:sz="0" w:space="0" w:color="auto"/>
            <w:bottom w:val="none" w:sz="0" w:space="0" w:color="auto"/>
            <w:right w:val="none" w:sz="0" w:space="0" w:color="auto"/>
          </w:divBdr>
        </w:div>
        <w:div w:id="1573585447">
          <w:marLeft w:val="0"/>
          <w:marRight w:val="0"/>
          <w:marTop w:val="0"/>
          <w:marBottom w:val="0"/>
          <w:divBdr>
            <w:top w:val="none" w:sz="0" w:space="0" w:color="auto"/>
            <w:left w:val="none" w:sz="0" w:space="0" w:color="auto"/>
            <w:bottom w:val="none" w:sz="0" w:space="0" w:color="auto"/>
            <w:right w:val="none" w:sz="0" w:space="0" w:color="auto"/>
          </w:divBdr>
        </w:div>
        <w:div w:id="422457331">
          <w:marLeft w:val="0"/>
          <w:marRight w:val="0"/>
          <w:marTop w:val="0"/>
          <w:marBottom w:val="0"/>
          <w:divBdr>
            <w:top w:val="none" w:sz="0" w:space="0" w:color="auto"/>
            <w:left w:val="none" w:sz="0" w:space="0" w:color="auto"/>
            <w:bottom w:val="none" w:sz="0" w:space="0" w:color="auto"/>
            <w:right w:val="none" w:sz="0" w:space="0" w:color="auto"/>
          </w:divBdr>
        </w:div>
        <w:div w:id="646668166">
          <w:marLeft w:val="0"/>
          <w:marRight w:val="0"/>
          <w:marTop w:val="0"/>
          <w:marBottom w:val="0"/>
          <w:divBdr>
            <w:top w:val="none" w:sz="0" w:space="0" w:color="auto"/>
            <w:left w:val="none" w:sz="0" w:space="0" w:color="auto"/>
            <w:bottom w:val="none" w:sz="0" w:space="0" w:color="auto"/>
            <w:right w:val="none" w:sz="0" w:space="0" w:color="auto"/>
          </w:divBdr>
        </w:div>
        <w:div w:id="971598084">
          <w:marLeft w:val="0"/>
          <w:marRight w:val="0"/>
          <w:marTop w:val="0"/>
          <w:marBottom w:val="0"/>
          <w:divBdr>
            <w:top w:val="none" w:sz="0" w:space="0" w:color="auto"/>
            <w:left w:val="none" w:sz="0" w:space="0" w:color="auto"/>
            <w:bottom w:val="none" w:sz="0" w:space="0" w:color="auto"/>
            <w:right w:val="none" w:sz="0" w:space="0" w:color="auto"/>
          </w:divBdr>
        </w:div>
        <w:div w:id="1436903476">
          <w:marLeft w:val="0"/>
          <w:marRight w:val="0"/>
          <w:marTop w:val="0"/>
          <w:marBottom w:val="0"/>
          <w:divBdr>
            <w:top w:val="none" w:sz="0" w:space="0" w:color="auto"/>
            <w:left w:val="none" w:sz="0" w:space="0" w:color="auto"/>
            <w:bottom w:val="none" w:sz="0" w:space="0" w:color="auto"/>
            <w:right w:val="none" w:sz="0" w:space="0" w:color="auto"/>
          </w:divBdr>
        </w:div>
        <w:div w:id="859046482">
          <w:marLeft w:val="0"/>
          <w:marRight w:val="0"/>
          <w:marTop w:val="0"/>
          <w:marBottom w:val="0"/>
          <w:divBdr>
            <w:top w:val="none" w:sz="0" w:space="0" w:color="auto"/>
            <w:left w:val="none" w:sz="0" w:space="0" w:color="auto"/>
            <w:bottom w:val="none" w:sz="0" w:space="0" w:color="auto"/>
            <w:right w:val="none" w:sz="0" w:space="0" w:color="auto"/>
          </w:divBdr>
        </w:div>
        <w:div w:id="507914815">
          <w:marLeft w:val="0"/>
          <w:marRight w:val="0"/>
          <w:marTop w:val="0"/>
          <w:marBottom w:val="0"/>
          <w:divBdr>
            <w:top w:val="none" w:sz="0" w:space="0" w:color="auto"/>
            <w:left w:val="none" w:sz="0" w:space="0" w:color="auto"/>
            <w:bottom w:val="none" w:sz="0" w:space="0" w:color="auto"/>
            <w:right w:val="none" w:sz="0" w:space="0" w:color="auto"/>
          </w:divBdr>
        </w:div>
        <w:div w:id="1251624884">
          <w:marLeft w:val="0"/>
          <w:marRight w:val="0"/>
          <w:marTop w:val="0"/>
          <w:marBottom w:val="0"/>
          <w:divBdr>
            <w:top w:val="none" w:sz="0" w:space="0" w:color="auto"/>
            <w:left w:val="none" w:sz="0" w:space="0" w:color="auto"/>
            <w:bottom w:val="none" w:sz="0" w:space="0" w:color="auto"/>
            <w:right w:val="none" w:sz="0" w:space="0" w:color="auto"/>
          </w:divBdr>
        </w:div>
        <w:div w:id="1940023247">
          <w:marLeft w:val="0"/>
          <w:marRight w:val="0"/>
          <w:marTop w:val="0"/>
          <w:marBottom w:val="0"/>
          <w:divBdr>
            <w:top w:val="none" w:sz="0" w:space="0" w:color="auto"/>
            <w:left w:val="none" w:sz="0" w:space="0" w:color="auto"/>
            <w:bottom w:val="none" w:sz="0" w:space="0" w:color="auto"/>
            <w:right w:val="none" w:sz="0" w:space="0" w:color="auto"/>
          </w:divBdr>
        </w:div>
        <w:div w:id="341787353">
          <w:marLeft w:val="0"/>
          <w:marRight w:val="0"/>
          <w:marTop w:val="0"/>
          <w:marBottom w:val="0"/>
          <w:divBdr>
            <w:top w:val="none" w:sz="0" w:space="0" w:color="auto"/>
            <w:left w:val="none" w:sz="0" w:space="0" w:color="auto"/>
            <w:bottom w:val="none" w:sz="0" w:space="0" w:color="auto"/>
            <w:right w:val="none" w:sz="0" w:space="0" w:color="auto"/>
          </w:divBdr>
        </w:div>
        <w:div w:id="689261275">
          <w:marLeft w:val="0"/>
          <w:marRight w:val="0"/>
          <w:marTop w:val="0"/>
          <w:marBottom w:val="0"/>
          <w:divBdr>
            <w:top w:val="none" w:sz="0" w:space="0" w:color="auto"/>
            <w:left w:val="none" w:sz="0" w:space="0" w:color="auto"/>
            <w:bottom w:val="none" w:sz="0" w:space="0" w:color="auto"/>
            <w:right w:val="none" w:sz="0" w:space="0" w:color="auto"/>
          </w:divBdr>
        </w:div>
        <w:div w:id="1056588734">
          <w:marLeft w:val="0"/>
          <w:marRight w:val="0"/>
          <w:marTop w:val="0"/>
          <w:marBottom w:val="0"/>
          <w:divBdr>
            <w:top w:val="none" w:sz="0" w:space="0" w:color="auto"/>
            <w:left w:val="none" w:sz="0" w:space="0" w:color="auto"/>
            <w:bottom w:val="none" w:sz="0" w:space="0" w:color="auto"/>
            <w:right w:val="none" w:sz="0" w:space="0" w:color="auto"/>
          </w:divBdr>
        </w:div>
        <w:div w:id="2003773802">
          <w:marLeft w:val="0"/>
          <w:marRight w:val="0"/>
          <w:marTop w:val="0"/>
          <w:marBottom w:val="0"/>
          <w:divBdr>
            <w:top w:val="none" w:sz="0" w:space="0" w:color="auto"/>
            <w:left w:val="none" w:sz="0" w:space="0" w:color="auto"/>
            <w:bottom w:val="none" w:sz="0" w:space="0" w:color="auto"/>
            <w:right w:val="none" w:sz="0" w:space="0" w:color="auto"/>
          </w:divBdr>
        </w:div>
        <w:div w:id="1239945838">
          <w:marLeft w:val="0"/>
          <w:marRight w:val="0"/>
          <w:marTop w:val="0"/>
          <w:marBottom w:val="0"/>
          <w:divBdr>
            <w:top w:val="none" w:sz="0" w:space="0" w:color="auto"/>
            <w:left w:val="none" w:sz="0" w:space="0" w:color="auto"/>
            <w:bottom w:val="none" w:sz="0" w:space="0" w:color="auto"/>
            <w:right w:val="none" w:sz="0" w:space="0" w:color="auto"/>
          </w:divBdr>
        </w:div>
        <w:div w:id="583027619">
          <w:marLeft w:val="0"/>
          <w:marRight w:val="0"/>
          <w:marTop w:val="0"/>
          <w:marBottom w:val="0"/>
          <w:divBdr>
            <w:top w:val="none" w:sz="0" w:space="0" w:color="auto"/>
            <w:left w:val="none" w:sz="0" w:space="0" w:color="auto"/>
            <w:bottom w:val="none" w:sz="0" w:space="0" w:color="auto"/>
            <w:right w:val="none" w:sz="0" w:space="0" w:color="auto"/>
          </w:divBdr>
        </w:div>
        <w:div w:id="1380592139">
          <w:marLeft w:val="0"/>
          <w:marRight w:val="0"/>
          <w:marTop w:val="0"/>
          <w:marBottom w:val="0"/>
          <w:divBdr>
            <w:top w:val="none" w:sz="0" w:space="0" w:color="auto"/>
            <w:left w:val="none" w:sz="0" w:space="0" w:color="auto"/>
            <w:bottom w:val="none" w:sz="0" w:space="0" w:color="auto"/>
            <w:right w:val="none" w:sz="0" w:space="0" w:color="auto"/>
          </w:divBdr>
        </w:div>
        <w:div w:id="70128127">
          <w:marLeft w:val="0"/>
          <w:marRight w:val="0"/>
          <w:marTop w:val="0"/>
          <w:marBottom w:val="0"/>
          <w:divBdr>
            <w:top w:val="none" w:sz="0" w:space="0" w:color="auto"/>
            <w:left w:val="none" w:sz="0" w:space="0" w:color="auto"/>
            <w:bottom w:val="none" w:sz="0" w:space="0" w:color="auto"/>
            <w:right w:val="none" w:sz="0" w:space="0" w:color="auto"/>
          </w:divBdr>
        </w:div>
        <w:div w:id="1941332679">
          <w:marLeft w:val="0"/>
          <w:marRight w:val="0"/>
          <w:marTop w:val="0"/>
          <w:marBottom w:val="0"/>
          <w:divBdr>
            <w:top w:val="none" w:sz="0" w:space="0" w:color="auto"/>
            <w:left w:val="none" w:sz="0" w:space="0" w:color="auto"/>
            <w:bottom w:val="none" w:sz="0" w:space="0" w:color="auto"/>
            <w:right w:val="none" w:sz="0" w:space="0" w:color="auto"/>
          </w:divBdr>
        </w:div>
        <w:div w:id="2124420734">
          <w:marLeft w:val="0"/>
          <w:marRight w:val="0"/>
          <w:marTop w:val="0"/>
          <w:marBottom w:val="0"/>
          <w:divBdr>
            <w:top w:val="none" w:sz="0" w:space="0" w:color="auto"/>
            <w:left w:val="none" w:sz="0" w:space="0" w:color="auto"/>
            <w:bottom w:val="none" w:sz="0" w:space="0" w:color="auto"/>
            <w:right w:val="none" w:sz="0" w:space="0" w:color="auto"/>
          </w:divBdr>
        </w:div>
        <w:div w:id="1974173329">
          <w:marLeft w:val="0"/>
          <w:marRight w:val="0"/>
          <w:marTop w:val="0"/>
          <w:marBottom w:val="0"/>
          <w:divBdr>
            <w:top w:val="none" w:sz="0" w:space="0" w:color="auto"/>
            <w:left w:val="none" w:sz="0" w:space="0" w:color="auto"/>
            <w:bottom w:val="none" w:sz="0" w:space="0" w:color="auto"/>
            <w:right w:val="none" w:sz="0" w:space="0" w:color="auto"/>
          </w:divBdr>
        </w:div>
        <w:div w:id="587152317">
          <w:marLeft w:val="0"/>
          <w:marRight w:val="0"/>
          <w:marTop w:val="0"/>
          <w:marBottom w:val="0"/>
          <w:divBdr>
            <w:top w:val="none" w:sz="0" w:space="0" w:color="auto"/>
            <w:left w:val="none" w:sz="0" w:space="0" w:color="auto"/>
            <w:bottom w:val="none" w:sz="0" w:space="0" w:color="auto"/>
            <w:right w:val="none" w:sz="0" w:space="0" w:color="auto"/>
          </w:divBdr>
        </w:div>
        <w:div w:id="1435517692">
          <w:marLeft w:val="0"/>
          <w:marRight w:val="0"/>
          <w:marTop w:val="0"/>
          <w:marBottom w:val="0"/>
          <w:divBdr>
            <w:top w:val="none" w:sz="0" w:space="0" w:color="auto"/>
            <w:left w:val="none" w:sz="0" w:space="0" w:color="auto"/>
            <w:bottom w:val="none" w:sz="0" w:space="0" w:color="auto"/>
            <w:right w:val="none" w:sz="0" w:space="0" w:color="auto"/>
          </w:divBdr>
        </w:div>
        <w:div w:id="1506826835">
          <w:marLeft w:val="0"/>
          <w:marRight w:val="0"/>
          <w:marTop w:val="0"/>
          <w:marBottom w:val="0"/>
          <w:divBdr>
            <w:top w:val="none" w:sz="0" w:space="0" w:color="auto"/>
            <w:left w:val="none" w:sz="0" w:space="0" w:color="auto"/>
            <w:bottom w:val="none" w:sz="0" w:space="0" w:color="auto"/>
            <w:right w:val="none" w:sz="0" w:space="0" w:color="auto"/>
          </w:divBdr>
        </w:div>
        <w:div w:id="950817772">
          <w:marLeft w:val="0"/>
          <w:marRight w:val="0"/>
          <w:marTop w:val="0"/>
          <w:marBottom w:val="0"/>
          <w:divBdr>
            <w:top w:val="none" w:sz="0" w:space="0" w:color="auto"/>
            <w:left w:val="none" w:sz="0" w:space="0" w:color="auto"/>
            <w:bottom w:val="none" w:sz="0" w:space="0" w:color="auto"/>
            <w:right w:val="none" w:sz="0" w:space="0" w:color="auto"/>
          </w:divBdr>
        </w:div>
        <w:div w:id="665327105">
          <w:marLeft w:val="0"/>
          <w:marRight w:val="0"/>
          <w:marTop w:val="0"/>
          <w:marBottom w:val="0"/>
          <w:divBdr>
            <w:top w:val="none" w:sz="0" w:space="0" w:color="auto"/>
            <w:left w:val="none" w:sz="0" w:space="0" w:color="auto"/>
            <w:bottom w:val="none" w:sz="0" w:space="0" w:color="auto"/>
            <w:right w:val="none" w:sz="0" w:space="0" w:color="auto"/>
          </w:divBdr>
        </w:div>
        <w:div w:id="765418388">
          <w:marLeft w:val="0"/>
          <w:marRight w:val="0"/>
          <w:marTop w:val="0"/>
          <w:marBottom w:val="0"/>
          <w:divBdr>
            <w:top w:val="none" w:sz="0" w:space="0" w:color="auto"/>
            <w:left w:val="none" w:sz="0" w:space="0" w:color="auto"/>
            <w:bottom w:val="none" w:sz="0" w:space="0" w:color="auto"/>
            <w:right w:val="none" w:sz="0" w:space="0" w:color="auto"/>
          </w:divBdr>
        </w:div>
        <w:div w:id="1317102211">
          <w:marLeft w:val="0"/>
          <w:marRight w:val="0"/>
          <w:marTop w:val="0"/>
          <w:marBottom w:val="0"/>
          <w:divBdr>
            <w:top w:val="none" w:sz="0" w:space="0" w:color="auto"/>
            <w:left w:val="none" w:sz="0" w:space="0" w:color="auto"/>
            <w:bottom w:val="none" w:sz="0" w:space="0" w:color="auto"/>
            <w:right w:val="none" w:sz="0" w:space="0" w:color="auto"/>
          </w:divBdr>
        </w:div>
        <w:div w:id="1436831429">
          <w:marLeft w:val="0"/>
          <w:marRight w:val="0"/>
          <w:marTop w:val="0"/>
          <w:marBottom w:val="0"/>
          <w:divBdr>
            <w:top w:val="none" w:sz="0" w:space="0" w:color="auto"/>
            <w:left w:val="none" w:sz="0" w:space="0" w:color="auto"/>
            <w:bottom w:val="none" w:sz="0" w:space="0" w:color="auto"/>
            <w:right w:val="none" w:sz="0" w:space="0" w:color="auto"/>
          </w:divBdr>
        </w:div>
        <w:div w:id="4678374">
          <w:marLeft w:val="0"/>
          <w:marRight w:val="0"/>
          <w:marTop w:val="0"/>
          <w:marBottom w:val="0"/>
          <w:divBdr>
            <w:top w:val="none" w:sz="0" w:space="0" w:color="auto"/>
            <w:left w:val="none" w:sz="0" w:space="0" w:color="auto"/>
            <w:bottom w:val="none" w:sz="0" w:space="0" w:color="auto"/>
            <w:right w:val="none" w:sz="0" w:space="0" w:color="auto"/>
          </w:divBdr>
        </w:div>
        <w:div w:id="735014332">
          <w:marLeft w:val="0"/>
          <w:marRight w:val="0"/>
          <w:marTop w:val="0"/>
          <w:marBottom w:val="0"/>
          <w:divBdr>
            <w:top w:val="none" w:sz="0" w:space="0" w:color="auto"/>
            <w:left w:val="none" w:sz="0" w:space="0" w:color="auto"/>
            <w:bottom w:val="none" w:sz="0" w:space="0" w:color="auto"/>
            <w:right w:val="none" w:sz="0" w:space="0" w:color="auto"/>
          </w:divBdr>
        </w:div>
        <w:div w:id="2134900885">
          <w:marLeft w:val="0"/>
          <w:marRight w:val="0"/>
          <w:marTop w:val="0"/>
          <w:marBottom w:val="0"/>
          <w:divBdr>
            <w:top w:val="none" w:sz="0" w:space="0" w:color="auto"/>
            <w:left w:val="none" w:sz="0" w:space="0" w:color="auto"/>
            <w:bottom w:val="none" w:sz="0" w:space="0" w:color="auto"/>
            <w:right w:val="none" w:sz="0" w:space="0" w:color="auto"/>
          </w:divBdr>
        </w:div>
        <w:div w:id="1345087649">
          <w:marLeft w:val="0"/>
          <w:marRight w:val="0"/>
          <w:marTop w:val="0"/>
          <w:marBottom w:val="0"/>
          <w:divBdr>
            <w:top w:val="none" w:sz="0" w:space="0" w:color="auto"/>
            <w:left w:val="none" w:sz="0" w:space="0" w:color="auto"/>
            <w:bottom w:val="none" w:sz="0" w:space="0" w:color="auto"/>
            <w:right w:val="none" w:sz="0" w:space="0" w:color="auto"/>
          </w:divBdr>
        </w:div>
        <w:div w:id="298993286">
          <w:marLeft w:val="0"/>
          <w:marRight w:val="0"/>
          <w:marTop w:val="0"/>
          <w:marBottom w:val="0"/>
          <w:divBdr>
            <w:top w:val="none" w:sz="0" w:space="0" w:color="auto"/>
            <w:left w:val="none" w:sz="0" w:space="0" w:color="auto"/>
            <w:bottom w:val="none" w:sz="0" w:space="0" w:color="auto"/>
            <w:right w:val="none" w:sz="0" w:space="0" w:color="auto"/>
          </w:divBdr>
        </w:div>
        <w:div w:id="640816755">
          <w:marLeft w:val="0"/>
          <w:marRight w:val="0"/>
          <w:marTop w:val="0"/>
          <w:marBottom w:val="0"/>
          <w:divBdr>
            <w:top w:val="none" w:sz="0" w:space="0" w:color="auto"/>
            <w:left w:val="none" w:sz="0" w:space="0" w:color="auto"/>
            <w:bottom w:val="none" w:sz="0" w:space="0" w:color="auto"/>
            <w:right w:val="none" w:sz="0" w:space="0" w:color="auto"/>
          </w:divBdr>
        </w:div>
        <w:div w:id="1507331554">
          <w:marLeft w:val="0"/>
          <w:marRight w:val="0"/>
          <w:marTop w:val="0"/>
          <w:marBottom w:val="0"/>
          <w:divBdr>
            <w:top w:val="none" w:sz="0" w:space="0" w:color="auto"/>
            <w:left w:val="none" w:sz="0" w:space="0" w:color="auto"/>
            <w:bottom w:val="none" w:sz="0" w:space="0" w:color="auto"/>
            <w:right w:val="none" w:sz="0" w:space="0" w:color="auto"/>
          </w:divBdr>
        </w:div>
        <w:div w:id="332489138">
          <w:marLeft w:val="0"/>
          <w:marRight w:val="0"/>
          <w:marTop w:val="0"/>
          <w:marBottom w:val="0"/>
          <w:divBdr>
            <w:top w:val="none" w:sz="0" w:space="0" w:color="auto"/>
            <w:left w:val="none" w:sz="0" w:space="0" w:color="auto"/>
            <w:bottom w:val="none" w:sz="0" w:space="0" w:color="auto"/>
            <w:right w:val="none" w:sz="0" w:space="0" w:color="auto"/>
          </w:divBdr>
        </w:div>
        <w:div w:id="368842793">
          <w:marLeft w:val="0"/>
          <w:marRight w:val="0"/>
          <w:marTop w:val="0"/>
          <w:marBottom w:val="0"/>
          <w:divBdr>
            <w:top w:val="none" w:sz="0" w:space="0" w:color="auto"/>
            <w:left w:val="none" w:sz="0" w:space="0" w:color="auto"/>
            <w:bottom w:val="none" w:sz="0" w:space="0" w:color="auto"/>
            <w:right w:val="none" w:sz="0" w:space="0" w:color="auto"/>
          </w:divBdr>
        </w:div>
        <w:div w:id="2017077464">
          <w:marLeft w:val="0"/>
          <w:marRight w:val="0"/>
          <w:marTop w:val="0"/>
          <w:marBottom w:val="0"/>
          <w:divBdr>
            <w:top w:val="none" w:sz="0" w:space="0" w:color="auto"/>
            <w:left w:val="none" w:sz="0" w:space="0" w:color="auto"/>
            <w:bottom w:val="none" w:sz="0" w:space="0" w:color="auto"/>
            <w:right w:val="none" w:sz="0" w:space="0" w:color="auto"/>
          </w:divBdr>
        </w:div>
        <w:div w:id="105471619">
          <w:marLeft w:val="0"/>
          <w:marRight w:val="0"/>
          <w:marTop w:val="0"/>
          <w:marBottom w:val="0"/>
          <w:divBdr>
            <w:top w:val="none" w:sz="0" w:space="0" w:color="auto"/>
            <w:left w:val="none" w:sz="0" w:space="0" w:color="auto"/>
            <w:bottom w:val="none" w:sz="0" w:space="0" w:color="auto"/>
            <w:right w:val="none" w:sz="0" w:space="0" w:color="auto"/>
          </w:divBdr>
        </w:div>
        <w:div w:id="2128816089">
          <w:marLeft w:val="0"/>
          <w:marRight w:val="0"/>
          <w:marTop w:val="0"/>
          <w:marBottom w:val="0"/>
          <w:divBdr>
            <w:top w:val="none" w:sz="0" w:space="0" w:color="auto"/>
            <w:left w:val="none" w:sz="0" w:space="0" w:color="auto"/>
            <w:bottom w:val="none" w:sz="0" w:space="0" w:color="auto"/>
            <w:right w:val="none" w:sz="0" w:space="0" w:color="auto"/>
          </w:divBdr>
        </w:div>
        <w:div w:id="498621874">
          <w:marLeft w:val="0"/>
          <w:marRight w:val="0"/>
          <w:marTop w:val="0"/>
          <w:marBottom w:val="0"/>
          <w:divBdr>
            <w:top w:val="none" w:sz="0" w:space="0" w:color="auto"/>
            <w:left w:val="none" w:sz="0" w:space="0" w:color="auto"/>
            <w:bottom w:val="none" w:sz="0" w:space="0" w:color="auto"/>
            <w:right w:val="none" w:sz="0" w:space="0" w:color="auto"/>
          </w:divBdr>
        </w:div>
        <w:div w:id="404227934">
          <w:marLeft w:val="0"/>
          <w:marRight w:val="0"/>
          <w:marTop w:val="0"/>
          <w:marBottom w:val="0"/>
          <w:divBdr>
            <w:top w:val="none" w:sz="0" w:space="0" w:color="auto"/>
            <w:left w:val="none" w:sz="0" w:space="0" w:color="auto"/>
            <w:bottom w:val="none" w:sz="0" w:space="0" w:color="auto"/>
            <w:right w:val="none" w:sz="0" w:space="0" w:color="auto"/>
          </w:divBdr>
        </w:div>
        <w:div w:id="585923767">
          <w:marLeft w:val="0"/>
          <w:marRight w:val="0"/>
          <w:marTop w:val="0"/>
          <w:marBottom w:val="0"/>
          <w:divBdr>
            <w:top w:val="none" w:sz="0" w:space="0" w:color="auto"/>
            <w:left w:val="none" w:sz="0" w:space="0" w:color="auto"/>
            <w:bottom w:val="none" w:sz="0" w:space="0" w:color="auto"/>
            <w:right w:val="none" w:sz="0" w:space="0" w:color="auto"/>
          </w:divBdr>
        </w:div>
        <w:div w:id="821311168">
          <w:marLeft w:val="0"/>
          <w:marRight w:val="0"/>
          <w:marTop w:val="0"/>
          <w:marBottom w:val="0"/>
          <w:divBdr>
            <w:top w:val="none" w:sz="0" w:space="0" w:color="auto"/>
            <w:left w:val="none" w:sz="0" w:space="0" w:color="auto"/>
            <w:bottom w:val="none" w:sz="0" w:space="0" w:color="auto"/>
            <w:right w:val="none" w:sz="0" w:space="0" w:color="auto"/>
          </w:divBdr>
        </w:div>
        <w:div w:id="27339862">
          <w:marLeft w:val="0"/>
          <w:marRight w:val="0"/>
          <w:marTop w:val="0"/>
          <w:marBottom w:val="0"/>
          <w:divBdr>
            <w:top w:val="none" w:sz="0" w:space="0" w:color="auto"/>
            <w:left w:val="none" w:sz="0" w:space="0" w:color="auto"/>
            <w:bottom w:val="none" w:sz="0" w:space="0" w:color="auto"/>
            <w:right w:val="none" w:sz="0" w:space="0" w:color="auto"/>
          </w:divBdr>
        </w:div>
        <w:div w:id="1875730355">
          <w:marLeft w:val="0"/>
          <w:marRight w:val="0"/>
          <w:marTop w:val="0"/>
          <w:marBottom w:val="0"/>
          <w:divBdr>
            <w:top w:val="none" w:sz="0" w:space="0" w:color="auto"/>
            <w:left w:val="none" w:sz="0" w:space="0" w:color="auto"/>
            <w:bottom w:val="none" w:sz="0" w:space="0" w:color="auto"/>
            <w:right w:val="none" w:sz="0" w:space="0" w:color="auto"/>
          </w:divBdr>
        </w:div>
        <w:div w:id="61023953">
          <w:marLeft w:val="0"/>
          <w:marRight w:val="0"/>
          <w:marTop w:val="0"/>
          <w:marBottom w:val="0"/>
          <w:divBdr>
            <w:top w:val="none" w:sz="0" w:space="0" w:color="auto"/>
            <w:left w:val="none" w:sz="0" w:space="0" w:color="auto"/>
            <w:bottom w:val="none" w:sz="0" w:space="0" w:color="auto"/>
            <w:right w:val="none" w:sz="0" w:space="0" w:color="auto"/>
          </w:divBdr>
        </w:div>
        <w:div w:id="873230304">
          <w:marLeft w:val="0"/>
          <w:marRight w:val="0"/>
          <w:marTop w:val="0"/>
          <w:marBottom w:val="0"/>
          <w:divBdr>
            <w:top w:val="none" w:sz="0" w:space="0" w:color="auto"/>
            <w:left w:val="none" w:sz="0" w:space="0" w:color="auto"/>
            <w:bottom w:val="none" w:sz="0" w:space="0" w:color="auto"/>
            <w:right w:val="none" w:sz="0" w:space="0" w:color="auto"/>
          </w:divBdr>
        </w:div>
        <w:div w:id="239993854">
          <w:marLeft w:val="0"/>
          <w:marRight w:val="0"/>
          <w:marTop w:val="0"/>
          <w:marBottom w:val="0"/>
          <w:divBdr>
            <w:top w:val="none" w:sz="0" w:space="0" w:color="auto"/>
            <w:left w:val="none" w:sz="0" w:space="0" w:color="auto"/>
            <w:bottom w:val="none" w:sz="0" w:space="0" w:color="auto"/>
            <w:right w:val="none" w:sz="0" w:space="0" w:color="auto"/>
          </w:divBdr>
        </w:div>
        <w:div w:id="1106342863">
          <w:marLeft w:val="0"/>
          <w:marRight w:val="0"/>
          <w:marTop w:val="0"/>
          <w:marBottom w:val="0"/>
          <w:divBdr>
            <w:top w:val="none" w:sz="0" w:space="0" w:color="auto"/>
            <w:left w:val="none" w:sz="0" w:space="0" w:color="auto"/>
            <w:bottom w:val="none" w:sz="0" w:space="0" w:color="auto"/>
            <w:right w:val="none" w:sz="0" w:space="0" w:color="auto"/>
          </w:divBdr>
        </w:div>
        <w:div w:id="84349333">
          <w:marLeft w:val="0"/>
          <w:marRight w:val="0"/>
          <w:marTop w:val="0"/>
          <w:marBottom w:val="0"/>
          <w:divBdr>
            <w:top w:val="none" w:sz="0" w:space="0" w:color="auto"/>
            <w:left w:val="none" w:sz="0" w:space="0" w:color="auto"/>
            <w:bottom w:val="none" w:sz="0" w:space="0" w:color="auto"/>
            <w:right w:val="none" w:sz="0" w:space="0" w:color="auto"/>
          </w:divBdr>
        </w:div>
        <w:div w:id="55325690">
          <w:marLeft w:val="0"/>
          <w:marRight w:val="0"/>
          <w:marTop w:val="0"/>
          <w:marBottom w:val="0"/>
          <w:divBdr>
            <w:top w:val="none" w:sz="0" w:space="0" w:color="auto"/>
            <w:left w:val="none" w:sz="0" w:space="0" w:color="auto"/>
            <w:bottom w:val="none" w:sz="0" w:space="0" w:color="auto"/>
            <w:right w:val="none" w:sz="0" w:space="0" w:color="auto"/>
          </w:divBdr>
        </w:div>
        <w:div w:id="233245481">
          <w:marLeft w:val="0"/>
          <w:marRight w:val="0"/>
          <w:marTop w:val="0"/>
          <w:marBottom w:val="0"/>
          <w:divBdr>
            <w:top w:val="none" w:sz="0" w:space="0" w:color="auto"/>
            <w:left w:val="none" w:sz="0" w:space="0" w:color="auto"/>
            <w:bottom w:val="none" w:sz="0" w:space="0" w:color="auto"/>
            <w:right w:val="none" w:sz="0" w:space="0" w:color="auto"/>
          </w:divBdr>
        </w:div>
        <w:div w:id="920338590">
          <w:marLeft w:val="0"/>
          <w:marRight w:val="0"/>
          <w:marTop w:val="0"/>
          <w:marBottom w:val="0"/>
          <w:divBdr>
            <w:top w:val="none" w:sz="0" w:space="0" w:color="auto"/>
            <w:left w:val="none" w:sz="0" w:space="0" w:color="auto"/>
            <w:bottom w:val="none" w:sz="0" w:space="0" w:color="auto"/>
            <w:right w:val="none" w:sz="0" w:space="0" w:color="auto"/>
          </w:divBdr>
        </w:div>
        <w:div w:id="282886060">
          <w:marLeft w:val="0"/>
          <w:marRight w:val="0"/>
          <w:marTop w:val="0"/>
          <w:marBottom w:val="0"/>
          <w:divBdr>
            <w:top w:val="none" w:sz="0" w:space="0" w:color="auto"/>
            <w:left w:val="none" w:sz="0" w:space="0" w:color="auto"/>
            <w:bottom w:val="none" w:sz="0" w:space="0" w:color="auto"/>
            <w:right w:val="none" w:sz="0" w:space="0" w:color="auto"/>
          </w:divBdr>
        </w:div>
        <w:div w:id="400253862">
          <w:marLeft w:val="0"/>
          <w:marRight w:val="0"/>
          <w:marTop w:val="0"/>
          <w:marBottom w:val="0"/>
          <w:divBdr>
            <w:top w:val="none" w:sz="0" w:space="0" w:color="auto"/>
            <w:left w:val="none" w:sz="0" w:space="0" w:color="auto"/>
            <w:bottom w:val="none" w:sz="0" w:space="0" w:color="auto"/>
            <w:right w:val="none" w:sz="0" w:space="0" w:color="auto"/>
          </w:divBdr>
        </w:div>
        <w:div w:id="143551978">
          <w:marLeft w:val="0"/>
          <w:marRight w:val="0"/>
          <w:marTop w:val="0"/>
          <w:marBottom w:val="0"/>
          <w:divBdr>
            <w:top w:val="none" w:sz="0" w:space="0" w:color="auto"/>
            <w:left w:val="none" w:sz="0" w:space="0" w:color="auto"/>
            <w:bottom w:val="none" w:sz="0" w:space="0" w:color="auto"/>
            <w:right w:val="none" w:sz="0" w:space="0" w:color="auto"/>
          </w:divBdr>
        </w:div>
        <w:div w:id="1364089068">
          <w:marLeft w:val="0"/>
          <w:marRight w:val="0"/>
          <w:marTop w:val="0"/>
          <w:marBottom w:val="0"/>
          <w:divBdr>
            <w:top w:val="none" w:sz="0" w:space="0" w:color="auto"/>
            <w:left w:val="none" w:sz="0" w:space="0" w:color="auto"/>
            <w:bottom w:val="none" w:sz="0" w:space="0" w:color="auto"/>
            <w:right w:val="none" w:sz="0" w:space="0" w:color="auto"/>
          </w:divBdr>
        </w:div>
        <w:div w:id="1910655288">
          <w:marLeft w:val="0"/>
          <w:marRight w:val="0"/>
          <w:marTop w:val="0"/>
          <w:marBottom w:val="0"/>
          <w:divBdr>
            <w:top w:val="none" w:sz="0" w:space="0" w:color="auto"/>
            <w:left w:val="none" w:sz="0" w:space="0" w:color="auto"/>
            <w:bottom w:val="none" w:sz="0" w:space="0" w:color="auto"/>
            <w:right w:val="none" w:sz="0" w:space="0" w:color="auto"/>
          </w:divBdr>
        </w:div>
        <w:div w:id="212618241">
          <w:marLeft w:val="0"/>
          <w:marRight w:val="0"/>
          <w:marTop w:val="0"/>
          <w:marBottom w:val="0"/>
          <w:divBdr>
            <w:top w:val="none" w:sz="0" w:space="0" w:color="auto"/>
            <w:left w:val="none" w:sz="0" w:space="0" w:color="auto"/>
            <w:bottom w:val="none" w:sz="0" w:space="0" w:color="auto"/>
            <w:right w:val="none" w:sz="0" w:space="0" w:color="auto"/>
          </w:divBdr>
        </w:div>
        <w:div w:id="1456437514">
          <w:marLeft w:val="0"/>
          <w:marRight w:val="0"/>
          <w:marTop w:val="0"/>
          <w:marBottom w:val="0"/>
          <w:divBdr>
            <w:top w:val="none" w:sz="0" w:space="0" w:color="auto"/>
            <w:left w:val="none" w:sz="0" w:space="0" w:color="auto"/>
            <w:bottom w:val="none" w:sz="0" w:space="0" w:color="auto"/>
            <w:right w:val="none" w:sz="0" w:space="0" w:color="auto"/>
          </w:divBdr>
        </w:div>
        <w:div w:id="305428858">
          <w:marLeft w:val="0"/>
          <w:marRight w:val="0"/>
          <w:marTop w:val="0"/>
          <w:marBottom w:val="0"/>
          <w:divBdr>
            <w:top w:val="none" w:sz="0" w:space="0" w:color="auto"/>
            <w:left w:val="none" w:sz="0" w:space="0" w:color="auto"/>
            <w:bottom w:val="none" w:sz="0" w:space="0" w:color="auto"/>
            <w:right w:val="none" w:sz="0" w:space="0" w:color="auto"/>
          </w:divBdr>
        </w:div>
        <w:div w:id="1911888585">
          <w:marLeft w:val="0"/>
          <w:marRight w:val="0"/>
          <w:marTop w:val="0"/>
          <w:marBottom w:val="0"/>
          <w:divBdr>
            <w:top w:val="none" w:sz="0" w:space="0" w:color="auto"/>
            <w:left w:val="none" w:sz="0" w:space="0" w:color="auto"/>
            <w:bottom w:val="none" w:sz="0" w:space="0" w:color="auto"/>
            <w:right w:val="none" w:sz="0" w:space="0" w:color="auto"/>
          </w:divBdr>
        </w:div>
        <w:div w:id="437717029">
          <w:marLeft w:val="0"/>
          <w:marRight w:val="0"/>
          <w:marTop w:val="0"/>
          <w:marBottom w:val="0"/>
          <w:divBdr>
            <w:top w:val="none" w:sz="0" w:space="0" w:color="auto"/>
            <w:left w:val="none" w:sz="0" w:space="0" w:color="auto"/>
            <w:bottom w:val="none" w:sz="0" w:space="0" w:color="auto"/>
            <w:right w:val="none" w:sz="0" w:space="0" w:color="auto"/>
          </w:divBdr>
        </w:div>
        <w:div w:id="2053459136">
          <w:marLeft w:val="0"/>
          <w:marRight w:val="0"/>
          <w:marTop w:val="0"/>
          <w:marBottom w:val="0"/>
          <w:divBdr>
            <w:top w:val="none" w:sz="0" w:space="0" w:color="auto"/>
            <w:left w:val="none" w:sz="0" w:space="0" w:color="auto"/>
            <w:bottom w:val="none" w:sz="0" w:space="0" w:color="auto"/>
            <w:right w:val="none" w:sz="0" w:space="0" w:color="auto"/>
          </w:divBdr>
        </w:div>
        <w:div w:id="180551694">
          <w:marLeft w:val="0"/>
          <w:marRight w:val="0"/>
          <w:marTop w:val="0"/>
          <w:marBottom w:val="0"/>
          <w:divBdr>
            <w:top w:val="none" w:sz="0" w:space="0" w:color="auto"/>
            <w:left w:val="none" w:sz="0" w:space="0" w:color="auto"/>
            <w:bottom w:val="none" w:sz="0" w:space="0" w:color="auto"/>
            <w:right w:val="none" w:sz="0" w:space="0" w:color="auto"/>
          </w:divBdr>
        </w:div>
        <w:div w:id="519667104">
          <w:marLeft w:val="0"/>
          <w:marRight w:val="0"/>
          <w:marTop w:val="0"/>
          <w:marBottom w:val="0"/>
          <w:divBdr>
            <w:top w:val="none" w:sz="0" w:space="0" w:color="auto"/>
            <w:left w:val="none" w:sz="0" w:space="0" w:color="auto"/>
            <w:bottom w:val="none" w:sz="0" w:space="0" w:color="auto"/>
            <w:right w:val="none" w:sz="0" w:space="0" w:color="auto"/>
          </w:divBdr>
        </w:div>
        <w:div w:id="497497009">
          <w:marLeft w:val="0"/>
          <w:marRight w:val="0"/>
          <w:marTop w:val="0"/>
          <w:marBottom w:val="0"/>
          <w:divBdr>
            <w:top w:val="none" w:sz="0" w:space="0" w:color="auto"/>
            <w:left w:val="none" w:sz="0" w:space="0" w:color="auto"/>
            <w:bottom w:val="none" w:sz="0" w:space="0" w:color="auto"/>
            <w:right w:val="none" w:sz="0" w:space="0" w:color="auto"/>
          </w:divBdr>
        </w:div>
        <w:div w:id="605693308">
          <w:marLeft w:val="0"/>
          <w:marRight w:val="0"/>
          <w:marTop w:val="0"/>
          <w:marBottom w:val="0"/>
          <w:divBdr>
            <w:top w:val="none" w:sz="0" w:space="0" w:color="auto"/>
            <w:left w:val="none" w:sz="0" w:space="0" w:color="auto"/>
            <w:bottom w:val="none" w:sz="0" w:space="0" w:color="auto"/>
            <w:right w:val="none" w:sz="0" w:space="0" w:color="auto"/>
          </w:divBdr>
        </w:div>
        <w:div w:id="302008589">
          <w:marLeft w:val="0"/>
          <w:marRight w:val="0"/>
          <w:marTop w:val="0"/>
          <w:marBottom w:val="0"/>
          <w:divBdr>
            <w:top w:val="none" w:sz="0" w:space="0" w:color="auto"/>
            <w:left w:val="none" w:sz="0" w:space="0" w:color="auto"/>
            <w:bottom w:val="none" w:sz="0" w:space="0" w:color="auto"/>
            <w:right w:val="none" w:sz="0" w:space="0" w:color="auto"/>
          </w:divBdr>
        </w:div>
        <w:div w:id="51195951">
          <w:marLeft w:val="0"/>
          <w:marRight w:val="0"/>
          <w:marTop w:val="0"/>
          <w:marBottom w:val="0"/>
          <w:divBdr>
            <w:top w:val="none" w:sz="0" w:space="0" w:color="auto"/>
            <w:left w:val="none" w:sz="0" w:space="0" w:color="auto"/>
            <w:bottom w:val="none" w:sz="0" w:space="0" w:color="auto"/>
            <w:right w:val="none" w:sz="0" w:space="0" w:color="auto"/>
          </w:divBdr>
        </w:div>
        <w:div w:id="117451835">
          <w:marLeft w:val="0"/>
          <w:marRight w:val="0"/>
          <w:marTop w:val="0"/>
          <w:marBottom w:val="0"/>
          <w:divBdr>
            <w:top w:val="none" w:sz="0" w:space="0" w:color="auto"/>
            <w:left w:val="none" w:sz="0" w:space="0" w:color="auto"/>
            <w:bottom w:val="none" w:sz="0" w:space="0" w:color="auto"/>
            <w:right w:val="none" w:sz="0" w:space="0" w:color="auto"/>
          </w:divBdr>
        </w:div>
        <w:div w:id="1598446254">
          <w:marLeft w:val="0"/>
          <w:marRight w:val="0"/>
          <w:marTop w:val="0"/>
          <w:marBottom w:val="0"/>
          <w:divBdr>
            <w:top w:val="none" w:sz="0" w:space="0" w:color="auto"/>
            <w:left w:val="none" w:sz="0" w:space="0" w:color="auto"/>
            <w:bottom w:val="none" w:sz="0" w:space="0" w:color="auto"/>
            <w:right w:val="none" w:sz="0" w:space="0" w:color="auto"/>
          </w:divBdr>
        </w:div>
        <w:div w:id="1483228207">
          <w:marLeft w:val="0"/>
          <w:marRight w:val="0"/>
          <w:marTop w:val="0"/>
          <w:marBottom w:val="0"/>
          <w:divBdr>
            <w:top w:val="none" w:sz="0" w:space="0" w:color="auto"/>
            <w:left w:val="none" w:sz="0" w:space="0" w:color="auto"/>
            <w:bottom w:val="none" w:sz="0" w:space="0" w:color="auto"/>
            <w:right w:val="none" w:sz="0" w:space="0" w:color="auto"/>
          </w:divBdr>
        </w:div>
        <w:div w:id="1582061985">
          <w:marLeft w:val="0"/>
          <w:marRight w:val="0"/>
          <w:marTop w:val="0"/>
          <w:marBottom w:val="0"/>
          <w:divBdr>
            <w:top w:val="none" w:sz="0" w:space="0" w:color="auto"/>
            <w:left w:val="none" w:sz="0" w:space="0" w:color="auto"/>
            <w:bottom w:val="none" w:sz="0" w:space="0" w:color="auto"/>
            <w:right w:val="none" w:sz="0" w:space="0" w:color="auto"/>
          </w:divBdr>
        </w:div>
        <w:div w:id="513495731">
          <w:marLeft w:val="0"/>
          <w:marRight w:val="0"/>
          <w:marTop w:val="0"/>
          <w:marBottom w:val="0"/>
          <w:divBdr>
            <w:top w:val="none" w:sz="0" w:space="0" w:color="auto"/>
            <w:left w:val="none" w:sz="0" w:space="0" w:color="auto"/>
            <w:bottom w:val="none" w:sz="0" w:space="0" w:color="auto"/>
            <w:right w:val="none" w:sz="0" w:space="0" w:color="auto"/>
          </w:divBdr>
        </w:div>
        <w:div w:id="1264917326">
          <w:marLeft w:val="0"/>
          <w:marRight w:val="0"/>
          <w:marTop w:val="0"/>
          <w:marBottom w:val="0"/>
          <w:divBdr>
            <w:top w:val="none" w:sz="0" w:space="0" w:color="auto"/>
            <w:left w:val="none" w:sz="0" w:space="0" w:color="auto"/>
            <w:bottom w:val="none" w:sz="0" w:space="0" w:color="auto"/>
            <w:right w:val="none" w:sz="0" w:space="0" w:color="auto"/>
          </w:divBdr>
        </w:div>
        <w:div w:id="565606866">
          <w:marLeft w:val="0"/>
          <w:marRight w:val="0"/>
          <w:marTop w:val="0"/>
          <w:marBottom w:val="0"/>
          <w:divBdr>
            <w:top w:val="none" w:sz="0" w:space="0" w:color="auto"/>
            <w:left w:val="none" w:sz="0" w:space="0" w:color="auto"/>
            <w:bottom w:val="none" w:sz="0" w:space="0" w:color="auto"/>
            <w:right w:val="none" w:sz="0" w:space="0" w:color="auto"/>
          </w:divBdr>
        </w:div>
        <w:div w:id="704602856">
          <w:marLeft w:val="0"/>
          <w:marRight w:val="0"/>
          <w:marTop w:val="0"/>
          <w:marBottom w:val="0"/>
          <w:divBdr>
            <w:top w:val="none" w:sz="0" w:space="0" w:color="auto"/>
            <w:left w:val="none" w:sz="0" w:space="0" w:color="auto"/>
            <w:bottom w:val="none" w:sz="0" w:space="0" w:color="auto"/>
            <w:right w:val="none" w:sz="0" w:space="0" w:color="auto"/>
          </w:divBdr>
        </w:div>
        <w:div w:id="2002153564">
          <w:marLeft w:val="0"/>
          <w:marRight w:val="0"/>
          <w:marTop w:val="0"/>
          <w:marBottom w:val="0"/>
          <w:divBdr>
            <w:top w:val="none" w:sz="0" w:space="0" w:color="auto"/>
            <w:left w:val="none" w:sz="0" w:space="0" w:color="auto"/>
            <w:bottom w:val="none" w:sz="0" w:space="0" w:color="auto"/>
            <w:right w:val="none" w:sz="0" w:space="0" w:color="auto"/>
          </w:divBdr>
        </w:div>
        <w:div w:id="822235270">
          <w:marLeft w:val="0"/>
          <w:marRight w:val="0"/>
          <w:marTop w:val="0"/>
          <w:marBottom w:val="0"/>
          <w:divBdr>
            <w:top w:val="none" w:sz="0" w:space="0" w:color="auto"/>
            <w:left w:val="none" w:sz="0" w:space="0" w:color="auto"/>
            <w:bottom w:val="none" w:sz="0" w:space="0" w:color="auto"/>
            <w:right w:val="none" w:sz="0" w:space="0" w:color="auto"/>
          </w:divBdr>
        </w:div>
        <w:div w:id="1210147997">
          <w:marLeft w:val="0"/>
          <w:marRight w:val="0"/>
          <w:marTop w:val="0"/>
          <w:marBottom w:val="0"/>
          <w:divBdr>
            <w:top w:val="none" w:sz="0" w:space="0" w:color="auto"/>
            <w:left w:val="none" w:sz="0" w:space="0" w:color="auto"/>
            <w:bottom w:val="none" w:sz="0" w:space="0" w:color="auto"/>
            <w:right w:val="none" w:sz="0" w:space="0" w:color="auto"/>
          </w:divBdr>
        </w:div>
        <w:div w:id="1953780390">
          <w:marLeft w:val="0"/>
          <w:marRight w:val="0"/>
          <w:marTop w:val="0"/>
          <w:marBottom w:val="0"/>
          <w:divBdr>
            <w:top w:val="none" w:sz="0" w:space="0" w:color="auto"/>
            <w:left w:val="none" w:sz="0" w:space="0" w:color="auto"/>
            <w:bottom w:val="none" w:sz="0" w:space="0" w:color="auto"/>
            <w:right w:val="none" w:sz="0" w:space="0" w:color="auto"/>
          </w:divBdr>
        </w:div>
        <w:div w:id="1149904473">
          <w:marLeft w:val="0"/>
          <w:marRight w:val="0"/>
          <w:marTop w:val="0"/>
          <w:marBottom w:val="0"/>
          <w:divBdr>
            <w:top w:val="none" w:sz="0" w:space="0" w:color="auto"/>
            <w:left w:val="none" w:sz="0" w:space="0" w:color="auto"/>
            <w:bottom w:val="none" w:sz="0" w:space="0" w:color="auto"/>
            <w:right w:val="none" w:sz="0" w:space="0" w:color="auto"/>
          </w:divBdr>
        </w:div>
        <w:div w:id="1220286157">
          <w:marLeft w:val="0"/>
          <w:marRight w:val="0"/>
          <w:marTop w:val="0"/>
          <w:marBottom w:val="0"/>
          <w:divBdr>
            <w:top w:val="none" w:sz="0" w:space="0" w:color="auto"/>
            <w:left w:val="none" w:sz="0" w:space="0" w:color="auto"/>
            <w:bottom w:val="none" w:sz="0" w:space="0" w:color="auto"/>
            <w:right w:val="none" w:sz="0" w:space="0" w:color="auto"/>
          </w:divBdr>
        </w:div>
        <w:div w:id="920456307">
          <w:marLeft w:val="0"/>
          <w:marRight w:val="0"/>
          <w:marTop w:val="0"/>
          <w:marBottom w:val="0"/>
          <w:divBdr>
            <w:top w:val="none" w:sz="0" w:space="0" w:color="auto"/>
            <w:left w:val="none" w:sz="0" w:space="0" w:color="auto"/>
            <w:bottom w:val="none" w:sz="0" w:space="0" w:color="auto"/>
            <w:right w:val="none" w:sz="0" w:space="0" w:color="auto"/>
          </w:divBdr>
        </w:div>
        <w:div w:id="461004707">
          <w:marLeft w:val="0"/>
          <w:marRight w:val="0"/>
          <w:marTop w:val="0"/>
          <w:marBottom w:val="0"/>
          <w:divBdr>
            <w:top w:val="none" w:sz="0" w:space="0" w:color="auto"/>
            <w:left w:val="none" w:sz="0" w:space="0" w:color="auto"/>
            <w:bottom w:val="none" w:sz="0" w:space="0" w:color="auto"/>
            <w:right w:val="none" w:sz="0" w:space="0" w:color="auto"/>
          </w:divBdr>
        </w:div>
        <w:div w:id="559899718">
          <w:marLeft w:val="0"/>
          <w:marRight w:val="0"/>
          <w:marTop w:val="0"/>
          <w:marBottom w:val="0"/>
          <w:divBdr>
            <w:top w:val="none" w:sz="0" w:space="0" w:color="auto"/>
            <w:left w:val="none" w:sz="0" w:space="0" w:color="auto"/>
            <w:bottom w:val="none" w:sz="0" w:space="0" w:color="auto"/>
            <w:right w:val="none" w:sz="0" w:space="0" w:color="auto"/>
          </w:divBdr>
        </w:div>
        <w:div w:id="1979843426">
          <w:marLeft w:val="0"/>
          <w:marRight w:val="0"/>
          <w:marTop w:val="0"/>
          <w:marBottom w:val="0"/>
          <w:divBdr>
            <w:top w:val="none" w:sz="0" w:space="0" w:color="auto"/>
            <w:left w:val="none" w:sz="0" w:space="0" w:color="auto"/>
            <w:bottom w:val="none" w:sz="0" w:space="0" w:color="auto"/>
            <w:right w:val="none" w:sz="0" w:space="0" w:color="auto"/>
          </w:divBdr>
        </w:div>
        <w:div w:id="1405755873">
          <w:marLeft w:val="0"/>
          <w:marRight w:val="0"/>
          <w:marTop w:val="0"/>
          <w:marBottom w:val="0"/>
          <w:divBdr>
            <w:top w:val="none" w:sz="0" w:space="0" w:color="auto"/>
            <w:left w:val="none" w:sz="0" w:space="0" w:color="auto"/>
            <w:bottom w:val="none" w:sz="0" w:space="0" w:color="auto"/>
            <w:right w:val="none" w:sz="0" w:space="0" w:color="auto"/>
          </w:divBdr>
        </w:div>
        <w:div w:id="1486894963">
          <w:marLeft w:val="0"/>
          <w:marRight w:val="0"/>
          <w:marTop w:val="0"/>
          <w:marBottom w:val="0"/>
          <w:divBdr>
            <w:top w:val="none" w:sz="0" w:space="0" w:color="auto"/>
            <w:left w:val="none" w:sz="0" w:space="0" w:color="auto"/>
            <w:bottom w:val="none" w:sz="0" w:space="0" w:color="auto"/>
            <w:right w:val="none" w:sz="0" w:space="0" w:color="auto"/>
          </w:divBdr>
        </w:div>
        <w:div w:id="627861154">
          <w:marLeft w:val="0"/>
          <w:marRight w:val="0"/>
          <w:marTop w:val="0"/>
          <w:marBottom w:val="0"/>
          <w:divBdr>
            <w:top w:val="none" w:sz="0" w:space="0" w:color="auto"/>
            <w:left w:val="none" w:sz="0" w:space="0" w:color="auto"/>
            <w:bottom w:val="none" w:sz="0" w:space="0" w:color="auto"/>
            <w:right w:val="none" w:sz="0" w:space="0" w:color="auto"/>
          </w:divBdr>
        </w:div>
        <w:div w:id="2080901089">
          <w:marLeft w:val="0"/>
          <w:marRight w:val="0"/>
          <w:marTop w:val="0"/>
          <w:marBottom w:val="0"/>
          <w:divBdr>
            <w:top w:val="none" w:sz="0" w:space="0" w:color="auto"/>
            <w:left w:val="none" w:sz="0" w:space="0" w:color="auto"/>
            <w:bottom w:val="none" w:sz="0" w:space="0" w:color="auto"/>
            <w:right w:val="none" w:sz="0" w:space="0" w:color="auto"/>
          </w:divBdr>
        </w:div>
        <w:div w:id="1223637569">
          <w:marLeft w:val="0"/>
          <w:marRight w:val="0"/>
          <w:marTop w:val="0"/>
          <w:marBottom w:val="0"/>
          <w:divBdr>
            <w:top w:val="none" w:sz="0" w:space="0" w:color="auto"/>
            <w:left w:val="none" w:sz="0" w:space="0" w:color="auto"/>
            <w:bottom w:val="none" w:sz="0" w:space="0" w:color="auto"/>
            <w:right w:val="none" w:sz="0" w:space="0" w:color="auto"/>
          </w:divBdr>
        </w:div>
        <w:div w:id="1612592570">
          <w:marLeft w:val="0"/>
          <w:marRight w:val="0"/>
          <w:marTop w:val="0"/>
          <w:marBottom w:val="0"/>
          <w:divBdr>
            <w:top w:val="none" w:sz="0" w:space="0" w:color="auto"/>
            <w:left w:val="none" w:sz="0" w:space="0" w:color="auto"/>
            <w:bottom w:val="none" w:sz="0" w:space="0" w:color="auto"/>
            <w:right w:val="none" w:sz="0" w:space="0" w:color="auto"/>
          </w:divBdr>
        </w:div>
        <w:div w:id="749809832">
          <w:marLeft w:val="0"/>
          <w:marRight w:val="0"/>
          <w:marTop w:val="0"/>
          <w:marBottom w:val="0"/>
          <w:divBdr>
            <w:top w:val="none" w:sz="0" w:space="0" w:color="auto"/>
            <w:left w:val="none" w:sz="0" w:space="0" w:color="auto"/>
            <w:bottom w:val="none" w:sz="0" w:space="0" w:color="auto"/>
            <w:right w:val="none" w:sz="0" w:space="0" w:color="auto"/>
          </w:divBdr>
        </w:div>
        <w:div w:id="778990953">
          <w:marLeft w:val="0"/>
          <w:marRight w:val="0"/>
          <w:marTop w:val="0"/>
          <w:marBottom w:val="0"/>
          <w:divBdr>
            <w:top w:val="none" w:sz="0" w:space="0" w:color="auto"/>
            <w:left w:val="none" w:sz="0" w:space="0" w:color="auto"/>
            <w:bottom w:val="none" w:sz="0" w:space="0" w:color="auto"/>
            <w:right w:val="none" w:sz="0" w:space="0" w:color="auto"/>
          </w:divBdr>
        </w:div>
        <w:div w:id="1949197906">
          <w:marLeft w:val="0"/>
          <w:marRight w:val="0"/>
          <w:marTop w:val="0"/>
          <w:marBottom w:val="0"/>
          <w:divBdr>
            <w:top w:val="none" w:sz="0" w:space="0" w:color="auto"/>
            <w:left w:val="none" w:sz="0" w:space="0" w:color="auto"/>
            <w:bottom w:val="none" w:sz="0" w:space="0" w:color="auto"/>
            <w:right w:val="none" w:sz="0" w:space="0" w:color="auto"/>
          </w:divBdr>
        </w:div>
        <w:div w:id="2144299866">
          <w:marLeft w:val="0"/>
          <w:marRight w:val="0"/>
          <w:marTop w:val="0"/>
          <w:marBottom w:val="0"/>
          <w:divBdr>
            <w:top w:val="none" w:sz="0" w:space="0" w:color="auto"/>
            <w:left w:val="none" w:sz="0" w:space="0" w:color="auto"/>
            <w:bottom w:val="none" w:sz="0" w:space="0" w:color="auto"/>
            <w:right w:val="none" w:sz="0" w:space="0" w:color="auto"/>
          </w:divBdr>
        </w:div>
        <w:div w:id="8336806">
          <w:marLeft w:val="0"/>
          <w:marRight w:val="0"/>
          <w:marTop w:val="0"/>
          <w:marBottom w:val="0"/>
          <w:divBdr>
            <w:top w:val="none" w:sz="0" w:space="0" w:color="auto"/>
            <w:left w:val="none" w:sz="0" w:space="0" w:color="auto"/>
            <w:bottom w:val="none" w:sz="0" w:space="0" w:color="auto"/>
            <w:right w:val="none" w:sz="0" w:space="0" w:color="auto"/>
          </w:divBdr>
        </w:div>
        <w:div w:id="1140152252">
          <w:marLeft w:val="0"/>
          <w:marRight w:val="0"/>
          <w:marTop w:val="0"/>
          <w:marBottom w:val="0"/>
          <w:divBdr>
            <w:top w:val="none" w:sz="0" w:space="0" w:color="auto"/>
            <w:left w:val="none" w:sz="0" w:space="0" w:color="auto"/>
            <w:bottom w:val="none" w:sz="0" w:space="0" w:color="auto"/>
            <w:right w:val="none" w:sz="0" w:space="0" w:color="auto"/>
          </w:divBdr>
        </w:div>
        <w:div w:id="1904556370">
          <w:marLeft w:val="0"/>
          <w:marRight w:val="0"/>
          <w:marTop w:val="0"/>
          <w:marBottom w:val="0"/>
          <w:divBdr>
            <w:top w:val="none" w:sz="0" w:space="0" w:color="auto"/>
            <w:left w:val="none" w:sz="0" w:space="0" w:color="auto"/>
            <w:bottom w:val="none" w:sz="0" w:space="0" w:color="auto"/>
            <w:right w:val="none" w:sz="0" w:space="0" w:color="auto"/>
          </w:divBdr>
        </w:div>
        <w:div w:id="449280950">
          <w:marLeft w:val="0"/>
          <w:marRight w:val="0"/>
          <w:marTop w:val="0"/>
          <w:marBottom w:val="0"/>
          <w:divBdr>
            <w:top w:val="none" w:sz="0" w:space="0" w:color="auto"/>
            <w:left w:val="none" w:sz="0" w:space="0" w:color="auto"/>
            <w:bottom w:val="none" w:sz="0" w:space="0" w:color="auto"/>
            <w:right w:val="none" w:sz="0" w:space="0" w:color="auto"/>
          </w:divBdr>
        </w:div>
        <w:div w:id="655913738">
          <w:marLeft w:val="0"/>
          <w:marRight w:val="0"/>
          <w:marTop w:val="0"/>
          <w:marBottom w:val="0"/>
          <w:divBdr>
            <w:top w:val="none" w:sz="0" w:space="0" w:color="auto"/>
            <w:left w:val="none" w:sz="0" w:space="0" w:color="auto"/>
            <w:bottom w:val="none" w:sz="0" w:space="0" w:color="auto"/>
            <w:right w:val="none" w:sz="0" w:space="0" w:color="auto"/>
          </w:divBdr>
        </w:div>
        <w:div w:id="1693335785">
          <w:marLeft w:val="0"/>
          <w:marRight w:val="0"/>
          <w:marTop w:val="0"/>
          <w:marBottom w:val="0"/>
          <w:divBdr>
            <w:top w:val="none" w:sz="0" w:space="0" w:color="auto"/>
            <w:left w:val="none" w:sz="0" w:space="0" w:color="auto"/>
            <w:bottom w:val="none" w:sz="0" w:space="0" w:color="auto"/>
            <w:right w:val="none" w:sz="0" w:space="0" w:color="auto"/>
          </w:divBdr>
        </w:div>
        <w:div w:id="1113400925">
          <w:marLeft w:val="0"/>
          <w:marRight w:val="0"/>
          <w:marTop w:val="0"/>
          <w:marBottom w:val="0"/>
          <w:divBdr>
            <w:top w:val="none" w:sz="0" w:space="0" w:color="auto"/>
            <w:left w:val="none" w:sz="0" w:space="0" w:color="auto"/>
            <w:bottom w:val="none" w:sz="0" w:space="0" w:color="auto"/>
            <w:right w:val="none" w:sz="0" w:space="0" w:color="auto"/>
          </w:divBdr>
        </w:div>
        <w:div w:id="1170801841">
          <w:marLeft w:val="0"/>
          <w:marRight w:val="0"/>
          <w:marTop w:val="0"/>
          <w:marBottom w:val="0"/>
          <w:divBdr>
            <w:top w:val="none" w:sz="0" w:space="0" w:color="auto"/>
            <w:left w:val="none" w:sz="0" w:space="0" w:color="auto"/>
            <w:bottom w:val="none" w:sz="0" w:space="0" w:color="auto"/>
            <w:right w:val="none" w:sz="0" w:space="0" w:color="auto"/>
          </w:divBdr>
        </w:div>
        <w:div w:id="84495516">
          <w:marLeft w:val="0"/>
          <w:marRight w:val="0"/>
          <w:marTop w:val="0"/>
          <w:marBottom w:val="0"/>
          <w:divBdr>
            <w:top w:val="none" w:sz="0" w:space="0" w:color="auto"/>
            <w:left w:val="none" w:sz="0" w:space="0" w:color="auto"/>
            <w:bottom w:val="none" w:sz="0" w:space="0" w:color="auto"/>
            <w:right w:val="none" w:sz="0" w:space="0" w:color="auto"/>
          </w:divBdr>
        </w:div>
        <w:div w:id="650449960">
          <w:marLeft w:val="0"/>
          <w:marRight w:val="0"/>
          <w:marTop w:val="0"/>
          <w:marBottom w:val="0"/>
          <w:divBdr>
            <w:top w:val="none" w:sz="0" w:space="0" w:color="auto"/>
            <w:left w:val="none" w:sz="0" w:space="0" w:color="auto"/>
            <w:bottom w:val="none" w:sz="0" w:space="0" w:color="auto"/>
            <w:right w:val="none" w:sz="0" w:space="0" w:color="auto"/>
          </w:divBdr>
        </w:div>
        <w:div w:id="1418818742">
          <w:marLeft w:val="0"/>
          <w:marRight w:val="0"/>
          <w:marTop w:val="0"/>
          <w:marBottom w:val="0"/>
          <w:divBdr>
            <w:top w:val="none" w:sz="0" w:space="0" w:color="auto"/>
            <w:left w:val="none" w:sz="0" w:space="0" w:color="auto"/>
            <w:bottom w:val="none" w:sz="0" w:space="0" w:color="auto"/>
            <w:right w:val="none" w:sz="0" w:space="0" w:color="auto"/>
          </w:divBdr>
        </w:div>
        <w:div w:id="164591514">
          <w:marLeft w:val="0"/>
          <w:marRight w:val="0"/>
          <w:marTop w:val="0"/>
          <w:marBottom w:val="0"/>
          <w:divBdr>
            <w:top w:val="none" w:sz="0" w:space="0" w:color="auto"/>
            <w:left w:val="none" w:sz="0" w:space="0" w:color="auto"/>
            <w:bottom w:val="none" w:sz="0" w:space="0" w:color="auto"/>
            <w:right w:val="none" w:sz="0" w:space="0" w:color="auto"/>
          </w:divBdr>
        </w:div>
        <w:div w:id="1893927936">
          <w:marLeft w:val="0"/>
          <w:marRight w:val="0"/>
          <w:marTop w:val="0"/>
          <w:marBottom w:val="0"/>
          <w:divBdr>
            <w:top w:val="none" w:sz="0" w:space="0" w:color="auto"/>
            <w:left w:val="none" w:sz="0" w:space="0" w:color="auto"/>
            <w:bottom w:val="none" w:sz="0" w:space="0" w:color="auto"/>
            <w:right w:val="none" w:sz="0" w:space="0" w:color="auto"/>
          </w:divBdr>
        </w:div>
        <w:div w:id="1907761081">
          <w:marLeft w:val="0"/>
          <w:marRight w:val="0"/>
          <w:marTop w:val="0"/>
          <w:marBottom w:val="0"/>
          <w:divBdr>
            <w:top w:val="none" w:sz="0" w:space="0" w:color="auto"/>
            <w:left w:val="none" w:sz="0" w:space="0" w:color="auto"/>
            <w:bottom w:val="none" w:sz="0" w:space="0" w:color="auto"/>
            <w:right w:val="none" w:sz="0" w:space="0" w:color="auto"/>
          </w:divBdr>
        </w:div>
        <w:div w:id="434593028">
          <w:marLeft w:val="0"/>
          <w:marRight w:val="0"/>
          <w:marTop w:val="0"/>
          <w:marBottom w:val="0"/>
          <w:divBdr>
            <w:top w:val="none" w:sz="0" w:space="0" w:color="auto"/>
            <w:left w:val="none" w:sz="0" w:space="0" w:color="auto"/>
            <w:bottom w:val="none" w:sz="0" w:space="0" w:color="auto"/>
            <w:right w:val="none" w:sz="0" w:space="0" w:color="auto"/>
          </w:divBdr>
        </w:div>
        <w:div w:id="239339056">
          <w:marLeft w:val="0"/>
          <w:marRight w:val="0"/>
          <w:marTop w:val="0"/>
          <w:marBottom w:val="0"/>
          <w:divBdr>
            <w:top w:val="none" w:sz="0" w:space="0" w:color="auto"/>
            <w:left w:val="none" w:sz="0" w:space="0" w:color="auto"/>
            <w:bottom w:val="none" w:sz="0" w:space="0" w:color="auto"/>
            <w:right w:val="none" w:sz="0" w:space="0" w:color="auto"/>
          </w:divBdr>
        </w:div>
        <w:div w:id="1718896106">
          <w:marLeft w:val="0"/>
          <w:marRight w:val="0"/>
          <w:marTop w:val="0"/>
          <w:marBottom w:val="0"/>
          <w:divBdr>
            <w:top w:val="none" w:sz="0" w:space="0" w:color="auto"/>
            <w:left w:val="none" w:sz="0" w:space="0" w:color="auto"/>
            <w:bottom w:val="none" w:sz="0" w:space="0" w:color="auto"/>
            <w:right w:val="none" w:sz="0" w:space="0" w:color="auto"/>
          </w:divBdr>
        </w:div>
        <w:div w:id="1089304855">
          <w:marLeft w:val="0"/>
          <w:marRight w:val="0"/>
          <w:marTop w:val="0"/>
          <w:marBottom w:val="0"/>
          <w:divBdr>
            <w:top w:val="none" w:sz="0" w:space="0" w:color="auto"/>
            <w:left w:val="none" w:sz="0" w:space="0" w:color="auto"/>
            <w:bottom w:val="none" w:sz="0" w:space="0" w:color="auto"/>
            <w:right w:val="none" w:sz="0" w:space="0" w:color="auto"/>
          </w:divBdr>
        </w:div>
        <w:div w:id="14886914">
          <w:marLeft w:val="0"/>
          <w:marRight w:val="0"/>
          <w:marTop w:val="0"/>
          <w:marBottom w:val="0"/>
          <w:divBdr>
            <w:top w:val="none" w:sz="0" w:space="0" w:color="auto"/>
            <w:left w:val="none" w:sz="0" w:space="0" w:color="auto"/>
            <w:bottom w:val="none" w:sz="0" w:space="0" w:color="auto"/>
            <w:right w:val="none" w:sz="0" w:space="0" w:color="auto"/>
          </w:divBdr>
        </w:div>
        <w:div w:id="1645698477">
          <w:marLeft w:val="0"/>
          <w:marRight w:val="0"/>
          <w:marTop w:val="0"/>
          <w:marBottom w:val="0"/>
          <w:divBdr>
            <w:top w:val="none" w:sz="0" w:space="0" w:color="auto"/>
            <w:left w:val="none" w:sz="0" w:space="0" w:color="auto"/>
            <w:bottom w:val="none" w:sz="0" w:space="0" w:color="auto"/>
            <w:right w:val="none" w:sz="0" w:space="0" w:color="auto"/>
          </w:divBdr>
        </w:div>
        <w:div w:id="1504398024">
          <w:marLeft w:val="0"/>
          <w:marRight w:val="0"/>
          <w:marTop w:val="0"/>
          <w:marBottom w:val="0"/>
          <w:divBdr>
            <w:top w:val="none" w:sz="0" w:space="0" w:color="auto"/>
            <w:left w:val="none" w:sz="0" w:space="0" w:color="auto"/>
            <w:bottom w:val="none" w:sz="0" w:space="0" w:color="auto"/>
            <w:right w:val="none" w:sz="0" w:space="0" w:color="auto"/>
          </w:divBdr>
        </w:div>
        <w:div w:id="143589769">
          <w:marLeft w:val="0"/>
          <w:marRight w:val="0"/>
          <w:marTop w:val="0"/>
          <w:marBottom w:val="0"/>
          <w:divBdr>
            <w:top w:val="none" w:sz="0" w:space="0" w:color="auto"/>
            <w:left w:val="none" w:sz="0" w:space="0" w:color="auto"/>
            <w:bottom w:val="none" w:sz="0" w:space="0" w:color="auto"/>
            <w:right w:val="none" w:sz="0" w:space="0" w:color="auto"/>
          </w:divBdr>
        </w:div>
        <w:div w:id="1720082131">
          <w:marLeft w:val="0"/>
          <w:marRight w:val="0"/>
          <w:marTop w:val="0"/>
          <w:marBottom w:val="0"/>
          <w:divBdr>
            <w:top w:val="none" w:sz="0" w:space="0" w:color="auto"/>
            <w:left w:val="none" w:sz="0" w:space="0" w:color="auto"/>
            <w:bottom w:val="none" w:sz="0" w:space="0" w:color="auto"/>
            <w:right w:val="none" w:sz="0" w:space="0" w:color="auto"/>
          </w:divBdr>
        </w:div>
        <w:div w:id="1956055437">
          <w:marLeft w:val="0"/>
          <w:marRight w:val="0"/>
          <w:marTop w:val="0"/>
          <w:marBottom w:val="0"/>
          <w:divBdr>
            <w:top w:val="none" w:sz="0" w:space="0" w:color="auto"/>
            <w:left w:val="none" w:sz="0" w:space="0" w:color="auto"/>
            <w:bottom w:val="none" w:sz="0" w:space="0" w:color="auto"/>
            <w:right w:val="none" w:sz="0" w:space="0" w:color="auto"/>
          </w:divBdr>
        </w:div>
        <w:div w:id="1745563858">
          <w:marLeft w:val="0"/>
          <w:marRight w:val="0"/>
          <w:marTop w:val="0"/>
          <w:marBottom w:val="0"/>
          <w:divBdr>
            <w:top w:val="none" w:sz="0" w:space="0" w:color="auto"/>
            <w:left w:val="none" w:sz="0" w:space="0" w:color="auto"/>
            <w:bottom w:val="none" w:sz="0" w:space="0" w:color="auto"/>
            <w:right w:val="none" w:sz="0" w:space="0" w:color="auto"/>
          </w:divBdr>
        </w:div>
        <w:div w:id="234365348">
          <w:marLeft w:val="0"/>
          <w:marRight w:val="0"/>
          <w:marTop w:val="0"/>
          <w:marBottom w:val="0"/>
          <w:divBdr>
            <w:top w:val="none" w:sz="0" w:space="0" w:color="auto"/>
            <w:left w:val="none" w:sz="0" w:space="0" w:color="auto"/>
            <w:bottom w:val="none" w:sz="0" w:space="0" w:color="auto"/>
            <w:right w:val="none" w:sz="0" w:space="0" w:color="auto"/>
          </w:divBdr>
        </w:div>
        <w:div w:id="463353760">
          <w:marLeft w:val="0"/>
          <w:marRight w:val="0"/>
          <w:marTop w:val="0"/>
          <w:marBottom w:val="0"/>
          <w:divBdr>
            <w:top w:val="none" w:sz="0" w:space="0" w:color="auto"/>
            <w:left w:val="none" w:sz="0" w:space="0" w:color="auto"/>
            <w:bottom w:val="none" w:sz="0" w:space="0" w:color="auto"/>
            <w:right w:val="none" w:sz="0" w:space="0" w:color="auto"/>
          </w:divBdr>
        </w:div>
        <w:div w:id="123426552">
          <w:marLeft w:val="0"/>
          <w:marRight w:val="0"/>
          <w:marTop w:val="0"/>
          <w:marBottom w:val="0"/>
          <w:divBdr>
            <w:top w:val="none" w:sz="0" w:space="0" w:color="auto"/>
            <w:left w:val="none" w:sz="0" w:space="0" w:color="auto"/>
            <w:bottom w:val="none" w:sz="0" w:space="0" w:color="auto"/>
            <w:right w:val="none" w:sz="0" w:space="0" w:color="auto"/>
          </w:divBdr>
        </w:div>
        <w:div w:id="2062973775">
          <w:marLeft w:val="0"/>
          <w:marRight w:val="0"/>
          <w:marTop w:val="0"/>
          <w:marBottom w:val="0"/>
          <w:divBdr>
            <w:top w:val="none" w:sz="0" w:space="0" w:color="auto"/>
            <w:left w:val="none" w:sz="0" w:space="0" w:color="auto"/>
            <w:bottom w:val="none" w:sz="0" w:space="0" w:color="auto"/>
            <w:right w:val="none" w:sz="0" w:space="0" w:color="auto"/>
          </w:divBdr>
        </w:div>
        <w:div w:id="950626107">
          <w:marLeft w:val="0"/>
          <w:marRight w:val="0"/>
          <w:marTop w:val="0"/>
          <w:marBottom w:val="0"/>
          <w:divBdr>
            <w:top w:val="none" w:sz="0" w:space="0" w:color="auto"/>
            <w:left w:val="none" w:sz="0" w:space="0" w:color="auto"/>
            <w:bottom w:val="none" w:sz="0" w:space="0" w:color="auto"/>
            <w:right w:val="none" w:sz="0" w:space="0" w:color="auto"/>
          </w:divBdr>
        </w:div>
        <w:div w:id="1774784563">
          <w:marLeft w:val="0"/>
          <w:marRight w:val="0"/>
          <w:marTop w:val="0"/>
          <w:marBottom w:val="0"/>
          <w:divBdr>
            <w:top w:val="none" w:sz="0" w:space="0" w:color="auto"/>
            <w:left w:val="none" w:sz="0" w:space="0" w:color="auto"/>
            <w:bottom w:val="none" w:sz="0" w:space="0" w:color="auto"/>
            <w:right w:val="none" w:sz="0" w:space="0" w:color="auto"/>
          </w:divBdr>
        </w:div>
        <w:div w:id="2002268314">
          <w:marLeft w:val="0"/>
          <w:marRight w:val="0"/>
          <w:marTop w:val="0"/>
          <w:marBottom w:val="0"/>
          <w:divBdr>
            <w:top w:val="none" w:sz="0" w:space="0" w:color="auto"/>
            <w:left w:val="none" w:sz="0" w:space="0" w:color="auto"/>
            <w:bottom w:val="none" w:sz="0" w:space="0" w:color="auto"/>
            <w:right w:val="none" w:sz="0" w:space="0" w:color="auto"/>
          </w:divBdr>
        </w:div>
        <w:div w:id="292902453">
          <w:marLeft w:val="0"/>
          <w:marRight w:val="0"/>
          <w:marTop w:val="0"/>
          <w:marBottom w:val="0"/>
          <w:divBdr>
            <w:top w:val="none" w:sz="0" w:space="0" w:color="auto"/>
            <w:left w:val="none" w:sz="0" w:space="0" w:color="auto"/>
            <w:bottom w:val="none" w:sz="0" w:space="0" w:color="auto"/>
            <w:right w:val="none" w:sz="0" w:space="0" w:color="auto"/>
          </w:divBdr>
        </w:div>
        <w:div w:id="1348481625">
          <w:marLeft w:val="0"/>
          <w:marRight w:val="0"/>
          <w:marTop w:val="0"/>
          <w:marBottom w:val="0"/>
          <w:divBdr>
            <w:top w:val="none" w:sz="0" w:space="0" w:color="auto"/>
            <w:left w:val="none" w:sz="0" w:space="0" w:color="auto"/>
            <w:bottom w:val="none" w:sz="0" w:space="0" w:color="auto"/>
            <w:right w:val="none" w:sz="0" w:space="0" w:color="auto"/>
          </w:divBdr>
        </w:div>
        <w:div w:id="477108663">
          <w:marLeft w:val="0"/>
          <w:marRight w:val="0"/>
          <w:marTop w:val="0"/>
          <w:marBottom w:val="0"/>
          <w:divBdr>
            <w:top w:val="none" w:sz="0" w:space="0" w:color="auto"/>
            <w:left w:val="none" w:sz="0" w:space="0" w:color="auto"/>
            <w:bottom w:val="none" w:sz="0" w:space="0" w:color="auto"/>
            <w:right w:val="none" w:sz="0" w:space="0" w:color="auto"/>
          </w:divBdr>
        </w:div>
        <w:div w:id="572160255">
          <w:marLeft w:val="0"/>
          <w:marRight w:val="0"/>
          <w:marTop w:val="0"/>
          <w:marBottom w:val="0"/>
          <w:divBdr>
            <w:top w:val="none" w:sz="0" w:space="0" w:color="auto"/>
            <w:left w:val="none" w:sz="0" w:space="0" w:color="auto"/>
            <w:bottom w:val="none" w:sz="0" w:space="0" w:color="auto"/>
            <w:right w:val="none" w:sz="0" w:space="0" w:color="auto"/>
          </w:divBdr>
        </w:div>
        <w:div w:id="89855410">
          <w:marLeft w:val="0"/>
          <w:marRight w:val="0"/>
          <w:marTop w:val="0"/>
          <w:marBottom w:val="0"/>
          <w:divBdr>
            <w:top w:val="none" w:sz="0" w:space="0" w:color="auto"/>
            <w:left w:val="none" w:sz="0" w:space="0" w:color="auto"/>
            <w:bottom w:val="none" w:sz="0" w:space="0" w:color="auto"/>
            <w:right w:val="none" w:sz="0" w:space="0" w:color="auto"/>
          </w:divBdr>
        </w:div>
        <w:div w:id="1494222671">
          <w:marLeft w:val="0"/>
          <w:marRight w:val="0"/>
          <w:marTop w:val="0"/>
          <w:marBottom w:val="0"/>
          <w:divBdr>
            <w:top w:val="none" w:sz="0" w:space="0" w:color="auto"/>
            <w:left w:val="none" w:sz="0" w:space="0" w:color="auto"/>
            <w:bottom w:val="none" w:sz="0" w:space="0" w:color="auto"/>
            <w:right w:val="none" w:sz="0" w:space="0" w:color="auto"/>
          </w:divBdr>
        </w:div>
        <w:div w:id="1498616416">
          <w:marLeft w:val="0"/>
          <w:marRight w:val="0"/>
          <w:marTop w:val="0"/>
          <w:marBottom w:val="0"/>
          <w:divBdr>
            <w:top w:val="none" w:sz="0" w:space="0" w:color="auto"/>
            <w:left w:val="none" w:sz="0" w:space="0" w:color="auto"/>
            <w:bottom w:val="none" w:sz="0" w:space="0" w:color="auto"/>
            <w:right w:val="none" w:sz="0" w:space="0" w:color="auto"/>
          </w:divBdr>
        </w:div>
        <w:div w:id="2140149660">
          <w:marLeft w:val="0"/>
          <w:marRight w:val="0"/>
          <w:marTop w:val="0"/>
          <w:marBottom w:val="0"/>
          <w:divBdr>
            <w:top w:val="none" w:sz="0" w:space="0" w:color="auto"/>
            <w:left w:val="none" w:sz="0" w:space="0" w:color="auto"/>
            <w:bottom w:val="none" w:sz="0" w:space="0" w:color="auto"/>
            <w:right w:val="none" w:sz="0" w:space="0" w:color="auto"/>
          </w:divBdr>
        </w:div>
        <w:div w:id="1441027124">
          <w:marLeft w:val="0"/>
          <w:marRight w:val="0"/>
          <w:marTop w:val="0"/>
          <w:marBottom w:val="0"/>
          <w:divBdr>
            <w:top w:val="none" w:sz="0" w:space="0" w:color="auto"/>
            <w:left w:val="none" w:sz="0" w:space="0" w:color="auto"/>
            <w:bottom w:val="none" w:sz="0" w:space="0" w:color="auto"/>
            <w:right w:val="none" w:sz="0" w:space="0" w:color="auto"/>
          </w:divBdr>
        </w:div>
        <w:div w:id="1752044061">
          <w:marLeft w:val="0"/>
          <w:marRight w:val="0"/>
          <w:marTop w:val="0"/>
          <w:marBottom w:val="0"/>
          <w:divBdr>
            <w:top w:val="none" w:sz="0" w:space="0" w:color="auto"/>
            <w:left w:val="none" w:sz="0" w:space="0" w:color="auto"/>
            <w:bottom w:val="none" w:sz="0" w:space="0" w:color="auto"/>
            <w:right w:val="none" w:sz="0" w:space="0" w:color="auto"/>
          </w:divBdr>
        </w:div>
        <w:div w:id="1961453893">
          <w:marLeft w:val="0"/>
          <w:marRight w:val="0"/>
          <w:marTop w:val="0"/>
          <w:marBottom w:val="0"/>
          <w:divBdr>
            <w:top w:val="none" w:sz="0" w:space="0" w:color="auto"/>
            <w:left w:val="none" w:sz="0" w:space="0" w:color="auto"/>
            <w:bottom w:val="none" w:sz="0" w:space="0" w:color="auto"/>
            <w:right w:val="none" w:sz="0" w:space="0" w:color="auto"/>
          </w:divBdr>
        </w:div>
        <w:div w:id="669798452">
          <w:marLeft w:val="0"/>
          <w:marRight w:val="0"/>
          <w:marTop w:val="0"/>
          <w:marBottom w:val="0"/>
          <w:divBdr>
            <w:top w:val="none" w:sz="0" w:space="0" w:color="auto"/>
            <w:left w:val="none" w:sz="0" w:space="0" w:color="auto"/>
            <w:bottom w:val="none" w:sz="0" w:space="0" w:color="auto"/>
            <w:right w:val="none" w:sz="0" w:space="0" w:color="auto"/>
          </w:divBdr>
        </w:div>
        <w:div w:id="77481824">
          <w:marLeft w:val="0"/>
          <w:marRight w:val="0"/>
          <w:marTop w:val="0"/>
          <w:marBottom w:val="0"/>
          <w:divBdr>
            <w:top w:val="none" w:sz="0" w:space="0" w:color="auto"/>
            <w:left w:val="none" w:sz="0" w:space="0" w:color="auto"/>
            <w:bottom w:val="none" w:sz="0" w:space="0" w:color="auto"/>
            <w:right w:val="none" w:sz="0" w:space="0" w:color="auto"/>
          </w:divBdr>
        </w:div>
        <w:div w:id="1420979276">
          <w:marLeft w:val="0"/>
          <w:marRight w:val="0"/>
          <w:marTop w:val="0"/>
          <w:marBottom w:val="0"/>
          <w:divBdr>
            <w:top w:val="none" w:sz="0" w:space="0" w:color="auto"/>
            <w:left w:val="none" w:sz="0" w:space="0" w:color="auto"/>
            <w:bottom w:val="none" w:sz="0" w:space="0" w:color="auto"/>
            <w:right w:val="none" w:sz="0" w:space="0" w:color="auto"/>
          </w:divBdr>
        </w:div>
        <w:div w:id="1337347588">
          <w:marLeft w:val="0"/>
          <w:marRight w:val="0"/>
          <w:marTop w:val="0"/>
          <w:marBottom w:val="0"/>
          <w:divBdr>
            <w:top w:val="none" w:sz="0" w:space="0" w:color="auto"/>
            <w:left w:val="none" w:sz="0" w:space="0" w:color="auto"/>
            <w:bottom w:val="none" w:sz="0" w:space="0" w:color="auto"/>
            <w:right w:val="none" w:sz="0" w:space="0" w:color="auto"/>
          </w:divBdr>
        </w:div>
        <w:div w:id="136461116">
          <w:marLeft w:val="0"/>
          <w:marRight w:val="0"/>
          <w:marTop w:val="0"/>
          <w:marBottom w:val="0"/>
          <w:divBdr>
            <w:top w:val="none" w:sz="0" w:space="0" w:color="auto"/>
            <w:left w:val="none" w:sz="0" w:space="0" w:color="auto"/>
            <w:bottom w:val="none" w:sz="0" w:space="0" w:color="auto"/>
            <w:right w:val="none" w:sz="0" w:space="0" w:color="auto"/>
          </w:divBdr>
        </w:div>
        <w:div w:id="363217405">
          <w:marLeft w:val="0"/>
          <w:marRight w:val="0"/>
          <w:marTop w:val="0"/>
          <w:marBottom w:val="0"/>
          <w:divBdr>
            <w:top w:val="none" w:sz="0" w:space="0" w:color="auto"/>
            <w:left w:val="none" w:sz="0" w:space="0" w:color="auto"/>
            <w:bottom w:val="none" w:sz="0" w:space="0" w:color="auto"/>
            <w:right w:val="none" w:sz="0" w:space="0" w:color="auto"/>
          </w:divBdr>
        </w:div>
        <w:div w:id="716663381">
          <w:marLeft w:val="0"/>
          <w:marRight w:val="0"/>
          <w:marTop w:val="0"/>
          <w:marBottom w:val="0"/>
          <w:divBdr>
            <w:top w:val="none" w:sz="0" w:space="0" w:color="auto"/>
            <w:left w:val="none" w:sz="0" w:space="0" w:color="auto"/>
            <w:bottom w:val="none" w:sz="0" w:space="0" w:color="auto"/>
            <w:right w:val="none" w:sz="0" w:space="0" w:color="auto"/>
          </w:divBdr>
        </w:div>
        <w:div w:id="1625581746">
          <w:marLeft w:val="0"/>
          <w:marRight w:val="0"/>
          <w:marTop w:val="0"/>
          <w:marBottom w:val="0"/>
          <w:divBdr>
            <w:top w:val="none" w:sz="0" w:space="0" w:color="auto"/>
            <w:left w:val="none" w:sz="0" w:space="0" w:color="auto"/>
            <w:bottom w:val="none" w:sz="0" w:space="0" w:color="auto"/>
            <w:right w:val="none" w:sz="0" w:space="0" w:color="auto"/>
          </w:divBdr>
        </w:div>
        <w:div w:id="671029577">
          <w:marLeft w:val="0"/>
          <w:marRight w:val="0"/>
          <w:marTop w:val="0"/>
          <w:marBottom w:val="0"/>
          <w:divBdr>
            <w:top w:val="none" w:sz="0" w:space="0" w:color="auto"/>
            <w:left w:val="none" w:sz="0" w:space="0" w:color="auto"/>
            <w:bottom w:val="none" w:sz="0" w:space="0" w:color="auto"/>
            <w:right w:val="none" w:sz="0" w:space="0" w:color="auto"/>
          </w:divBdr>
        </w:div>
        <w:div w:id="571739538">
          <w:marLeft w:val="0"/>
          <w:marRight w:val="0"/>
          <w:marTop w:val="0"/>
          <w:marBottom w:val="0"/>
          <w:divBdr>
            <w:top w:val="none" w:sz="0" w:space="0" w:color="auto"/>
            <w:left w:val="none" w:sz="0" w:space="0" w:color="auto"/>
            <w:bottom w:val="none" w:sz="0" w:space="0" w:color="auto"/>
            <w:right w:val="none" w:sz="0" w:space="0" w:color="auto"/>
          </w:divBdr>
        </w:div>
        <w:div w:id="564071080">
          <w:marLeft w:val="0"/>
          <w:marRight w:val="0"/>
          <w:marTop w:val="0"/>
          <w:marBottom w:val="0"/>
          <w:divBdr>
            <w:top w:val="none" w:sz="0" w:space="0" w:color="auto"/>
            <w:left w:val="none" w:sz="0" w:space="0" w:color="auto"/>
            <w:bottom w:val="none" w:sz="0" w:space="0" w:color="auto"/>
            <w:right w:val="none" w:sz="0" w:space="0" w:color="auto"/>
          </w:divBdr>
        </w:div>
        <w:div w:id="1513184806">
          <w:marLeft w:val="0"/>
          <w:marRight w:val="0"/>
          <w:marTop w:val="0"/>
          <w:marBottom w:val="0"/>
          <w:divBdr>
            <w:top w:val="none" w:sz="0" w:space="0" w:color="auto"/>
            <w:left w:val="none" w:sz="0" w:space="0" w:color="auto"/>
            <w:bottom w:val="none" w:sz="0" w:space="0" w:color="auto"/>
            <w:right w:val="none" w:sz="0" w:space="0" w:color="auto"/>
          </w:divBdr>
        </w:div>
        <w:div w:id="2013071159">
          <w:marLeft w:val="0"/>
          <w:marRight w:val="0"/>
          <w:marTop w:val="0"/>
          <w:marBottom w:val="0"/>
          <w:divBdr>
            <w:top w:val="none" w:sz="0" w:space="0" w:color="auto"/>
            <w:left w:val="none" w:sz="0" w:space="0" w:color="auto"/>
            <w:bottom w:val="none" w:sz="0" w:space="0" w:color="auto"/>
            <w:right w:val="none" w:sz="0" w:space="0" w:color="auto"/>
          </w:divBdr>
        </w:div>
        <w:div w:id="1645575917">
          <w:marLeft w:val="0"/>
          <w:marRight w:val="0"/>
          <w:marTop w:val="0"/>
          <w:marBottom w:val="0"/>
          <w:divBdr>
            <w:top w:val="none" w:sz="0" w:space="0" w:color="auto"/>
            <w:left w:val="none" w:sz="0" w:space="0" w:color="auto"/>
            <w:bottom w:val="none" w:sz="0" w:space="0" w:color="auto"/>
            <w:right w:val="none" w:sz="0" w:space="0" w:color="auto"/>
          </w:divBdr>
        </w:div>
        <w:div w:id="2021153062">
          <w:marLeft w:val="0"/>
          <w:marRight w:val="0"/>
          <w:marTop w:val="0"/>
          <w:marBottom w:val="0"/>
          <w:divBdr>
            <w:top w:val="none" w:sz="0" w:space="0" w:color="auto"/>
            <w:left w:val="none" w:sz="0" w:space="0" w:color="auto"/>
            <w:bottom w:val="none" w:sz="0" w:space="0" w:color="auto"/>
            <w:right w:val="none" w:sz="0" w:space="0" w:color="auto"/>
          </w:divBdr>
        </w:div>
        <w:div w:id="521670898">
          <w:marLeft w:val="0"/>
          <w:marRight w:val="0"/>
          <w:marTop w:val="0"/>
          <w:marBottom w:val="0"/>
          <w:divBdr>
            <w:top w:val="none" w:sz="0" w:space="0" w:color="auto"/>
            <w:left w:val="none" w:sz="0" w:space="0" w:color="auto"/>
            <w:bottom w:val="none" w:sz="0" w:space="0" w:color="auto"/>
            <w:right w:val="none" w:sz="0" w:space="0" w:color="auto"/>
          </w:divBdr>
        </w:div>
        <w:div w:id="603806738">
          <w:marLeft w:val="0"/>
          <w:marRight w:val="0"/>
          <w:marTop w:val="0"/>
          <w:marBottom w:val="0"/>
          <w:divBdr>
            <w:top w:val="none" w:sz="0" w:space="0" w:color="auto"/>
            <w:left w:val="none" w:sz="0" w:space="0" w:color="auto"/>
            <w:bottom w:val="none" w:sz="0" w:space="0" w:color="auto"/>
            <w:right w:val="none" w:sz="0" w:space="0" w:color="auto"/>
          </w:divBdr>
        </w:div>
        <w:div w:id="943659102">
          <w:marLeft w:val="0"/>
          <w:marRight w:val="0"/>
          <w:marTop w:val="0"/>
          <w:marBottom w:val="0"/>
          <w:divBdr>
            <w:top w:val="none" w:sz="0" w:space="0" w:color="auto"/>
            <w:left w:val="none" w:sz="0" w:space="0" w:color="auto"/>
            <w:bottom w:val="none" w:sz="0" w:space="0" w:color="auto"/>
            <w:right w:val="none" w:sz="0" w:space="0" w:color="auto"/>
          </w:divBdr>
        </w:div>
        <w:div w:id="1440834963">
          <w:marLeft w:val="0"/>
          <w:marRight w:val="0"/>
          <w:marTop w:val="0"/>
          <w:marBottom w:val="0"/>
          <w:divBdr>
            <w:top w:val="none" w:sz="0" w:space="0" w:color="auto"/>
            <w:left w:val="none" w:sz="0" w:space="0" w:color="auto"/>
            <w:bottom w:val="none" w:sz="0" w:space="0" w:color="auto"/>
            <w:right w:val="none" w:sz="0" w:space="0" w:color="auto"/>
          </w:divBdr>
        </w:div>
        <w:div w:id="571277775">
          <w:marLeft w:val="0"/>
          <w:marRight w:val="0"/>
          <w:marTop w:val="0"/>
          <w:marBottom w:val="0"/>
          <w:divBdr>
            <w:top w:val="none" w:sz="0" w:space="0" w:color="auto"/>
            <w:left w:val="none" w:sz="0" w:space="0" w:color="auto"/>
            <w:bottom w:val="none" w:sz="0" w:space="0" w:color="auto"/>
            <w:right w:val="none" w:sz="0" w:space="0" w:color="auto"/>
          </w:divBdr>
        </w:div>
        <w:div w:id="2098865992">
          <w:marLeft w:val="0"/>
          <w:marRight w:val="0"/>
          <w:marTop w:val="0"/>
          <w:marBottom w:val="0"/>
          <w:divBdr>
            <w:top w:val="none" w:sz="0" w:space="0" w:color="auto"/>
            <w:left w:val="none" w:sz="0" w:space="0" w:color="auto"/>
            <w:bottom w:val="none" w:sz="0" w:space="0" w:color="auto"/>
            <w:right w:val="none" w:sz="0" w:space="0" w:color="auto"/>
          </w:divBdr>
        </w:div>
        <w:div w:id="140582649">
          <w:marLeft w:val="0"/>
          <w:marRight w:val="0"/>
          <w:marTop w:val="0"/>
          <w:marBottom w:val="0"/>
          <w:divBdr>
            <w:top w:val="none" w:sz="0" w:space="0" w:color="auto"/>
            <w:left w:val="none" w:sz="0" w:space="0" w:color="auto"/>
            <w:bottom w:val="none" w:sz="0" w:space="0" w:color="auto"/>
            <w:right w:val="none" w:sz="0" w:space="0" w:color="auto"/>
          </w:divBdr>
        </w:div>
        <w:div w:id="992216207">
          <w:marLeft w:val="0"/>
          <w:marRight w:val="0"/>
          <w:marTop w:val="0"/>
          <w:marBottom w:val="0"/>
          <w:divBdr>
            <w:top w:val="none" w:sz="0" w:space="0" w:color="auto"/>
            <w:left w:val="none" w:sz="0" w:space="0" w:color="auto"/>
            <w:bottom w:val="none" w:sz="0" w:space="0" w:color="auto"/>
            <w:right w:val="none" w:sz="0" w:space="0" w:color="auto"/>
          </w:divBdr>
        </w:div>
        <w:div w:id="1580944078">
          <w:marLeft w:val="0"/>
          <w:marRight w:val="0"/>
          <w:marTop w:val="0"/>
          <w:marBottom w:val="0"/>
          <w:divBdr>
            <w:top w:val="none" w:sz="0" w:space="0" w:color="auto"/>
            <w:left w:val="none" w:sz="0" w:space="0" w:color="auto"/>
            <w:bottom w:val="none" w:sz="0" w:space="0" w:color="auto"/>
            <w:right w:val="none" w:sz="0" w:space="0" w:color="auto"/>
          </w:divBdr>
        </w:div>
        <w:div w:id="1711421778">
          <w:marLeft w:val="0"/>
          <w:marRight w:val="0"/>
          <w:marTop w:val="0"/>
          <w:marBottom w:val="0"/>
          <w:divBdr>
            <w:top w:val="none" w:sz="0" w:space="0" w:color="auto"/>
            <w:left w:val="none" w:sz="0" w:space="0" w:color="auto"/>
            <w:bottom w:val="none" w:sz="0" w:space="0" w:color="auto"/>
            <w:right w:val="none" w:sz="0" w:space="0" w:color="auto"/>
          </w:divBdr>
        </w:div>
        <w:div w:id="124742186">
          <w:marLeft w:val="0"/>
          <w:marRight w:val="0"/>
          <w:marTop w:val="0"/>
          <w:marBottom w:val="0"/>
          <w:divBdr>
            <w:top w:val="none" w:sz="0" w:space="0" w:color="auto"/>
            <w:left w:val="none" w:sz="0" w:space="0" w:color="auto"/>
            <w:bottom w:val="none" w:sz="0" w:space="0" w:color="auto"/>
            <w:right w:val="none" w:sz="0" w:space="0" w:color="auto"/>
          </w:divBdr>
        </w:div>
        <w:div w:id="73942523">
          <w:marLeft w:val="0"/>
          <w:marRight w:val="0"/>
          <w:marTop w:val="0"/>
          <w:marBottom w:val="0"/>
          <w:divBdr>
            <w:top w:val="none" w:sz="0" w:space="0" w:color="auto"/>
            <w:left w:val="none" w:sz="0" w:space="0" w:color="auto"/>
            <w:bottom w:val="none" w:sz="0" w:space="0" w:color="auto"/>
            <w:right w:val="none" w:sz="0" w:space="0" w:color="auto"/>
          </w:divBdr>
        </w:div>
        <w:div w:id="1574313143">
          <w:marLeft w:val="0"/>
          <w:marRight w:val="0"/>
          <w:marTop w:val="0"/>
          <w:marBottom w:val="0"/>
          <w:divBdr>
            <w:top w:val="none" w:sz="0" w:space="0" w:color="auto"/>
            <w:left w:val="none" w:sz="0" w:space="0" w:color="auto"/>
            <w:bottom w:val="none" w:sz="0" w:space="0" w:color="auto"/>
            <w:right w:val="none" w:sz="0" w:space="0" w:color="auto"/>
          </w:divBdr>
        </w:div>
        <w:div w:id="1001203948">
          <w:marLeft w:val="0"/>
          <w:marRight w:val="0"/>
          <w:marTop w:val="0"/>
          <w:marBottom w:val="0"/>
          <w:divBdr>
            <w:top w:val="none" w:sz="0" w:space="0" w:color="auto"/>
            <w:left w:val="none" w:sz="0" w:space="0" w:color="auto"/>
            <w:bottom w:val="none" w:sz="0" w:space="0" w:color="auto"/>
            <w:right w:val="none" w:sz="0" w:space="0" w:color="auto"/>
          </w:divBdr>
        </w:div>
        <w:div w:id="1943107111">
          <w:marLeft w:val="0"/>
          <w:marRight w:val="0"/>
          <w:marTop w:val="0"/>
          <w:marBottom w:val="0"/>
          <w:divBdr>
            <w:top w:val="none" w:sz="0" w:space="0" w:color="auto"/>
            <w:left w:val="none" w:sz="0" w:space="0" w:color="auto"/>
            <w:bottom w:val="none" w:sz="0" w:space="0" w:color="auto"/>
            <w:right w:val="none" w:sz="0" w:space="0" w:color="auto"/>
          </w:divBdr>
        </w:div>
        <w:div w:id="1806585569">
          <w:marLeft w:val="0"/>
          <w:marRight w:val="0"/>
          <w:marTop w:val="0"/>
          <w:marBottom w:val="0"/>
          <w:divBdr>
            <w:top w:val="none" w:sz="0" w:space="0" w:color="auto"/>
            <w:left w:val="none" w:sz="0" w:space="0" w:color="auto"/>
            <w:bottom w:val="none" w:sz="0" w:space="0" w:color="auto"/>
            <w:right w:val="none" w:sz="0" w:space="0" w:color="auto"/>
          </w:divBdr>
        </w:div>
        <w:div w:id="857234568">
          <w:marLeft w:val="0"/>
          <w:marRight w:val="0"/>
          <w:marTop w:val="0"/>
          <w:marBottom w:val="0"/>
          <w:divBdr>
            <w:top w:val="none" w:sz="0" w:space="0" w:color="auto"/>
            <w:left w:val="none" w:sz="0" w:space="0" w:color="auto"/>
            <w:bottom w:val="none" w:sz="0" w:space="0" w:color="auto"/>
            <w:right w:val="none" w:sz="0" w:space="0" w:color="auto"/>
          </w:divBdr>
        </w:div>
        <w:div w:id="2021616307">
          <w:marLeft w:val="0"/>
          <w:marRight w:val="0"/>
          <w:marTop w:val="0"/>
          <w:marBottom w:val="0"/>
          <w:divBdr>
            <w:top w:val="none" w:sz="0" w:space="0" w:color="auto"/>
            <w:left w:val="none" w:sz="0" w:space="0" w:color="auto"/>
            <w:bottom w:val="none" w:sz="0" w:space="0" w:color="auto"/>
            <w:right w:val="none" w:sz="0" w:space="0" w:color="auto"/>
          </w:divBdr>
        </w:div>
        <w:div w:id="240261965">
          <w:marLeft w:val="0"/>
          <w:marRight w:val="0"/>
          <w:marTop w:val="0"/>
          <w:marBottom w:val="0"/>
          <w:divBdr>
            <w:top w:val="none" w:sz="0" w:space="0" w:color="auto"/>
            <w:left w:val="none" w:sz="0" w:space="0" w:color="auto"/>
            <w:bottom w:val="none" w:sz="0" w:space="0" w:color="auto"/>
            <w:right w:val="none" w:sz="0" w:space="0" w:color="auto"/>
          </w:divBdr>
        </w:div>
        <w:div w:id="1622610219">
          <w:marLeft w:val="0"/>
          <w:marRight w:val="0"/>
          <w:marTop w:val="0"/>
          <w:marBottom w:val="0"/>
          <w:divBdr>
            <w:top w:val="none" w:sz="0" w:space="0" w:color="auto"/>
            <w:left w:val="none" w:sz="0" w:space="0" w:color="auto"/>
            <w:bottom w:val="none" w:sz="0" w:space="0" w:color="auto"/>
            <w:right w:val="none" w:sz="0" w:space="0" w:color="auto"/>
          </w:divBdr>
        </w:div>
        <w:div w:id="1021862724">
          <w:marLeft w:val="0"/>
          <w:marRight w:val="0"/>
          <w:marTop w:val="0"/>
          <w:marBottom w:val="0"/>
          <w:divBdr>
            <w:top w:val="none" w:sz="0" w:space="0" w:color="auto"/>
            <w:left w:val="none" w:sz="0" w:space="0" w:color="auto"/>
            <w:bottom w:val="none" w:sz="0" w:space="0" w:color="auto"/>
            <w:right w:val="none" w:sz="0" w:space="0" w:color="auto"/>
          </w:divBdr>
        </w:div>
        <w:div w:id="1423799011">
          <w:marLeft w:val="0"/>
          <w:marRight w:val="0"/>
          <w:marTop w:val="0"/>
          <w:marBottom w:val="0"/>
          <w:divBdr>
            <w:top w:val="none" w:sz="0" w:space="0" w:color="auto"/>
            <w:left w:val="none" w:sz="0" w:space="0" w:color="auto"/>
            <w:bottom w:val="none" w:sz="0" w:space="0" w:color="auto"/>
            <w:right w:val="none" w:sz="0" w:space="0" w:color="auto"/>
          </w:divBdr>
        </w:div>
        <w:div w:id="635374558">
          <w:marLeft w:val="0"/>
          <w:marRight w:val="0"/>
          <w:marTop w:val="0"/>
          <w:marBottom w:val="0"/>
          <w:divBdr>
            <w:top w:val="none" w:sz="0" w:space="0" w:color="auto"/>
            <w:left w:val="none" w:sz="0" w:space="0" w:color="auto"/>
            <w:bottom w:val="none" w:sz="0" w:space="0" w:color="auto"/>
            <w:right w:val="none" w:sz="0" w:space="0" w:color="auto"/>
          </w:divBdr>
        </w:div>
        <w:div w:id="1380976949">
          <w:marLeft w:val="0"/>
          <w:marRight w:val="0"/>
          <w:marTop w:val="0"/>
          <w:marBottom w:val="0"/>
          <w:divBdr>
            <w:top w:val="none" w:sz="0" w:space="0" w:color="auto"/>
            <w:left w:val="none" w:sz="0" w:space="0" w:color="auto"/>
            <w:bottom w:val="none" w:sz="0" w:space="0" w:color="auto"/>
            <w:right w:val="none" w:sz="0" w:space="0" w:color="auto"/>
          </w:divBdr>
        </w:div>
        <w:div w:id="791436924">
          <w:marLeft w:val="0"/>
          <w:marRight w:val="0"/>
          <w:marTop w:val="0"/>
          <w:marBottom w:val="0"/>
          <w:divBdr>
            <w:top w:val="none" w:sz="0" w:space="0" w:color="auto"/>
            <w:left w:val="none" w:sz="0" w:space="0" w:color="auto"/>
            <w:bottom w:val="none" w:sz="0" w:space="0" w:color="auto"/>
            <w:right w:val="none" w:sz="0" w:space="0" w:color="auto"/>
          </w:divBdr>
        </w:div>
        <w:div w:id="1531262433">
          <w:marLeft w:val="0"/>
          <w:marRight w:val="0"/>
          <w:marTop w:val="0"/>
          <w:marBottom w:val="0"/>
          <w:divBdr>
            <w:top w:val="none" w:sz="0" w:space="0" w:color="auto"/>
            <w:left w:val="none" w:sz="0" w:space="0" w:color="auto"/>
            <w:bottom w:val="none" w:sz="0" w:space="0" w:color="auto"/>
            <w:right w:val="none" w:sz="0" w:space="0" w:color="auto"/>
          </w:divBdr>
        </w:div>
        <w:div w:id="104354307">
          <w:marLeft w:val="0"/>
          <w:marRight w:val="0"/>
          <w:marTop w:val="0"/>
          <w:marBottom w:val="0"/>
          <w:divBdr>
            <w:top w:val="none" w:sz="0" w:space="0" w:color="auto"/>
            <w:left w:val="none" w:sz="0" w:space="0" w:color="auto"/>
            <w:bottom w:val="none" w:sz="0" w:space="0" w:color="auto"/>
            <w:right w:val="none" w:sz="0" w:space="0" w:color="auto"/>
          </w:divBdr>
        </w:div>
        <w:div w:id="1767143304">
          <w:marLeft w:val="0"/>
          <w:marRight w:val="0"/>
          <w:marTop w:val="0"/>
          <w:marBottom w:val="0"/>
          <w:divBdr>
            <w:top w:val="none" w:sz="0" w:space="0" w:color="auto"/>
            <w:left w:val="none" w:sz="0" w:space="0" w:color="auto"/>
            <w:bottom w:val="none" w:sz="0" w:space="0" w:color="auto"/>
            <w:right w:val="none" w:sz="0" w:space="0" w:color="auto"/>
          </w:divBdr>
        </w:div>
        <w:div w:id="1493646581">
          <w:marLeft w:val="0"/>
          <w:marRight w:val="0"/>
          <w:marTop w:val="0"/>
          <w:marBottom w:val="0"/>
          <w:divBdr>
            <w:top w:val="none" w:sz="0" w:space="0" w:color="auto"/>
            <w:left w:val="none" w:sz="0" w:space="0" w:color="auto"/>
            <w:bottom w:val="none" w:sz="0" w:space="0" w:color="auto"/>
            <w:right w:val="none" w:sz="0" w:space="0" w:color="auto"/>
          </w:divBdr>
        </w:div>
        <w:div w:id="754130142">
          <w:marLeft w:val="0"/>
          <w:marRight w:val="0"/>
          <w:marTop w:val="0"/>
          <w:marBottom w:val="0"/>
          <w:divBdr>
            <w:top w:val="none" w:sz="0" w:space="0" w:color="auto"/>
            <w:left w:val="none" w:sz="0" w:space="0" w:color="auto"/>
            <w:bottom w:val="none" w:sz="0" w:space="0" w:color="auto"/>
            <w:right w:val="none" w:sz="0" w:space="0" w:color="auto"/>
          </w:divBdr>
        </w:div>
        <w:div w:id="53894143">
          <w:marLeft w:val="0"/>
          <w:marRight w:val="0"/>
          <w:marTop w:val="0"/>
          <w:marBottom w:val="0"/>
          <w:divBdr>
            <w:top w:val="none" w:sz="0" w:space="0" w:color="auto"/>
            <w:left w:val="none" w:sz="0" w:space="0" w:color="auto"/>
            <w:bottom w:val="none" w:sz="0" w:space="0" w:color="auto"/>
            <w:right w:val="none" w:sz="0" w:space="0" w:color="auto"/>
          </w:divBdr>
        </w:div>
        <w:div w:id="1461920190">
          <w:marLeft w:val="0"/>
          <w:marRight w:val="0"/>
          <w:marTop w:val="0"/>
          <w:marBottom w:val="0"/>
          <w:divBdr>
            <w:top w:val="none" w:sz="0" w:space="0" w:color="auto"/>
            <w:left w:val="none" w:sz="0" w:space="0" w:color="auto"/>
            <w:bottom w:val="none" w:sz="0" w:space="0" w:color="auto"/>
            <w:right w:val="none" w:sz="0" w:space="0" w:color="auto"/>
          </w:divBdr>
        </w:div>
        <w:div w:id="198129364">
          <w:marLeft w:val="0"/>
          <w:marRight w:val="0"/>
          <w:marTop w:val="0"/>
          <w:marBottom w:val="0"/>
          <w:divBdr>
            <w:top w:val="none" w:sz="0" w:space="0" w:color="auto"/>
            <w:left w:val="none" w:sz="0" w:space="0" w:color="auto"/>
            <w:bottom w:val="none" w:sz="0" w:space="0" w:color="auto"/>
            <w:right w:val="none" w:sz="0" w:space="0" w:color="auto"/>
          </w:divBdr>
        </w:div>
        <w:div w:id="92213944">
          <w:marLeft w:val="0"/>
          <w:marRight w:val="0"/>
          <w:marTop w:val="0"/>
          <w:marBottom w:val="0"/>
          <w:divBdr>
            <w:top w:val="none" w:sz="0" w:space="0" w:color="auto"/>
            <w:left w:val="none" w:sz="0" w:space="0" w:color="auto"/>
            <w:bottom w:val="none" w:sz="0" w:space="0" w:color="auto"/>
            <w:right w:val="none" w:sz="0" w:space="0" w:color="auto"/>
          </w:divBdr>
        </w:div>
        <w:div w:id="388236451">
          <w:marLeft w:val="0"/>
          <w:marRight w:val="0"/>
          <w:marTop w:val="0"/>
          <w:marBottom w:val="0"/>
          <w:divBdr>
            <w:top w:val="none" w:sz="0" w:space="0" w:color="auto"/>
            <w:left w:val="none" w:sz="0" w:space="0" w:color="auto"/>
            <w:bottom w:val="none" w:sz="0" w:space="0" w:color="auto"/>
            <w:right w:val="none" w:sz="0" w:space="0" w:color="auto"/>
          </w:divBdr>
        </w:div>
        <w:div w:id="1902061997">
          <w:marLeft w:val="0"/>
          <w:marRight w:val="0"/>
          <w:marTop w:val="0"/>
          <w:marBottom w:val="0"/>
          <w:divBdr>
            <w:top w:val="none" w:sz="0" w:space="0" w:color="auto"/>
            <w:left w:val="none" w:sz="0" w:space="0" w:color="auto"/>
            <w:bottom w:val="none" w:sz="0" w:space="0" w:color="auto"/>
            <w:right w:val="none" w:sz="0" w:space="0" w:color="auto"/>
          </w:divBdr>
        </w:div>
        <w:div w:id="1540165990">
          <w:marLeft w:val="0"/>
          <w:marRight w:val="0"/>
          <w:marTop w:val="0"/>
          <w:marBottom w:val="0"/>
          <w:divBdr>
            <w:top w:val="none" w:sz="0" w:space="0" w:color="auto"/>
            <w:left w:val="none" w:sz="0" w:space="0" w:color="auto"/>
            <w:bottom w:val="none" w:sz="0" w:space="0" w:color="auto"/>
            <w:right w:val="none" w:sz="0" w:space="0" w:color="auto"/>
          </w:divBdr>
        </w:div>
        <w:div w:id="1910192849">
          <w:marLeft w:val="0"/>
          <w:marRight w:val="0"/>
          <w:marTop w:val="0"/>
          <w:marBottom w:val="0"/>
          <w:divBdr>
            <w:top w:val="none" w:sz="0" w:space="0" w:color="auto"/>
            <w:left w:val="none" w:sz="0" w:space="0" w:color="auto"/>
            <w:bottom w:val="none" w:sz="0" w:space="0" w:color="auto"/>
            <w:right w:val="none" w:sz="0" w:space="0" w:color="auto"/>
          </w:divBdr>
        </w:div>
        <w:div w:id="234896254">
          <w:marLeft w:val="0"/>
          <w:marRight w:val="0"/>
          <w:marTop w:val="0"/>
          <w:marBottom w:val="0"/>
          <w:divBdr>
            <w:top w:val="none" w:sz="0" w:space="0" w:color="auto"/>
            <w:left w:val="none" w:sz="0" w:space="0" w:color="auto"/>
            <w:bottom w:val="none" w:sz="0" w:space="0" w:color="auto"/>
            <w:right w:val="none" w:sz="0" w:space="0" w:color="auto"/>
          </w:divBdr>
        </w:div>
        <w:div w:id="1464733605">
          <w:marLeft w:val="0"/>
          <w:marRight w:val="0"/>
          <w:marTop w:val="0"/>
          <w:marBottom w:val="0"/>
          <w:divBdr>
            <w:top w:val="none" w:sz="0" w:space="0" w:color="auto"/>
            <w:left w:val="none" w:sz="0" w:space="0" w:color="auto"/>
            <w:bottom w:val="none" w:sz="0" w:space="0" w:color="auto"/>
            <w:right w:val="none" w:sz="0" w:space="0" w:color="auto"/>
          </w:divBdr>
        </w:div>
        <w:div w:id="989020669">
          <w:marLeft w:val="0"/>
          <w:marRight w:val="0"/>
          <w:marTop w:val="0"/>
          <w:marBottom w:val="0"/>
          <w:divBdr>
            <w:top w:val="none" w:sz="0" w:space="0" w:color="auto"/>
            <w:left w:val="none" w:sz="0" w:space="0" w:color="auto"/>
            <w:bottom w:val="none" w:sz="0" w:space="0" w:color="auto"/>
            <w:right w:val="none" w:sz="0" w:space="0" w:color="auto"/>
          </w:divBdr>
        </w:div>
        <w:div w:id="435834192">
          <w:marLeft w:val="0"/>
          <w:marRight w:val="0"/>
          <w:marTop w:val="0"/>
          <w:marBottom w:val="0"/>
          <w:divBdr>
            <w:top w:val="none" w:sz="0" w:space="0" w:color="auto"/>
            <w:left w:val="none" w:sz="0" w:space="0" w:color="auto"/>
            <w:bottom w:val="none" w:sz="0" w:space="0" w:color="auto"/>
            <w:right w:val="none" w:sz="0" w:space="0" w:color="auto"/>
          </w:divBdr>
        </w:div>
        <w:div w:id="652486299">
          <w:marLeft w:val="0"/>
          <w:marRight w:val="0"/>
          <w:marTop w:val="0"/>
          <w:marBottom w:val="0"/>
          <w:divBdr>
            <w:top w:val="none" w:sz="0" w:space="0" w:color="auto"/>
            <w:left w:val="none" w:sz="0" w:space="0" w:color="auto"/>
            <w:bottom w:val="none" w:sz="0" w:space="0" w:color="auto"/>
            <w:right w:val="none" w:sz="0" w:space="0" w:color="auto"/>
          </w:divBdr>
        </w:div>
        <w:div w:id="494417394">
          <w:marLeft w:val="0"/>
          <w:marRight w:val="0"/>
          <w:marTop w:val="0"/>
          <w:marBottom w:val="0"/>
          <w:divBdr>
            <w:top w:val="none" w:sz="0" w:space="0" w:color="auto"/>
            <w:left w:val="none" w:sz="0" w:space="0" w:color="auto"/>
            <w:bottom w:val="none" w:sz="0" w:space="0" w:color="auto"/>
            <w:right w:val="none" w:sz="0" w:space="0" w:color="auto"/>
          </w:divBdr>
        </w:div>
        <w:div w:id="317804713">
          <w:marLeft w:val="0"/>
          <w:marRight w:val="0"/>
          <w:marTop w:val="0"/>
          <w:marBottom w:val="0"/>
          <w:divBdr>
            <w:top w:val="none" w:sz="0" w:space="0" w:color="auto"/>
            <w:left w:val="none" w:sz="0" w:space="0" w:color="auto"/>
            <w:bottom w:val="none" w:sz="0" w:space="0" w:color="auto"/>
            <w:right w:val="none" w:sz="0" w:space="0" w:color="auto"/>
          </w:divBdr>
        </w:div>
        <w:div w:id="262689367">
          <w:marLeft w:val="0"/>
          <w:marRight w:val="0"/>
          <w:marTop w:val="0"/>
          <w:marBottom w:val="0"/>
          <w:divBdr>
            <w:top w:val="none" w:sz="0" w:space="0" w:color="auto"/>
            <w:left w:val="none" w:sz="0" w:space="0" w:color="auto"/>
            <w:bottom w:val="none" w:sz="0" w:space="0" w:color="auto"/>
            <w:right w:val="none" w:sz="0" w:space="0" w:color="auto"/>
          </w:divBdr>
        </w:div>
        <w:div w:id="82993831">
          <w:marLeft w:val="0"/>
          <w:marRight w:val="0"/>
          <w:marTop w:val="0"/>
          <w:marBottom w:val="0"/>
          <w:divBdr>
            <w:top w:val="none" w:sz="0" w:space="0" w:color="auto"/>
            <w:left w:val="none" w:sz="0" w:space="0" w:color="auto"/>
            <w:bottom w:val="none" w:sz="0" w:space="0" w:color="auto"/>
            <w:right w:val="none" w:sz="0" w:space="0" w:color="auto"/>
          </w:divBdr>
        </w:div>
        <w:div w:id="923227761">
          <w:marLeft w:val="0"/>
          <w:marRight w:val="0"/>
          <w:marTop w:val="0"/>
          <w:marBottom w:val="0"/>
          <w:divBdr>
            <w:top w:val="none" w:sz="0" w:space="0" w:color="auto"/>
            <w:left w:val="none" w:sz="0" w:space="0" w:color="auto"/>
            <w:bottom w:val="none" w:sz="0" w:space="0" w:color="auto"/>
            <w:right w:val="none" w:sz="0" w:space="0" w:color="auto"/>
          </w:divBdr>
        </w:div>
        <w:div w:id="1499542961">
          <w:marLeft w:val="0"/>
          <w:marRight w:val="0"/>
          <w:marTop w:val="0"/>
          <w:marBottom w:val="0"/>
          <w:divBdr>
            <w:top w:val="none" w:sz="0" w:space="0" w:color="auto"/>
            <w:left w:val="none" w:sz="0" w:space="0" w:color="auto"/>
            <w:bottom w:val="none" w:sz="0" w:space="0" w:color="auto"/>
            <w:right w:val="none" w:sz="0" w:space="0" w:color="auto"/>
          </w:divBdr>
        </w:div>
        <w:div w:id="2033610670">
          <w:marLeft w:val="0"/>
          <w:marRight w:val="0"/>
          <w:marTop w:val="0"/>
          <w:marBottom w:val="0"/>
          <w:divBdr>
            <w:top w:val="none" w:sz="0" w:space="0" w:color="auto"/>
            <w:left w:val="none" w:sz="0" w:space="0" w:color="auto"/>
            <w:bottom w:val="none" w:sz="0" w:space="0" w:color="auto"/>
            <w:right w:val="none" w:sz="0" w:space="0" w:color="auto"/>
          </w:divBdr>
        </w:div>
        <w:div w:id="565802213">
          <w:marLeft w:val="0"/>
          <w:marRight w:val="0"/>
          <w:marTop w:val="0"/>
          <w:marBottom w:val="0"/>
          <w:divBdr>
            <w:top w:val="none" w:sz="0" w:space="0" w:color="auto"/>
            <w:left w:val="none" w:sz="0" w:space="0" w:color="auto"/>
            <w:bottom w:val="none" w:sz="0" w:space="0" w:color="auto"/>
            <w:right w:val="none" w:sz="0" w:space="0" w:color="auto"/>
          </w:divBdr>
        </w:div>
        <w:div w:id="265237733">
          <w:marLeft w:val="0"/>
          <w:marRight w:val="0"/>
          <w:marTop w:val="0"/>
          <w:marBottom w:val="0"/>
          <w:divBdr>
            <w:top w:val="none" w:sz="0" w:space="0" w:color="auto"/>
            <w:left w:val="none" w:sz="0" w:space="0" w:color="auto"/>
            <w:bottom w:val="none" w:sz="0" w:space="0" w:color="auto"/>
            <w:right w:val="none" w:sz="0" w:space="0" w:color="auto"/>
          </w:divBdr>
        </w:div>
        <w:div w:id="1223714824">
          <w:marLeft w:val="0"/>
          <w:marRight w:val="0"/>
          <w:marTop w:val="0"/>
          <w:marBottom w:val="0"/>
          <w:divBdr>
            <w:top w:val="none" w:sz="0" w:space="0" w:color="auto"/>
            <w:left w:val="none" w:sz="0" w:space="0" w:color="auto"/>
            <w:bottom w:val="none" w:sz="0" w:space="0" w:color="auto"/>
            <w:right w:val="none" w:sz="0" w:space="0" w:color="auto"/>
          </w:divBdr>
        </w:div>
        <w:div w:id="393356909">
          <w:marLeft w:val="0"/>
          <w:marRight w:val="0"/>
          <w:marTop w:val="0"/>
          <w:marBottom w:val="0"/>
          <w:divBdr>
            <w:top w:val="none" w:sz="0" w:space="0" w:color="auto"/>
            <w:left w:val="none" w:sz="0" w:space="0" w:color="auto"/>
            <w:bottom w:val="none" w:sz="0" w:space="0" w:color="auto"/>
            <w:right w:val="none" w:sz="0" w:space="0" w:color="auto"/>
          </w:divBdr>
        </w:div>
        <w:div w:id="678235515">
          <w:marLeft w:val="0"/>
          <w:marRight w:val="0"/>
          <w:marTop w:val="0"/>
          <w:marBottom w:val="0"/>
          <w:divBdr>
            <w:top w:val="none" w:sz="0" w:space="0" w:color="auto"/>
            <w:left w:val="none" w:sz="0" w:space="0" w:color="auto"/>
            <w:bottom w:val="none" w:sz="0" w:space="0" w:color="auto"/>
            <w:right w:val="none" w:sz="0" w:space="0" w:color="auto"/>
          </w:divBdr>
        </w:div>
        <w:div w:id="629242770">
          <w:marLeft w:val="0"/>
          <w:marRight w:val="0"/>
          <w:marTop w:val="0"/>
          <w:marBottom w:val="0"/>
          <w:divBdr>
            <w:top w:val="none" w:sz="0" w:space="0" w:color="auto"/>
            <w:left w:val="none" w:sz="0" w:space="0" w:color="auto"/>
            <w:bottom w:val="none" w:sz="0" w:space="0" w:color="auto"/>
            <w:right w:val="none" w:sz="0" w:space="0" w:color="auto"/>
          </w:divBdr>
        </w:div>
        <w:div w:id="826894236">
          <w:marLeft w:val="0"/>
          <w:marRight w:val="0"/>
          <w:marTop w:val="0"/>
          <w:marBottom w:val="0"/>
          <w:divBdr>
            <w:top w:val="none" w:sz="0" w:space="0" w:color="auto"/>
            <w:left w:val="none" w:sz="0" w:space="0" w:color="auto"/>
            <w:bottom w:val="none" w:sz="0" w:space="0" w:color="auto"/>
            <w:right w:val="none" w:sz="0" w:space="0" w:color="auto"/>
          </w:divBdr>
        </w:div>
        <w:div w:id="1969555073">
          <w:marLeft w:val="0"/>
          <w:marRight w:val="0"/>
          <w:marTop w:val="0"/>
          <w:marBottom w:val="0"/>
          <w:divBdr>
            <w:top w:val="none" w:sz="0" w:space="0" w:color="auto"/>
            <w:left w:val="none" w:sz="0" w:space="0" w:color="auto"/>
            <w:bottom w:val="none" w:sz="0" w:space="0" w:color="auto"/>
            <w:right w:val="none" w:sz="0" w:space="0" w:color="auto"/>
          </w:divBdr>
        </w:div>
        <w:div w:id="2115708854">
          <w:marLeft w:val="0"/>
          <w:marRight w:val="0"/>
          <w:marTop w:val="0"/>
          <w:marBottom w:val="0"/>
          <w:divBdr>
            <w:top w:val="none" w:sz="0" w:space="0" w:color="auto"/>
            <w:left w:val="none" w:sz="0" w:space="0" w:color="auto"/>
            <w:bottom w:val="none" w:sz="0" w:space="0" w:color="auto"/>
            <w:right w:val="none" w:sz="0" w:space="0" w:color="auto"/>
          </w:divBdr>
        </w:div>
        <w:div w:id="200868733">
          <w:marLeft w:val="0"/>
          <w:marRight w:val="0"/>
          <w:marTop w:val="0"/>
          <w:marBottom w:val="0"/>
          <w:divBdr>
            <w:top w:val="none" w:sz="0" w:space="0" w:color="auto"/>
            <w:left w:val="none" w:sz="0" w:space="0" w:color="auto"/>
            <w:bottom w:val="none" w:sz="0" w:space="0" w:color="auto"/>
            <w:right w:val="none" w:sz="0" w:space="0" w:color="auto"/>
          </w:divBdr>
        </w:div>
        <w:div w:id="1700466738">
          <w:marLeft w:val="0"/>
          <w:marRight w:val="0"/>
          <w:marTop w:val="0"/>
          <w:marBottom w:val="0"/>
          <w:divBdr>
            <w:top w:val="none" w:sz="0" w:space="0" w:color="auto"/>
            <w:left w:val="none" w:sz="0" w:space="0" w:color="auto"/>
            <w:bottom w:val="none" w:sz="0" w:space="0" w:color="auto"/>
            <w:right w:val="none" w:sz="0" w:space="0" w:color="auto"/>
          </w:divBdr>
        </w:div>
        <w:div w:id="1324119239">
          <w:marLeft w:val="0"/>
          <w:marRight w:val="0"/>
          <w:marTop w:val="0"/>
          <w:marBottom w:val="0"/>
          <w:divBdr>
            <w:top w:val="none" w:sz="0" w:space="0" w:color="auto"/>
            <w:left w:val="none" w:sz="0" w:space="0" w:color="auto"/>
            <w:bottom w:val="none" w:sz="0" w:space="0" w:color="auto"/>
            <w:right w:val="none" w:sz="0" w:space="0" w:color="auto"/>
          </w:divBdr>
        </w:div>
        <w:div w:id="341203012">
          <w:marLeft w:val="0"/>
          <w:marRight w:val="0"/>
          <w:marTop w:val="0"/>
          <w:marBottom w:val="0"/>
          <w:divBdr>
            <w:top w:val="none" w:sz="0" w:space="0" w:color="auto"/>
            <w:left w:val="none" w:sz="0" w:space="0" w:color="auto"/>
            <w:bottom w:val="none" w:sz="0" w:space="0" w:color="auto"/>
            <w:right w:val="none" w:sz="0" w:space="0" w:color="auto"/>
          </w:divBdr>
        </w:div>
        <w:div w:id="983659982">
          <w:marLeft w:val="0"/>
          <w:marRight w:val="0"/>
          <w:marTop w:val="0"/>
          <w:marBottom w:val="0"/>
          <w:divBdr>
            <w:top w:val="none" w:sz="0" w:space="0" w:color="auto"/>
            <w:left w:val="none" w:sz="0" w:space="0" w:color="auto"/>
            <w:bottom w:val="none" w:sz="0" w:space="0" w:color="auto"/>
            <w:right w:val="none" w:sz="0" w:space="0" w:color="auto"/>
          </w:divBdr>
        </w:div>
        <w:div w:id="2126846846">
          <w:marLeft w:val="0"/>
          <w:marRight w:val="0"/>
          <w:marTop w:val="0"/>
          <w:marBottom w:val="0"/>
          <w:divBdr>
            <w:top w:val="none" w:sz="0" w:space="0" w:color="auto"/>
            <w:left w:val="none" w:sz="0" w:space="0" w:color="auto"/>
            <w:bottom w:val="none" w:sz="0" w:space="0" w:color="auto"/>
            <w:right w:val="none" w:sz="0" w:space="0" w:color="auto"/>
          </w:divBdr>
        </w:div>
        <w:div w:id="1091663133">
          <w:marLeft w:val="0"/>
          <w:marRight w:val="0"/>
          <w:marTop w:val="0"/>
          <w:marBottom w:val="0"/>
          <w:divBdr>
            <w:top w:val="none" w:sz="0" w:space="0" w:color="auto"/>
            <w:left w:val="none" w:sz="0" w:space="0" w:color="auto"/>
            <w:bottom w:val="none" w:sz="0" w:space="0" w:color="auto"/>
            <w:right w:val="none" w:sz="0" w:space="0" w:color="auto"/>
          </w:divBdr>
        </w:div>
        <w:div w:id="165361988">
          <w:marLeft w:val="0"/>
          <w:marRight w:val="0"/>
          <w:marTop w:val="0"/>
          <w:marBottom w:val="0"/>
          <w:divBdr>
            <w:top w:val="none" w:sz="0" w:space="0" w:color="auto"/>
            <w:left w:val="none" w:sz="0" w:space="0" w:color="auto"/>
            <w:bottom w:val="none" w:sz="0" w:space="0" w:color="auto"/>
            <w:right w:val="none" w:sz="0" w:space="0" w:color="auto"/>
          </w:divBdr>
        </w:div>
        <w:div w:id="1982610609">
          <w:marLeft w:val="0"/>
          <w:marRight w:val="0"/>
          <w:marTop w:val="0"/>
          <w:marBottom w:val="0"/>
          <w:divBdr>
            <w:top w:val="none" w:sz="0" w:space="0" w:color="auto"/>
            <w:left w:val="none" w:sz="0" w:space="0" w:color="auto"/>
            <w:bottom w:val="none" w:sz="0" w:space="0" w:color="auto"/>
            <w:right w:val="none" w:sz="0" w:space="0" w:color="auto"/>
          </w:divBdr>
        </w:div>
        <w:div w:id="1831367118">
          <w:marLeft w:val="0"/>
          <w:marRight w:val="0"/>
          <w:marTop w:val="0"/>
          <w:marBottom w:val="0"/>
          <w:divBdr>
            <w:top w:val="none" w:sz="0" w:space="0" w:color="auto"/>
            <w:left w:val="none" w:sz="0" w:space="0" w:color="auto"/>
            <w:bottom w:val="none" w:sz="0" w:space="0" w:color="auto"/>
            <w:right w:val="none" w:sz="0" w:space="0" w:color="auto"/>
          </w:divBdr>
        </w:div>
        <w:div w:id="320278384">
          <w:marLeft w:val="0"/>
          <w:marRight w:val="0"/>
          <w:marTop w:val="0"/>
          <w:marBottom w:val="0"/>
          <w:divBdr>
            <w:top w:val="none" w:sz="0" w:space="0" w:color="auto"/>
            <w:left w:val="none" w:sz="0" w:space="0" w:color="auto"/>
            <w:bottom w:val="none" w:sz="0" w:space="0" w:color="auto"/>
            <w:right w:val="none" w:sz="0" w:space="0" w:color="auto"/>
          </w:divBdr>
        </w:div>
        <w:div w:id="1061101599">
          <w:marLeft w:val="0"/>
          <w:marRight w:val="0"/>
          <w:marTop w:val="0"/>
          <w:marBottom w:val="0"/>
          <w:divBdr>
            <w:top w:val="none" w:sz="0" w:space="0" w:color="auto"/>
            <w:left w:val="none" w:sz="0" w:space="0" w:color="auto"/>
            <w:bottom w:val="none" w:sz="0" w:space="0" w:color="auto"/>
            <w:right w:val="none" w:sz="0" w:space="0" w:color="auto"/>
          </w:divBdr>
        </w:div>
        <w:div w:id="1397556047">
          <w:marLeft w:val="0"/>
          <w:marRight w:val="0"/>
          <w:marTop w:val="0"/>
          <w:marBottom w:val="0"/>
          <w:divBdr>
            <w:top w:val="none" w:sz="0" w:space="0" w:color="auto"/>
            <w:left w:val="none" w:sz="0" w:space="0" w:color="auto"/>
            <w:bottom w:val="none" w:sz="0" w:space="0" w:color="auto"/>
            <w:right w:val="none" w:sz="0" w:space="0" w:color="auto"/>
          </w:divBdr>
        </w:div>
        <w:div w:id="1837921514">
          <w:marLeft w:val="0"/>
          <w:marRight w:val="0"/>
          <w:marTop w:val="0"/>
          <w:marBottom w:val="0"/>
          <w:divBdr>
            <w:top w:val="none" w:sz="0" w:space="0" w:color="auto"/>
            <w:left w:val="none" w:sz="0" w:space="0" w:color="auto"/>
            <w:bottom w:val="none" w:sz="0" w:space="0" w:color="auto"/>
            <w:right w:val="none" w:sz="0" w:space="0" w:color="auto"/>
          </w:divBdr>
        </w:div>
        <w:div w:id="1291474266">
          <w:marLeft w:val="0"/>
          <w:marRight w:val="0"/>
          <w:marTop w:val="0"/>
          <w:marBottom w:val="0"/>
          <w:divBdr>
            <w:top w:val="none" w:sz="0" w:space="0" w:color="auto"/>
            <w:left w:val="none" w:sz="0" w:space="0" w:color="auto"/>
            <w:bottom w:val="none" w:sz="0" w:space="0" w:color="auto"/>
            <w:right w:val="none" w:sz="0" w:space="0" w:color="auto"/>
          </w:divBdr>
        </w:div>
        <w:div w:id="294794995">
          <w:marLeft w:val="0"/>
          <w:marRight w:val="0"/>
          <w:marTop w:val="0"/>
          <w:marBottom w:val="0"/>
          <w:divBdr>
            <w:top w:val="none" w:sz="0" w:space="0" w:color="auto"/>
            <w:left w:val="none" w:sz="0" w:space="0" w:color="auto"/>
            <w:bottom w:val="none" w:sz="0" w:space="0" w:color="auto"/>
            <w:right w:val="none" w:sz="0" w:space="0" w:color="auto"/>
          </w:divBdr>
        </w:div>
        <w:div w:id="859129299">
          <w:marLeft w:val="0"/>
          <w:marRight w:val="0"/>
          <w:marTop w:val="0"/>
          <w:marBottom w:val="0"/>
          <w:divBdr>
            <w:top w:val="none" w:sz="0" w:space="0" w:color="auto"/>
            <w:left w:val="none" w:sz="0" w:space="0" w:color="auto"/>
            <w:bottom w:val="none" w:sz="0" w:space="0" w:color="auto"/>
            <w:right w:val="none" w:sz="0" w:space="0" w:color="auto"/>
          </w:divBdr>
        </w:div>
        <w:div w:id="1281571985">
          <w:marLeft w:val="0"/>
          <w:marRight w:val="0"/>
          <w:marTop w:val="0"/>
          <w:marBottom w:val="0"/>
          <w:divBdr>
            <w:top w:val="none" w:sz="0" w:space="0" w:color="auto"/>
            <w:left w:val="none" w:sz="0" w:space="0" w:color="auto"/>
            <w:bottom w:val="none" w:sz="0" w:space="0" w:color="auto"/>
            <w:right w:val="none" w:sz="0" w:space="0" w:color="auto"/>
          </w:divBdr>
        </w:div>
        <w:div w:id="691029027">
          <w:marLeft w:val="0"/>
          <w:marRight w:val="0"/>
          <w:marTop w:val="0"/>
          <w:marBottom w:val="0"/>
          <w:divBdr>
            <w:top w:val="none" w:sz="0" w:space="0" w:color="auto"/>
            <w:left w:val="none" w:sz="0" w:space="0" w:color="auto"/>
            <w:bottom w:val="none" w:sz="0" w:space="0" w:color="auto"/>
            <w:right w:val="none" w:sz="0" w:space="0" w:color="auto"/>
          </w:divBdr>
        </w:div>
        <w:div w:id="551305339">
          <w:marLeft w:val="0"/>
          <w:marRight w:val="0"/>
          <w:marTop w:val="0"/>
          <w:marBottom w:val="0"/>
          <w:divBdr>
            <w:top w:val="none" w:sz="0" w:space="0" w:color="auto"/>
            <w:left w:val="none" w:sz="0" w:space="0" w:color="auto"/>
            <w:bottom w:val="none" w:sz="0" w:space="0" w:color="auto"/>
            <w:right w:val="none" w:sz="0" w:space="0" w:color="auto"/>
          </w:divBdr>
        </w:div>
        <w:div w:id="1536237799">
          <w:marLeft w:val="0"/>
          <w:marRight w:val="0"/>
          <w:marTop w:val="0"/>
          <w:marBottom w:val="0"/>
          <w:divBdr>
            <w:top w:val="none" w:sz="0" w:space="0" w:color="auto"/>
            <w:left w:val="none" w:sz="0" w:space="0" w:color="auto"/>
            <w:bottom w:val="none" w:sz="0" w:space="0" w:color="auto"/>
            <w:right w:val="none" w:sz="0" w:space="0" w:color="auto"/>
          </w:divBdr>
        </w:div>
        <w:div w:id="1242836772">
          <w:marLeft w:val="0"/>
          <w:marRight w:val="0"/>
          <w:marTop w:val="0"/>
          <w:marBottom w:val="0"/>
          <w:divBdr>
            <w:top w:val="none" w:sz="0" w:space="0" w:color="auto"/>
            <w:left w:val="none" w:sz="0" w:space="0" w:color="auto"/>
            <w:bottom w:val="none" w:sz="0" w:space="0" w:color="auto"/>
            <w:right w:val="none" w:sz="0" w:space="0" w:color="auto"/>
          </w:divBdr>
        </w:div>
        <w:div w:id="2111464642">
          <w:marLeft w:val="0"/>
          <w:marRight w:val="0"/>
          <w:marTop w:val="0"/>
          <w:marBottom w:val="0"/>
          <w:divBdr>
            <w:top w:val="none" w:sz="0" w:space="0" w:color="auto"/>
            <w:left w:val="none" w:sz="0" w:space="0" w:color="auto"/>
            <w:bottom w:val="none" w:sz="0" w:space="0" w:color="auto"/>
            <w:right w:val="none" w:sz="0" w:space="0" w:color="auto"/>
          </w:divBdr>
        </w:div>
        <w:div w:id="75056871">
          <w:marLeft w:val="0"/>
          <w:marRight w:val="0"/>
          <w:marTop w:val="0"/>
          <w:marBottom w:val="0"/>
          <w:divBdr>
            <w:top w:val="none" w:sz="0" w:space="0" w:color="auto"/>
            <w:left w:val="none" w:sz="0" w:space="0" w:color="auto"/>
            <w:bottom w:val="none" w:sz="0" w:space="0" w:color="auto"/>
            <w:right w:val="none" w:sz="0" w:space="0" w:color="auto"/>
          </w:divBdr>
        </w:div>
        <w:div w:id="800073372">
          <w:marLeft w:val="0"/>
          <w:marRight w:val="0"/>
          <w:marTop w:val="0"/>
          <w:marBottom w:val="0"/>
          <w:divBdr>
            <w:top w:val="none" w:sz="0" w:space="0" w:color="auto"/>
            <w:left w:val="none" w:sz="0" w:space="0" w:color="auto"/>
            <w:bottom w:val="none" w:sz="0" w:space="0" w:color="auto"/>
            <w:right w:val="none" w:sz="0" w:space="0" w:color="auto"/>
          </w:divBdr>
        </w:div>
        <w:div w:id="1129711663">
          <w:marLeft w:val="0"/>
          <w:marRight w:val="0"/>
          <w:marTop w:val="0"/>
          <w:marBottom w:val="0"/>
          <w:divBdr>
            <w:top w:val="none" w:sz="0" w:space="0" w:color="auto"/>
            <w:left w:val="none" w:sz="0" w:space="0" w:color="auto"/>
            <w:bottom w:val="none" w:sz="0" w:space="0" w:color="auto"/>
            <w:right w:val="none" w:sz="0" w:space="0" w:color="auto"/>
          </w:divBdr>
        </w:div>
        <w:div w:id="124741116">
          <w:marLeft w:val="0"/>
          <w:marRight w:val="0"/>
          <w:marTop w:val="0"/>
          <w:marBottom w:val="0"/>
          <w:divBdr>
            <w:top w:val="none" w:sz="0" w:space="0" w:color="auto"/>
            <w:left w:val="none" w:sz="0" w:space="0" w:color="auto"/>
            <w:bottom w:val="none" w:sz="0" w:space="0" w:color="auto"/>
            <w:right w:val="none" w:sz="0" w:space="0" w:color="auto"/>
          </w:divBdr>
        </w:div>
        <w:div w:id="365067074">
          <w:marLeft w:val="0"/>
          <w:marRight w:val="0"/>
          <w:marTop w:val="0"/>
          <w:marBottom w:val="0"/>
          <w:divBdr>
            <w:top w:val="none" w:sz="0" w:space="0" w:color="auto"/>
            <w:left w:val="none" w:sz="0" w:space="0" w:color="auto"/>
            <w:bottom w:val="none" w:sz="0" w:space="0" w:color="auto"/>
            <w:right w:val="none" w:sz="0" w:space="0" w:color="auto"/>
          </w:divBdr>
        </w:div>
        <w:div w:id="1226405881">
          <w:marLeft w:val="0"/>
          <w:marRight w:val="0"/>
          <w:marTop w:val="0"/>
          <w:marBottom w:val="0"/>
          <w:divBdr>
            <w:top w:val="none" w:sz="0" w:space="0" w:color="auto"/>
            <w:left w:val="none" w:sz="0" w:space="0" w:color="auto"/>
            <w:bottom w:val="none" w:sz="0" w:space="0" w:color="auto"/>
            <w:right w:val="none" w:sz="0" w:space="0" w:color="auto"/>
          </w:divBdr>
        </w:div>
        <w:div w:id="709113740">
          <w:marLeft w:val="0"/>
          <w:marRight w:val="0"/>
          <w:marTop w:val="0"/>
          <w:marBottom w:val="0"/>
          <w:divBdr>
            <w:top w:val="none" w:sz="0" w:space="0" w:color="auto"/>
            <w:left w:val="none" w:sz="0" w:space="0" w:color="auto"/>
            <w:bottom w:val="none" w:sz="0" w:space="0" w:color="auto"/>
            <w:right w:val="none" w:sz="0" w:space="0" w:color="auto"/>
          </w:divBdr>
        </w:div>
        <w:div w:id="412436364">
          <w:marLeft w:val="0"/>
          <w:marRight w:val="0"/>
          <w:marTop w:val="0"/>
          <w:marBottom w:val="0"/>
          <w:divBdr>
            <w:top w:val="none" w:sz="0" w:space="0" w:color="auto"/>
            <w:left w:val="none" w:sz="0" w:space="0" w:color="auto"/>
            <w:bottom w:val="none" w:sz="0" w:space="0" w:color="auto"/>
            <w:right w:val="none" w:sz="0" w:space="0" w:color="auto"/>
          </w:divBdr>
        </w:div>
        <w:div w:id="1578780854">
          <w:marLeft w:val="0"/>
          <w:marRight w:val="0"/>
          <w:marTop w:val="0"/>
          <w:marBottom w:val="0"/>
          <w:divBdr>
            <w:top w:val="none" w:sz="0" w:space="0" w:color="auto"/>
            <w:left w:val="none" w:sz="0" w:space="0" w:color="auto"/>
            <w:bottom w:val="none" w:sz="0" w:space="0" w:color="auto"/>
            <w:right w:val="none" w:sz="0" w:space="0" w:color="auto"/>
          </w:divBdr>
        </w:div>
        <w:div w:id="436407816">
          <w:marLeft w:val="0"/>
          <w:marRight w:val="0"/>
          <w:marTop w:val="0"/>
          <w:marBottom w:val="0"/>
          <w:divBdr>
            <w:top w:val="none" w:sz="0" w:space="0" w:color="auto"/>
            <w:left w:val="none" w:sz="0" w:space="0" w:color="auto"/>
            <w:bottom w:val="none" w:sz="0" w:space="0" w:color="auto"/>
            <w:right w:val="none" w:sz="0" w:space="0" w:color="auto"/>
          </w:divBdr>
        </w:div>
        <w:div w:id="1433160945">
          <w:marLeft w:val="0"/>
          <w:marRight w:val="0"/>
          <w:marTop w:val="0"/>
          <w:marBottom w:val="0"/>
          <w:divBdr>
            <w:top w:val="none" w:sz="0" w:space="0" w:color="auto"/>
            <w:left w:val="none" w:sz="0" w:space="0" w:color="auto"/>
            <w:bottom w:val="none" w:sz="0" w:space="0" w:color="auto"/>
            <w:right w:val="none" w:sz="0" w:space="0" w:color="auto"/>
          </w:divBdr>
        </w:div>
        <w:div w:id="1678120986">
          <w:marLeft w:val="0"/>
          <w:marRight w:val="0"/>
          <w:marTop w:val="0"/>
          <w:marBottom w:val="0"/>
          <w:divBdr>
            <w:top w:val="none" w:sz="0" w:space="0" w:color="auto"/>
            <w:left w:val="none" w:sz="0" w:space="0" w:color="auto"/>
            <w:bottom w:val="none" w:sz="0" w:space="0" w:color="auto"/>
            <w:right w:val="none" w:sz="0" w:space="0" w:color="auto"/>
          </w:divBdr>
        </w:div>
        <w:div w:id="947662939">
          <w:marLeft w:val="0"/>
          <w:marRight w:val="0"/>
          <w:marTop w:val="0"/>
          <w:marBottom w:val="0"/>
          <w:divBdr>
            <w:top w:val="none" w:sz="0" w:space="0" w:color="auto"/>
            <w:left w:val="none" w:sz="0" w:space="0" w:color="auto"/>
            <w:bottom w:val="none" w:sz="0" w:space="0" w:color="auto"/>
            <w:right w:val="none" w:sz="0" w:space="0" w:color="auto"/>
          </w:divBdr>
        </w:div>
        <w:div w:id="1001742144">
          <w:marLeft w:val="0"/>
          <w:marRight w:val="0"/>
          <w:marTop w:val="0"/>
          <w:marBottom w:val="0"/>
          <w:divBdr>
            <w:top w:val="none" w:sz="0" w:space="0" w:color="auto"/>
            <w:left w:val="none" w:sz="0" w:space="0" w:color="auto"/>
            <w:bottom w:val="none" w:sz="0" w:space="0" w:color="auto"/>
            <w:right w:val="none" w:sz="0" w:space="0" w:color="auto"/>
          </w:divBdr>
        </w:div>
        <w:div w:id="986662717">
          <w:marLeft w:val="0"/>
          <w:marRight w:val="0"/>
          <w:marTop w:val="0"/>
          <w:marBottom w:val="0"/>
          <w:divBdr>
            <w:top w:val="none" w:sz="0" w:space="0" w:color="auto"/>
            <w:left w:val="none" w:sz="0" w:space="0" w:color="auto"/>
            <w:bottom w:val="none" w:sz="0" w:space="0" w:color="auto"/>
            <w:right w:val="none" w:sz="0" w:space="0" w:color="auto"/>
          </w:divBdr>
        </w:div>
        <w:div w:id="100616751">
          <w:marLeft w:val="0"/>
          <w:marRight w:val="0"/>
          <w:marTop w:val="0"/>
          <w:marBottom w:val="0"/>
          <w:divBdr>
            <w:top w:val="none" w:sz="0" w:space="0" w:color="auto"/>
            <w:left w:val="none" w:sz="0" w:space="0" w:color="auto"/>
            <w:bottom w:val="none" w:sz="0" w:space="0" w:color="auto"/>
            <w:right w:val="none" w:sz="0" w:space="0" w:color="auto"/>
          </w:divBdr>
        </w:div>
        <w:div w:id="13962311">
          <w:marLeft w:val="0"/>
          <w:marRight w:val="0"/>
          <w:marTop w:val="0"/>
          <w:marBottom w:val="0"/>
          <w:divBdr>
            <w:top w:val="none" w:sz="0" w:space="0" w:color="auto"/>
            <w:left w:val="none" w:sz="0" w:space="0" w:color="auto"/>
            <w:bottom w:val="none" w:sz="0" w:space="0" w:color="auto"/>
            <w:right w:val="none" w:sz="0" w:space="0" w:color="auto"/>
          </w:divBdr>
        </w:div>
        <w:div w:id="2055931063">
          <w:marLeft w:val="0"/>
          <w:marRight w:val="0"/>
          <w:marTop w:val="0"/>
          <w:marBottom w:val="0"/>
          <w:divBdr>
            <w:top w:val="none" w:sz="0" w:space="0" w:color="auto"/>
            <w:left w:val="none" w:sz="0" w:space="0" w:color="auto"/>
            <w:bottom w:val="none" w:sz="0" w:space="0" w:color="auto"/>
            <w:right w:val="none" w:sz="0" w:space="0" w:color="auto"/>
          </w:divBdr>
        </w:div>
        <w:div w:id="2082828824">
          <w:marLeft w:val="0"/>
          <w:marRight w:val="0"/>
          <w:marTop w:val="0"/>
          <w:marBottom w:val="0"/>
          <w:divBdr>
            <w:top w:val="none" w:sz="0" w:space="0" w:color="auto"/>
            <w:left w:val="none" w:sz="0" w:space="0" w:color="auto"/>
            <w:bottom w:val="none" w:sz="0" w:space="0" w:color="auto"/>
            <w:right w:val="none" w:sz="0" w:space="0" w:color="auto"/>
          </w:divBdr>
        </w:div>
        <w:div w:id="673262764">
          <w:marLeft w:val="0"/>
          <w:marRight w:val="0"/>
          <w:marTop w:val="0"/>
          <w:marBottom w:val="0"/>
          <w:divBdr>
            <w:top w:val="none" w:sz="0" w:space="0" w:color="auto"/>
            <w:left w:val="none" w:sz="0" w:space="0" w:color="auto"/>
            <w:bottom w:val="none" w:sz="0" w:space="0" w:color="auto"/>
            <w:right w:val="none" w:sz="0" w:space="0" w:color="auto"/>
          </w:divBdr>
        </w:div>
        <w:div w:id="1221940648">
          <w:marLeft w:val="0"/>
          <w:marRight w:val="0"/>
          <w:marTop w:val="0"/>
          <w:marBottom w:val="0"/>
          <w:divBdr>
            <w:top w:val="none" w:sz="0" w:space="0" w:color="auto"/>
            <w:left w:val="none" w:sz="0" w:space="0" w:color="auto"/>
            <w:bottom w:val="none" w:sz="0" w:space="0" w:color="auto"/>
            <w:right w:val="none" w:sz="0" w:space="0" w:color="auto"/>
          </w:divBdr>
        </w:div>
        <w:div w:id="688065762">
          <w:marLeft w:val="0"/>
          <w:marRight w:val="0"/>
          <w:marTop w:val="0"/>
          <w:marBottom w:val="0"/>
          <w:divBdr>
            <w:top w:val="none" w:sz="0" w:space="0" w:color="auto"/>
            <w:left w:val="none" w:sz="0" w:space="0" w:color="auto"/>
            <w:bottom w:val="none" w:sz="0" w:space="0" w:color="auto"/>
            <w:right w:val="none" w:sz="0" w:space="0" w:color="auto"/>
          </w:divBdr>
        </w:div>
        <w:div w:id="1201822073">
          <w:marLeft w:val="0"/>
          <w:marRight w:val="0"/>
          <w:marTop w:val="0"/>
          <w:marBottom w:val="0"/>
          <w:divBdr>
            <w:top w:val="none" w:sz="0" w:space="0" w:color="auto"/>
            <w:left w:val="none" w:sz="0" w:space="0" w:color="auto"/>
            <w:bottom w:val="none" w:sz="0" w:space="0" w:color="auto"/>
            <w:right w:val="none" w:sz="0" w:space="0" w:color="auto"/>
          </w:divBdr>
        </w:div>
        <w:div w:id="400178627">
          <w:marLeft w:val="0"/>
          <w:marRight w:val="0"/>
          <w:marTop w:val="0"/>
          <w:marBottom w:val="0"/>
          <w:divBdr>
            <w:top w:val="none" w:sz="0" w:space="0" w:color="auto"/>
            <w:left w:val="none" w:sz="0" w:space="0" w:color="auto"/>
            <w:bottom w:val="none" w:sz="0" w:space="0" w:color="auto"/>
            <w:right w:val="none" w:sz="0" w:space="0" w:color="auto"/>
          </w:divBdr>
        </w:div>
        <w:div w:id="2008945976">
          <w:marLeft w:val="0"/>
          <w:marRight w:val="0"/>
          <w:marTop w:val="0"/>
          <w:marBottom w:val="0"/>
          <w:divBdr>
            <w:top w:val="none" w:sz="0" w:space="0" w:color="auto"/>
            <w:left w:val="none" w:sz="0" w:space="0" w:color="auto"/>
            <w:bottom w:val="none" w:sz="0" w:space="0" w:color="auto"/>
            <w:right w:val="none" w:sz="0" w:space="0" w:color="auto"/>
          </w:divBdr>
        </w:div>
        <w:div w:id="346448782">
          <w:marLeft w:val="0"/>
          <w:marRight w:val="0"/>
          <w:marTop w:val="0"/>
          <w:marBottom w:val="0"/>
          <w:divBdr>
            <w:top w:val="none" w:sz="0" w:space="0" w:color="auto"/>
            <w:left w:val="none" w:sz="0" w:space="0" w:color="auto"/>
            <w:bottom w:val="none" w:sz="0" w:space="0" w:color="auto"/>
            <w:right w:val="none" w:sz="0" w:space="0" w:color="auto"/>
          </w:divBdr>
        </w:div>
        <w:div w:id="1537352874">
          <w:marLeft w:val="0"/>
          <w:marRight w:val="0"/>
          <w:marTop w:val="0"/>
          <w:marBottom w:val="0"/>
          <w:divBdr>
            <w:top w:val="none" w:sz="0" w:space="0" w:color="auto"/>
            <w:left w:val="none" w:sz="0" w:space="0" w:color="auto"/>
            <w:bottom w:val="none" w:sz="0" w:space="0" w:color="auto"/>
            <w:right w:val="none" w:sz="0" w:space="0" w:color="auto"/>
          </w:divBdr>
        </w:div>
        <w:div w:id="717124183">
          <w:marLeft w:val="0"/>
          <w:marRight w:val="0"/>
          <w:marTop w:val="0"/>
          <w:marBottom w:val="0"/>
          <w:divBdr>
            <w:top w:val="none" w:sz="0" w:space="0" w:color="auto"/>
            <w:left w:val="none" w:sz="0" w:space="0" w:color="auto"/>
            <w:bottom w:val="none" w:sz="0" w:space="0" w:color="auto"/>
            <w:right w:val="none" w:sz="0" w:space="0" w:color="auto"/>
          </w:divBdr>
        </w:div>
        <w:div w:id="550577334">
          <w:marLeft w:val="0"/>
          <w:marRight w:val="0"/>
          <w:marTop w:val="0"/>
          <w:marBottom w:val="0"/>
          <w:divBdr>
            <w:top w:val="none" w:sz="0" w:space="0" w:color="auto"/>
            <w:left w:val="none" w:sz="0" w:space="0" w:color="auto"/>
            <w:bottom w:val="none" w:sz="0" w:space="0" w:color="auto"/>
            <w:right w:val="none" w:sz="0" w:space="0" w:color="auto"/>
          </w:divBdr>
        </w:div>
        <w:div w:id="1736076866">
          <w:marLeft w:val="0"/>
          <w:marRight w:val="0"/>
          <w:marTop w:val="0"/>
          <w:marBottom w:val="0"/>
          <w:divBdr>
            <w:top w:val="none" w:sz="0" w:space="0" w:color="auto"/>
            <w:left w:val="none" w:sz="0" w:space="0" w:color="auto"/>
            <w:bottom w:val="none" w:sz="0" w:space="0" w:color="auto"/>
            <w:right w:val="none" w:sz="0" w:space="0" w:color="auto"/>
          </w:divBdr>
        </w:div>
        <w:div w:id="868951751">
          <w:marLeft w:val="0"/>
          <w:marRight w:val="0"/>
          <w:marTop w:val="0"/>
          <w:marBottom w:val="0"/>
          <w:divBdr>
            <w:top w:val="none" w:sz="0" w:space="0" w:color="auto"/>
            <w:left w:val="none" w:sz="0" w:space="0" w:color="auto"/>
            <w:bottom w:val="none" w:sz="0" w:space="0" w:color="auto"/>
            <w:right w:val="none" w:sz="0" w:space="0" w:color="auto"/>
          </w:divBdr>
        </w:div>
        <w:div w:id="854925931">
          <w:marLeft w:val="0"/>
          <w:marRight w:val="0"/>
          <w:marTop w:val="0"/>
          <w:marBottom w:val="0"/>
          <w:divBdr>
            <w:top w:val="none" w:sz="0" w:space="0" w:color="auto"/>
            <w:left w:val="none" w:sz="0" w:space="0" w:color="auto"/>
            <w:bottom w:val="none" w:sz="0" w:space="0" w:color="auto"/>
            <w:right w:val="none" w:sz="0" w:space="0" w:color="auto"/>
          </w:divBdr>
        </w:div>
        <w:div w:id="2095735932">
          <w:marLeft w:val="0"/>
          <w:marRight w:val="0"/>
          <w:marTop w:val="0"/>
          <w:marBottom w:val="0"/>
          <w:divBdr>
            <w:top w:val="none" w:sz="0" w:space="0" w:color="auto"/>
            <w:left w:val="none" w:sz="0" w:space="0" w:color="auto"/>
            <w:bottom w:val="none" w:sz="0" w:space="0" w:color="auto"/>
            <w:right w:val="none" w:sz="0" w:space="0" w:color="auto"/>
          </w:divBdr>
        </w:div>
        <w:div w:id="98264442">
          <w:marLeft w:val="0"/>
          <w:marRight w:val="0"/>
          <w:marTop w:val="0"/>
          <w:marBottom w:val="0"/>
          <w:divBdr>
            <w:top w:val="none" w:sz="0" w:space="0" w:color="auto"/>
            <w:left w:val="none" w:sz="0" w:space="0" w:color="auto"/>
            <w:bottom w:val="none" w:sz="0" w:space="0" w:color="auto"/>
            <w:right w:val="none" w:sz="0" w:space="0" w:color="auto"/>
          </w:divBdr>
        </w:div>
        <w:div w:id="258952011">
          <w:marLeft w:val="0"/>
          <w:marRight w:val="0"/>
          <w:marTop w:val="0"/>
          <w:marBottom w:val="0"/>
          <w:divBdr>
            <w:top w:val="none" w:sz="0" w:space="0" w:color="auto"/>
            <w:left w:val="none" w:sz="0" w:space="0" w:color="auto"/>
            <w:bottom w:val="none" w:sz="0" w:space="0" w:color="auto"/>
            <w:right w:val="none" w:sz="0" w:space="0" w:color="auto"/>
          </w:divBdr>
        </w:div>
        <w:div w:id="751124633">
          <w:marLeft w:val="0"/>
          <w:marRight w:val="0"/>
          <w:marTop w:val="0"/>
          <w:marBottom w:val="0"/>
          <w:divBdr>
            <w:top w:val="none" w:sz="0" w:space="0" w:color="auto"/>
            <w:left w:val="none" w:sz="0" w:space="0" w:color="auto"/>
            <w:bottom w:val="none" w:sz="0" w:space="0" w:color="auto"/>
            <w:right w:val="none" w:sz="0" w:space="0" w:color="auto"/>
          </w:divBdr>
        </w:div>
        <w:div w:id="1506675508">
          <w:marLeft w:val="0"/>
          <w:marRight w:val="0"/>
          <w:marTop w:val="0"/>
          <w:marBottom w:val="0"/>
          <w:divBdr>
            <w:top w:val="none" w:sz="0" w:space="0" w:color="auto"/>
            <w:left w:val="none" w:sz="0" w:space="0" w:color="auto"/>
            <w:bottom w:val="none" w:sz="0" w:space="0" w:color="auto"/>
            <w:right w:val="none" w:sz="0" w:space="0" w:color="auto"/>
          </w:divBdr>
        </w:div>
        <w:div w:id="1322659449">
          <w:marLeft w:val="0"/>
          <w:marRight w:val="0"/>
          <w:marTop w:val="0"/>
          <w:marBottom w:val="0"/>
          <w:divBdr>
            <w:top w:val="none" w:sz="0" w:space="0" w:color="auto"/>
            <w:left w:val="none" w:sz="0" w:space="0" w:color="auto"/>
            <w:bottom w:val="none" w:sz="0" w:space="0" w:color="auto"/>
            <w:right w:val="none" w:sz="0" w:space="0" w:color="auto"/>
          </w:divBdr>
        </w:div>
        <w:div w:id="1804077875">
          <w:marLeft w:val="0"/>
          <w:marRight w:val="0"/>
          <w:marTop w:val="0"/>
          <w:marBottom w:val="0"/>
          <w:divBdr>
            <w:top w:val="none" w:sz="0" w:space="0" w:color="auto"/>
            <w:left w:val="none" w:sz="0" w:space="0" w:color="auto"/>
            <w:bottom w:val="none" w:sz="0" w:space="0" w:color="auto"/>
            <w:right w:val="none" w:sz="0" w:space="0" w:color="auto"/>
          </w:divBdr>
        </w:div>
        <w:div w:id="740979617">
          <w:marLeft w:val="0"/>
          <w:marRight w:val="0"/>
          <w:marTop w:val="0"/>
          <w:marBottom w:val="0"/>
          <w:divBdr>
            <w:top w:val="none" w:sz="0" w:space="0" w:color="auto"/>
            <w:left w:val="none" w:sz="0" w:space="0" w:color="auto"/>
            <w:bottom w:val="none" w:sz="0" w:space="0" w:color="auto"/>
            <w:right w:val="none" w:sz="0" w:space="0" w:color="auto"/>
          </w:divBdr>
        </w:div>
        <w:div w:id="316422004">
          <w:marLeft w:val="0"/>
          <w:marRight w:val="0"/>
          <w:marTop w:val="0"/>
          <w:marBottom w:val="0"/>
          <w:divBdr>
            <w:top w:val="none" w:sz="0" w:space="0" w:color="auto"/>
            <w:left w:val="none" w:sz="0" w:space="0" w:color="auto"/>
            <w:bottom w:val="none" w:sz="0" w:space="0" w:color="auto"/>
            <w:right w:val="none" w:sz="0" w:space="0" w:color="auto"/>
          </w:divBdr>
        </w:div>
        <w:div w:id="6293110">
          <w:marLeft w:val="0"/>
          <w:marRight w:val="0"/>
          <w:marTop w:val="0"/>
          <w:marBottom w:val="0"/>
          <w:divBdr>
            <w:top w:val="none" w:sz="0" w:space="0" w:color="auto"/>
            <w:left w:val="none" w:sz="0" w:space="0" w:color="auto"/>
            <w:bottom w:val="none" w:sz="0" w:space="0" w:color="auto"/>
            <w:right w:val="none" w:sz="0" w:space="0" w:color="auto"/>
          </w:divBdr>
        </w:div>
        <w:div w:id="1621648851">
          <w:marLeft w:val="0"/>
          <w:marRight w:val="0"/>
          <w:marTop w:val="0"/>
          <w:marBottom w:val="0"/>
          <w:divBdr>
            <w:top w:val="none" w:sz="0" w:space="0" w:color="auto"/>
            <w:left w:val="none" w:sz="0" w:space="0" w:color="auto"/>
            <w:bottom w:val="none" w:sz="0" w:space="0" w:color="auto"/>
            <w:right w:val="none" w:sz="0" w:space="0" w:color="auto"/>
          </w:divBdr>
        </w:div>
        <w:div w:id="1834098528">
          <w:marLeft w:val="0"/>
          <w:marRight w:val="0"/>
          <w:marTop w:val="0"/>
          <w:marBottom w:val="0"/>
          <w:divBdr>
            <w:top w:val="none" w:sz="0" w:space="0" w:color="auto"/>
            <w:left w:val="none" w:sz="0" w:space="0" w:color="auto"/>
            <w:bottom w:val="none" w:sz="0" w:space="0" w:color="auto"/>
            <w:right w:val="none" w:sz="0" w:space="0" w:color="auto"/>
          </w:divBdr>
        </w:div>
        <w:div w:id="727076544">
          <w:marLeft w:val="0"/>
          <w:marRight w:val="0"/>
          <w:marTop w:val="0"/>
          <w:marBottom w:val="0"/>
          <w:divBdr>
            <w:top w:val="none" w:sz="0" w:space="0" w:color="auto"/>
            <w:left w:val="none" w:sz="0" w:space="0" w:color="auto"/>
            <w:bottom w:val="none" w:sz="0" w:space="0" w:color="auto"/>
            <w:right w:val="none" w:sz="0" w:space="0" w:color="auto"/>
          </w:divBdr>
        </w:div>
        <w:div w:id="1217859204">
          <w:marLeft w:val="0"/>
          <w:marRight w:val="0"/>
          <w:marTop w:val="0"/>
          <w:marBottom w:val="0"/>
          <w:divBdr>
            <w:top w:val="none" w:sz="0" w:space="0" w:color="auto"/>
            <w:left w:val="none" w:sz="0" w:space="0" w:color="auto"/>
            <w:bottom w:val="none" w:sz="0" w:space="0" w:color="auto"/>
            <w:right w:val="none" w:sz="0" w:space="0" w:color="auto"/>
          </w:divBdr>
        </w:div>
        <w:div w:id="1877623244">
          <w:marLeft w:val="0"/>
          <w:marRight w:val="0"/>
          <w:marTop w:val="0"/>
          <w:marBottom w:val="0"/>
          <w:divBdr>
            <w:top w:val="none" w:sz="0" w:space="0" w:color="auto"/>
            <w:left w:val="none" w:sz="0" w:space="0" w:color="auto"/>
            <w:bottom w:val="none" w:sz="0" w:space="0" w:color="auto"/>
            <w:right w:val="none" w:sz="0" w:space="0" w:color="auto"/>
          </w:divBdr>
        </w:div>
        <w:div w:id="1245064166">
          <w:marLeft w:val="0"/>
          <w:marRight w:val="0"/>
          <w:marTop w:val="0"/>
          <w:marBottom w:val="0"/>
          <w:divBdr>
            <w:top w:val="none" w:sz="0" w:space="0" w:color="auto"/>
            <w:left w:val="none" w:sz="0" w:space="0" w:color="auto"/>
            <w:bottom w:val="none" w:sz="0" w:space="0" w:color="auto"/>
            <w:right w:val="none" w:sz="0" w:space="0" w:color="auto"/>
          </w:divBdr>
        </w:div>
        <w:div w:id="754860601">
          <w:marLeft w:val="0"/>
          <w:marRight w:val="0"/>
          <w:marTop w:val="0"/>
          <w:marBottom w:val="0"/>
          <w:divBdr>
            <w:top w:val="none" w:sz="0" w:space="0" w:color="auto"/>
            <w:left w:val="none" w:sz="0" w:space="0" w:color="auto"/>
            <w:bottom w:val="none" w:sz="0" w:space="0" w:color="auto"/>
            <w:right w:val="none" w:sz="0" w:space="0" w:color="auto"/>
          </w:divBdr>
        </w:div>
        <w:div w:id="727847024">
          <w:marLeft w:val="0"/>
          <w:marRight w:val="0"/>
          <w:marTop w:val="0"/>
          <w:marBottom w:val="0"/>
          <w:divBdr>
            <w:top w:val="none" w:sz="0" w:space="0" w:color="auto"/>
            <w:left w:val="none" w:sz="0" w:space="0" w:color="auto"/>
            <w:bottom w:val="none" w:sz="0" w:space="0" w:color="auto"/>
            <w:right w:val="none" w:sz="0" w:space="0" w:color="auto"/>
          </w:divBdr>
        </w:div>
        <w:div w:id="582183057">
          <w:marLeft w:val="0"/>
          <w:marRight w:val="0"/>
          <w:marTop w:val="0"/>
          <w:marBottom w:val="0"/>
          <w:divBdr>
            <w:top w:val="none" w:sz="0" w:space="0" w:color="auto"/>
            <w:left w:val="none" w:sz="0" w:space="0" w:color="auto"/>
            <w:bottom w:val="none" w:sz="0" w:space="0" w:color="auto"/>
            <w:right w:val="none" w:sz="0" w:space="0" w:color="auto"/>
          </w:divBdr>
        </w:div>
        <w:div w:id="461919339">
          <w:marLeft w:val="0"/>
          <w:marRight w:val="0"/>
          <w:marTop w:val="0"/>
          <w:marBottom w:val="0"/>
          <w:divBdr>
            <w:top w:val="none" w:sz="0" w:space="0" w:color="auto"/>
            <w:left w:val="none" w:sz="0" w:space="0" w:color="auto"/>
            <w:bottom w:val="none" w:sz="0" w:space="0" w:color="auto"/>
            <w:right w:val="none" w:sz="0" w:space="0" w:color="auto"/>
          </w:divBdr>
        </w:div>
        <w:div w:id="649866412">
          <w:marLeft w:val="0"/>
          <w:marRight w:val="0"/>
          <w:marTop w:val="0"/>
          <w:marBottom w:val="0"/>
          <w:divBdr>
            <w:top w:val="none" w:sz="0" w:space="0" w:color="auto"/>
            <w:left w:val="none" w:sz="0" w:space="0" w:color="auto"/>
            <w:bottom w:val="none" w:sz="0" w:space="0" w:color="auto"/>
            <w:right w:val="none" w:sz="0" w:space="0" w:color="auto"/>
          </w:divBdr>
        </w:div>
        <w:div w:id="1418673136">
          <w:marLeft w:val="0"/>
          <w:marRight w:val="0"/>
          <w:marTop w:val="0"/>
          <w:marBottom w:val="0"/>
          <w:divBdr>
            <w:top w:val="none" w:sz="0" w:space="0" w:color="auto"/>
            <w:left w:val="none" w:sz="0" w:space="0" w:color="auto"/>
            <w:bottom w:val="none" w:sz="0" w:space="0" w:color="auto"/>
            <w:right w:val="none" w:sz="0" w:space="0" w:color="auto"/>
          </w:divBdr>
        </w:div>
        <w:div w:id="77604591">
          <w:marLeft w:val="0"/>
          <w:marRight w:val="0"/>
          <w:marTop w:val="0"/>
          <w:marBottom w:val="0"/>
          <w:divBdr>
            <w:top w:val="none" w:sz="0" w:space="0" w:color="auto"/>
            <w:left w:val="none" w:sz="0" w:space="0" w:color="auto"/>
            <w:bottom w:val="none" w:sz="0" w:space="0" w:color="auto"/>
            <w:right w:val="none" w:sz="0" w:space="0" w:color="auto"/>
          </w:divBdr>
        </w:div>
        <w:div w:id="865484448">
          <w:marLeft w:val="0"/>
          <w:marRight w:val="0"/>
          <w:marTop w:val="0"/>
          <w:marBottom w:val="0"/>
          <w:divBdr>
            <w:top w:val="none" w:sz="0" w:space="0" w:color="auto"/>
            <w:left w:val="none" w:sz="0" w:space="0" w:color="auto"/>
            <w:bottom w:val="none" w:sz="0" w:space="0" w:color="auto"/>
            <w:right w:val="none" w:sz="0" w:space="0" w:color="auto"/>
          </w:divBdr>
        </w:div>
        <w:div w:id="251277466">
          <w:marLeft w:val="0"/>
          <w:marRight w:val="0"/>
          <w:marTop w:val="0"/>
          <w:marBottom w:val="0"/>
          <w:divBdr>
            <w:top w:val="none" w:sz="0" w:space="0" w:color="auto"/>
            <w:left w:val="none" w:sz="0" w:space="0" w:color="auto"/>
            <w:bottom w:val="none" w:sz="0" w:space="0" w:color="auto"/>
            <w:right w:val="none" w:sz="0" w:space="0" w:color="auto"/>
          </w:divBdr>
        </w:div>
        <w:div w:id="522212638">
          <w:marLeft w:val="0"/>
          <w:marRight w:val="0"/>
          <w:marTop w:val="0"/>
          <w:marBottom w:val="0"/>
          <w:divBdr>
            <w:top w:val="none" w:sz="0" w:space="0" w:color="auto"/>
            <w:left w:val="none" w:sz="0" w:space="0" w:color="auto"/>
            <w:bottom w:val="none" w:sz="0" w:space="0" w:color="auto"/>
            <w:right w:val="none" w:sz="0" w:space="0" w:color="auto"/>
          </w:divBdr>
        </w:div>
        <w:div w:id="2030837931">
          <w:marLeft w:val="0"/>
          <w:marRight w:val="0"/>
          <w:marTop w:val="0"/>
          <w:marBottom w:val="0"/>
          <w:divBdr>
            <w:top w:val="none" w:sz="0" w:space="0" w:color="auto"/>
            <w:left w:val="none" w:sz="0" w:space="0" w:color="auto"/>
            <w:bottom w:val="none" w:sz="0" w:space="0" w:color="auto"/>
            <w:right w:val="none" w:sz="0" w:space="0" w:color="auto"/>
          </w:divBdr>
        </w:div>
        <w:div w:id="1594970463">
          <w:marLeft w:val="0"/>
          <w:marRight w:val="0"/>
          <w:marTop w:val="0"/>
          <w:marBottom w:val="0"/>
          <w:divBdr>
            <w:top w:val="none" w:sz="0" w:space="0" w:color="auto"/>
            <w:left w:val="none" w:sz="0" w:space="0" w:color="auto"/>
            <w:bottom w:val="none" w:sz="0" w:space="0" w:color="auto"/>
            <w:right w:val="none" w:sz="0" w:space="0" w:color="auto"/>
          </w:divBdr>
        </w:div>
        <w:div w:id="1011493496">
          <w:marLeft w:val="0"/>
          <w:marRight w:val="0"/>
          <w:marTop w:val="0"/>
          <w:marBottom w:val="0"/>
          <w:divBdr>
            <w:top w:val="none" w:sz="0" w:space="0" w:color="auto"/>
            <w:left w:val="none" w:sz="0" w:space="0" w:color="auto"/>
            <w:bottom w:val="none" w:sz="0" w:space="0" w:color="auto"/>
            <w:right w:val="none" w:sz="0" w:space="0" w:color="auto"/>
          </w:divBdr>
        </w:div>
        <w:div w:id="1337418613">
          <w:marLeft w:val="0"/>
          <w:marRight w:val="0"/>
          <w:marTop w:val="0"/>
          <w:marBottom w:val="0"/>
          <w:divBdr>
            <w:top w:val="none" w:sz="0" w:space="0" w:color="auto"/>
            <w:left w:val="none" w:sz="0" w:space="0" w:color="auto"/>
            <w:bottom w:val="none" w:sz="0" w:space="0" w:color="auto"/>
            <w:right w:val="none" w:sz="0" w:space="0" w:color="auto"/>
          </w:divBdr>
        </w:div>
        <w:div w:id="861748416">
          <w:marLeft w:val="0"/>
          <w:marRight w:val="0"/>
          <w:marTop w:val="0"/>
          <w:marBottom w:val="0"/>
          <w:divBdr>
            <w:top w:val="none" w:sz="0" w:space="0" w:color="auto"/>
            <w:left w:val="none" w:sz="0" w:space="0" w:color="auto"/>
            <w:bottom w:val="none" w:sz="0" w:space="0" w:color="auto"/>
            <w:right w:val="none" w:sz="0" w:space="0" w:color="auto"/>
          </w:divBdr>
        </w:div>
        <w:div w:id="678193979">
          <w:marLeft w:val="0"/>
          <w:marRight w:val="0"/>
          <w:marTop w:val="0"/>
          <w:marBottom w:val="0"/>
          <w:divBdr>
            <w:top w:val="none" w:sz="0" w:space="0" w:color="auto"/>
            <w:left w:val="none" w:sz="0" w:space="0" w:color="auto"/>
            <w:bottom w:val="none" w:sz="0" w:space="0" w:color="auto"/>
            <w:right w:val="none" w:sz="0" w:space="0" w:color="auto"/>
          </w:divBdr>
        </w:div>
        <w:div w:id="1419332507">
          <w:marLeft w:val="0"/>
          <w:marRight w:val="0"/>
          <w:marTop w:val="0"/>
          <w:marBottom w:val="0"/>
          <w:divBdr>
            <w:top w:val="none" w:sz="0" w:space="0" w:color="auto"/>
            <w:left w:val="none" w:sz="0" w:space="0" w:color="auto"/>
            <w:bottom w:val="none" w:sz="0" w:space="0" w:color="auto"/>
            <w:right w:val="none" w:sz="0" w:space="0" w:color="auto"/>
          </w:divBdr>
        </w:div>
        <w:div w:id="123889152">
          <w:marLeft w:val="0"/>
          <w:marRight w:val="0"/>
          <w:marTop w:val="0"/>
          <w:marBottom w:val="0"/>
          <w:divBdr>
            <w:top w:val="none" w:sz="0" w:space="0" w:color="auto"/>
            <w:left w:val="none" w:sz="0" w:space="0" w:color="auto"/>
            <w:bottom w:val="none" w:sz="0" w:space="0" w:color="auto"/>
            <w:right w:val="none" w:sz="0" w:space="0" w:color="auto"/>
          </w:divBdr>
        </w:div>
        <w:div w:id="855266273">
          <w:marLeft w:val="0"/>
          <w:marRight w:val="0"/>
          <w:marTop w:val="0"/>
          <w:marBottom w:val="0"/>
          <w:divBdr>
            <w:top w:val="none" w:sz="0" w:space="0" w:color="auto"/>
            <w:left w:val="none" w:sz="0" w:space="0" w:color="auto"/>
            <w:bottom w:val="none" w:sz="0" w:space="0" w:color="auto"/>
            <w:right w:val="none" w:sz="0" w:space="0" w:color="auto"/>
          </w:divBdr>
        </w:div>
        <w:div w:id="2142073610">
          <w:marLeft w:val="0"/>
          <w:marRight w:val="0"/>
          <w:marTop w:val="0"/>
          <w:marBottom w:val="0"/>
          <w:divBdr>
            <w:top w:val="none" w:sz="0" w:space="0" w:color="auto"/>
            <w:left w:val="none" w:sz="0" w:space="0" w:color="auto"/>
            <w:bottom w:val="none" w:sz="0" w:space="0" w:color="auto"/>
            <w:right w:val="none" w:sz="0" w:space="0" w:color="auto"/>
          </w:divBdr>
        </w:div>
        <w:div w:id="1907300786">
          <w:marLeft w:val="0"/>
          <w:marRight w:val="0"/>
          <w:marTop w:val="0"/>
          <w:marBottom w:val="0"/>
          <w:divBdr>
            <w:top w:val="none" w:sz="0" w:space="0" w:color="auto"/>
            <w:left w:val="none" w:sz="0" w:space="0" w:color="auto"/>
            <w:bottom w:val="none" w:sz="0" w:space="0" w:color="auto"/>
            <w:right w:val="none" w:sz="0" w:space="0" w:color="auto"/>
          </w:divBdr>
        </w:div>
        <w:div w:id="1660771846">
          <w:marLeft w:val="0"/>
          <w:marRight w:val="0"/>
          <w:marTop w:val="0"/>
          <w:marBottom w:val="0"/>
          <w:divBdr>
            <w:top w:val="none" w:sz="0" w:space="0" w:color="auto"/>
            <w:left w:val="none" w:sz="0" w:space="0" w:color="auto"/>
            <w:bottom w:val="none" w:sz="0" w:space="0" w:color="auto"/>
            <w:right w:val="none" w:sz="0" w:space="0" w:color="auto"/>
          </w:divBdr>
        </w:div>
        <w:div w:id="1029598792">
          <w:marLeft w:val="0"/>
          <w:marRight w:val="0"/>
          <w:marTop w:val="0"/>
          <w:marBottom w:val="0"/>
          <w:divBdr>
            <w:top w:val="none" w:sz="0" w:space="0" w:color="auto"/>
            <w:left w:val="none" w:sz="0" w:space="0" w:color="auto"/>
            <w:bottom w:val="none" w:sz="0" w:space="0" w:color="auto"/>
            <w:right w:val="none" w:sz="0" w:space="0" w:color="auto"/>
          </w:divBdr>
        </w:div>
        <w:div w:id="1526213914">
          <w:marLeft w:val="0"/>
          <w:marRight w:val="0"/>
          <w:marTop w:val="0"/>
          <w:marBottom w:val="0"/>
          <w:divBdr>
            <w:top w:val="none" w:sz="0" w:space="0" w:color="auto"/>
            <w:left w:val="none" w:sz="0" w:space="0" w:color="auto"/>
            <w:bottom w:val="none" w:sz="0" w:space="0" w:color="auto"/>
            <w:right w:val="none" w:sz="0" w:space="0" w:color="auto"/>
          </w:divBdr>
        </w:div>
        <w:div w:id="1322150300">
          <w:marLeft w:val="0"/>
          <w:marRight w:val="0"/>
          <w:marTop w:val="0"/>
          <w:marBottom w:val="0"/>
          <w:divBdr>
            <w:top w:val="none" w:sz="0" w:space="0" w:color="auto"/>
            <w:left w:val="none" w:sz="0" w:space="0" w:color="auto"/>
            <w:bottom w:val="none" w:sz="0" w:space="0" w:color="auto"/>
            <w:right w:val="none" w:sz="0" w:space="0" w:color="auto"/>
          </w:divBdr>
        </w:div>
        <w:div w:id="471601618">
          <w:marLeft w:val="0"/>
          <w:marRight w:val="0"/>
          <w:marTop w:val="0"/>
          <w:marBottom w:val="0"/>
          <w:divBdr>
            <w:top w:val="none" w:sz="0" w:space="0" w:color="auto"/>
            <w:left w:val="none" w:sz="0" w:space="0" w:color="auto"/>
            <w:bottom w:val="none" w:sz="0" w:space="0" w:color="auto"/>
            <w:right w:val="none" w:sz="0" w:space="0" w:color="auto"/>
          </w:divBdr>
        </w:div>
        <w:div w:id="1099761642">
          <w:marLeft w:val="0"/>
          <w:marRight w:val="0"/>
          <w:marTop w:val="0"/>
          <w:marBottom w:val="0"/>
          <w:divBdr>
            <w:top w:val="none" w:sz="0" w:space="0" w:color="auto"/>
            <w:left w:val="none" w:sz="0" w:space="0" w:color="auto"/>
            <w:bottom w:val="none" w:sz="0" w:space="0" w:color="auto"/>
            <w:right w:val="none" w:sz="0" w:space="0" w:color="auto"/>
          </w:divBdr>
        </w:div>
        <w:div w:id="493180275">
          <w:marLeft w:val="0"/>
          <w:marRight w:val="0"/>
          <w:marTop w:val="0"/>
          <w:marBottom w:val="0"/>
          <w:divBdr>
            <w:top w:val="none" w:sz="0" w:space="0" w:color="auto"/>
            <w:left w:val="none" w:sz="0" w:space="0" w:color="auto"/>
            <w:bottom w:val="none" w:sz="0" w:space="0" w:color="auto"/>
            <w:right w:val="none" w:sz="0" w:space="0" w:color="auto"/>
          </w:divBdr>
        </w:div>
        <w:div w:id="1171724372">
          <w:marLeft w:val="0"/>
          <w:marRight w:val="0"/>
          <w:marTop w:val="0"/>
          <w:marBottom w:val="0"/>
          <w:divBdr>
            <w:top w:val="none" w:sz="0" w:space="0" w:color="auto"/>
            <w:left w:val="none" w:sz="0" w:space="0" w:color="auto"/>
            <w:bottom w:val="none" w:sz="0" w:space="0" w:color="auto"/>
            <w:right w:val="none" w:sz="0" w:space="0" w:color="auto"/>
          </w:divBdr>
        </w:div>
        <w:div w:id="1446315855">
          <w:marLeft w:val="0"/>
          <w:marRight w:val="0"/>
          <w:marTop w:val="0"/>
          <w:marBottom w:val="0"/>
          <w:divBdr>
            <w:top w:val="none" w:sz="0" w:space="0" w:color="auto"/>
            <w:left w:val="none" w:sz="0" w:space="0" w:color="auto"/>
            <w:bottom w:val="none" w:sz="0" w:space="0" w:color="auto"/>
            <w:right w:val="none" w:sz="0" w:space="0" w:color="auto"/>
          </w:divBdr>
        </w:div>
        <w:div w:id="2109622233">
          <w:marLeft w:val="0"/>
          <w:marRight w:val="0"/>
          <w:marTop w:val="0"/>
          <w:marBottom w:val="0"/>
          <w:divBdr>
            <w:top w:val="none" w:sz="0" w:space="0" w:color="auto"/>
            <w:left w:val="none" w:sz="0" w:space="0" w:color="auto"/>
            <w:bottom w:val="none" w:sz="0" w:space="0" w:color="auto"/>
            <w:right w:val="none" w:sz="0" w:space="0" w:color="auto"/>
          </w:divBdr>
        </w:div>
        <w:div w:id="1613587278">
          <w:marLeft w:val="0"/>
          <w:marRight w:val="0"/>
          <w:marTop w:val="0"/>
          <w:marBottom w:val="0"/>
          <w:divBdr>
            <w:top w:val="none" w:sz="0" w:space="0" w:color="auto"/>
            <w:left w:val="none" w:sz="0" w:space="0" w:color="auto"/>
            <w:bottom w:val="none" w:sz="0" w:space="0" w:color="auto"/>
            <w:right w:val="none" w:sz="0" w:space="0" w:color="auto"/>
          </w:divBdr>
        </w:div>
        <w:div w:id="1229996415">
          <w:marLeft w:val="0"/>
          <w:marRight w:val="0"/>
          <w:marTop w:val="0"/>
          <w:marBottom w:val="0"/>
          <w:divBdr>
            <w:top w:val="none" w:sz="0" w:space="0" w:color="auto"/>
            <w:left w:val="none" w:sz="0" w:space="0" w:color="auto"/>
            <w:bottom w:val="none" w:sz="0" w:space="0" w:color="auto"/>
            <w:right w:val="none" w:sz="0" w:space="0" w:color="auto"/>
          </w:divBdr>
        </w:div>
        <w:div w:id="1100183855">
          <w:marLeft w:val="0"/>
          <w:marRight w:val="0"/>
          <w:marTop w:val="0"/>
          <w:marBottom w:val="0"/>
          <w:divBdr>
            <w:top w:val="none" w:sz="0" w:space="0" w:color="auto"/>
            <w:left w:val="none" w:sz="0" w:space="0" w:color="auto"/>
            <w:bottom w:val="none" w:sz="0" w:space="0" w:color="auto"/>
            <w:right w:val="none" w:sz="0" w:space="0" w:color="auto"/>
          </w:divBdr>
        </w:div>
        <w:div w:id="639850497">
          <w:marLeft w:val="0"/>
          <w:marRight w:val="0"/>
          <w:marTop w:val="0"/>
          <w:marBottom w:val="0"/>
          <w:divBdr>
            <w:top w:val="none" w:sz="0" w:space="0" w:color="auto"/>
            <w:left w:val="none" w:sz="0" w:space="0" w:color="auto"/>
            <w:bottom w:val="none" w:sz="0" w:space="0" w:color="auto"/>
            <w:right w:val="none" w:sz="0" w:space="0" w:color="auto"/>
          </w:divBdr>
        </w:div>
        <w:div w:id="1357080753">
          <w:marLeft w:val="0"/>
          <w:marRight w:val="0"/>
          <w:marTop w:val="0"/>
          <w:marBottom w:val="0"/>
          <w:divBdr>
            <w:top w:val="none" w:sz="0" w:space="0" w:color="auto"/>
            <w:left w:val="none" w:sz="0" w:space="0" w:color="auto"/>
            <w:bottom w:val="none" w:sz="0" w:space="0" w:color="auto"/>
            <w:right w:val="none" w:sz="0" w:space="0" w:color="auto"/>
          </w:divBdr>
        </w:div>
        <w:div w:id="2031028615">
          <w:marLeft w:val="0"/>
          <w:marRight w:val="0"/>
          <w:marTop w:val="0"/>
          <w:marBottom w:val="0"/>
          <w:divBdr>
            <w:top w:val="none" w:sz="0" w:space="0" w:color="auto"/>
            <w:left w:val="none" w:sz="0" w:space="0" w:color="auto"/>
            <w:bottom w:val="none" w:sz="0" w:space="0" w:color="auto"/>
            <w:right w:val="none" w:sz="0" w:space="0" w:color="auto"/>
          </w:divBdr>
        </w:div>
        <w:div w:id="68430498">
          <w:marLeft w:val="0"/>
          <w:marRight w:val="0"/>
          <w:marTop w:val="0"/>
          <w:marBottom w:val="0"/>
          <w:divBdr>
            <w:top w:val="none" w:sz="0" w:space="0" w:color="auto"/>
            <w:left w:val="none" w:sz="0" w:space="0" w:color="auto"/>
            <w:bottom w:val="none" w:sz="0" w:space="0" w:color="auto"/>
            <w:right w:val="none" w:sz="0" w:space="0" w:color="auto"/>
          </w:divBdr>
        </w:div>
        <w:div w:id="700975936">
          <w:marLeft w:val="0"/>
          <w:marRight w:val="0"/>
          <w:marTop w:val="0"/>
          <w:marBottom w:val="0"/>
          <w:divBdr>
            <w:top w:val="none" w:sz="0" w:space="0" w:color="auto"/>
            <w:left w:val="none" w:sz="0" w:space="0" w:color="auto"/>
            <w:bottom w:val="none" w:sz="0" w:space="0" w:color="auto"/>
            <w:right w:val="none" w:sz="0" w:space="0" w:color="auto"/>
          </w:divBdr>
        </w:div>
        <w:div w:id="283773752">
          <w:marLeft w:val="0"/>
          <w:marRight w:val="0"/>
          <w:marTop w:val="0"/>
          <w:marBottom w:val="0"/>
          <w:divBdr>
            <w:top w:val="none" w:sz="0" w:space="0" w:color="auto"/>
            <w:left w:val="none" w:sz="0" w:space="0" w:color="auto"/>
            <w:bottom w:val="none" w:sz="0" w:space="0" w:color="auto"/>
            <w:right w:val="none" w:sz="0" w:space="0" w:color="auto"/>
          </w:divBdr>
        </w:div>
        <w:div w:id="2061246663">
          <w:marLeft w:val="0"/>
          <w:marRight w:val="0"/>
          <w:marTop w:val="0"/>
          <w:marBottom w:val="0"/>
          <w:divBdr>
            <w:top w:val="none" w:sz="0" w:space="0" w:color="auto"/>
            <w:left w:val="none" w:sz="0" w:space="0" w:color="auto"/>
            <w:bottom w:val="none" w:sz="0" w:space="0" w:color="auto"/>
            <w:right w:val="none" w:sz="0" w:space="0" w:color="auto"/>
          </w:divBdr>
        </w:div>
        <w:div w:id="2016034716">
          <w:marLeft w:val="0"/>
          <w:marRight w:val="0"/>
          <w:marTop w:val="0"/>
          <w:marBottom w:val="0"/>
          <w:divBdr>
            <w:top w:val="none" w:sz="0" w:space="0" w:color="auto"/>
            <w:left w:val="none" w:sz="0" w:space="0" w:color="auto"/>
            <w:bottom w:val="none" w:sz="0" w:space="0" w:color="auto"/>
            <w:right w:val="none" w:sz="0" w:space="0" w:color="auto"/>
          </w:divBdr>
        </w:div>
        <w:div w:id="1763841044">
          <w:marLeft w:val="0"/>
          <w:marRight w:val="0"/>
          <w:marTop w:val="0"/>
          <w:marBottom w:val="0"/>
          <w:divBdr>
            <w:top w:val="none" w:sz="0" w:space="0" w:color="auto"/>
            <w:left w:val="none" w:sz="0" w:space="0" w:color="auto"/>
            <w:bottom w:val="none" w:sz="0" w:space="0" w:color="auto"/>
            <w:right w:val="none" w:sz="0" w:space="0" w:color="auto"/>
          </w:divBdr>
        </w:div>
        <w:div w:id="1679187814">
          <w:marLeft w:val="0"/>
          <w:marRight w:val="0"/>
          <w:marTop w:val="0"/>
          <w:marBottom w:val="0"/>
          <w:divBdr>
            <w:top w:val="none" w:sz="0" w:space="0" w:color="auto"/>
            <w:left w:val="none" w:sz="0" w:space="0" w:color="auto"/>
            <w:bottom w:val="none" w:sz="0" w:space="0" w:color="auto"/>
            <w:right w:val="none" w:sz="0" w:space="0" w:color="auto"/>
          </w:divBdr>
        </w:div>
        <w:div w:id="2007857344">
          <w:marLeft w:val="0"/>
          <w:marRight w:val="0"/>
          <w:marTop w:val="0"/>
          <w:marBottom w:val="0"/>
          <w:divBdr>
            <w:top w:val="none" w:sz="0" w:space="0" w:color="auto"/>
            <w:left w:val="none" w:sz="0" w:space="0" w:color="auto"/>
            <w:bottom w:val="none" w:sz="0" w:space="0" w:color="auto"/>
            <w:right w:val="none" w:sz="0" w:space="0" w:color="auto"/>
          </w:divBdr>
        </w:div>
        <w:div w:id="2038190249">
          <w:marLeft w:val="0"/>
          <w:marRight w:val="0"/>
          <w:marTop w:val="0"/>
          <w:marBottom w:val="0"/>
          <w:divBdr>
            <w:top w:val="none" w:sz="0" w:space="0" w:color="auto"/>
            <w:left w:val="none" w:sz="0" w:space="0" w:color="auto"/>
            <w:bottom w:val="none" w:sz="0" w:space="0" w:color="auto"/>
            <w:right w:val="none" w:sz="0" w:space="0" w:color="auto"/>
          </w:divBdr>
        </w:div>
        <w:div w:id="2027439098">
          <w:marLeft w:val="0"/>
          <w:marRight w:val="0"/>
          <w:marTop w:val="0"/>
          <w:marBottom w:val="0"/>
          <w:divBdr>
            <w:top w:val="none" w:sz="0" w:space="0" w:color="auto"/>
            <w:left w:val="none" w:sz="0" w:space="0" w:color="auto"/>
            <w:bottom w:val="none" w:sz="0" w:space="0" w:color="auto"/>
            <w:right w:val="none" w:sz="0" w:space="0" w:color="auto"/>
          </w:divBdr>
        </w:div>
        <w:div w:id="1547064178">
          <w:marLeft w:val="0"/>
          <w:marRight w:val="0"/>
          <w:marTop w:val="0"/>
          <w:marBottom w:val="0"/>
          <w:divBdr>
            <w:top w:val="none" w:sz="0" w:space="0" w:color="auto"/>
            <w:left w:val="none" w:sz="0" w:space="0" w:color="auto"/>
            <w:bottom w:val="none" w:sz="0" w:space="0" w:color="auto"/>
            <w:right w:val="none" w:sz="0" w:space="0" w:color="auto"/>
          </w:divBdr>
        </w:div>
        <w:div w:id="2043747041">
          <w:marLeft w:val="0"/>
          <w:marRight w:val="0"/>
          <w:marTop w:val="0"/>
          <w:marBottom w:val="0"/>
          <w:divBdr>
            <w:top w:val="none" w:sz="0" w:space="0" w:color="auto"/>
            <w:left w:val="none" w:sz="0" w:space="0" w:color="auto"/>
            <w:bottom w:val="none" w:sz="0" w:space="0" w:color="auto"/>
            <w:right w:val="none" w:sz="0" w:space="0" w:color="auto"/>
          </w:divBdr>
        </w:div>
        <w:div w:id="809975955">
          <w:marLeft w:val="0"/>
          <w:marRight w:val="0"/>
          <w:marTop w:val="0"/>
          <w:marBottom w:val="0"/>
          <w:divBdr>
            <w:top w:val="none" w:sz="0" w:space="0" w:color="auto"/>
            <w:left w:val="none" w:sz="0" w:space="0" w:color="auto"/>
            <w:bottom w:val="none" w:sz="0" w:space="0" w:color="auto"/>
            <w:right w:val="none" w:sz="0" w:space="0" w:color="auto"/>
          </w:divBdr>
        </w:div>
        <w:div w:id="1662386485">
          <w:marLeft w:val="0"/>
          <w:marRight w:val="0"/>
          <w:marTop w:val="0"/>
          <w:marBottom w:val="0"/>
          <w:divBdr>
            <w:top w:val="none" w:sz="0" w:space="0" w:color="auto"/>
            <w:left w:val="none" w:sz="0" w:space="0" w:color="auto"/>
            <w:bottom w:val="none" w:sz="0" w:space="0" w:color="auto"/>
            <w:right w:val="none" w:sz="0" w:space="0" w:color="auto"/>
          </w:divBdr>
        </w:div>
        <w:div w:id="1232274078">
          <w:marLeft w:val="0"/>
          <w:marRight w:val="0"/>
          <w:marTop w:val="0"/>
          <w:marBottom w:val="0"/>
          <w:divBdr>
            <w:top w:val="none" w:sz="0" w:space="0" w:color="auto"/>
            <w:left w:val="none" w:sz="0" w:space="0" w:color="auto"/>
            <w:bottom w:val="none" w:sz="0" w:space="0" w:color="auto"/>
            <w:right w:val="none" w:sz="0" w:space="0" w:color="auto"/>
          </w:divBdr>
        </w:div>
        <w:div w:id="2098095540">
          <w:marLeft w:val="0"/>
          <w:marRight w:val="0"/>
          <w:marTop w:val="0"/>
          <w:marBottom w:val="0"/>
          <w:divBdr>
            <w:top w:val="none" w:sz="0" w:space="0" w:color="auto"/>
            <w:left w:val="none" w:sz="0" w:space="0" w:color="auto"/>
            <w:bottom w:val="none" w:sz="0" w:space="0" w:color="auto"/>
            <w:right w:val="none" w:sz="0" w:space="0" w:color="auto"/>
          </w:divBdr>
        </w:div>
        <w:div w:id="1211724953">
          <w:marLeft w:val="0"/>
          <w:marRight w:val="0"/>
          <w:marTop w:val="0"/>
          <w:marBottom w:val="0"/>
          <w:divBdr>
            <w:top w:val="none" w:sz="0" w:space="0" w:color="auto"/>
            <w:left w:val="none" w:sz="0" w:space="0" w:color="auto"/>
            <w:bottom w:val="none" w:sz="0" w:space="0" w:color="auto"/>
            <w:right w:val="none" w:sz="0" w:space="0" w:color="auto"/>
          </w:divBdr>
        </w:div>
        <w:div w:id="1042679739">
          <w:marLeft w:val="0"/>
          <w:marRight w:val="0"/>
          <w:marTop w:val="0"/>
          <w:marBottom w:val="0"/>
          <w:divBdr>
            <w:top w:val="none" w:sz="0" w:space="0" w:color="auto"/>
            <w:left w:val="none" w:sz="0" w:space="0" w:color="auto"/>
            <w:bottom w:val="none" w:sz="0" w:space="0" w:color="auto"/>
            <w:right w:val="none" w:sz="0" w:space="0" w:color="auto"/>
          </w:divBdr>
        </w:div>
        <w:div w:id="172457930">
          <w:marLeft w:val="0"/>
          <w:marRight w:val="0"/>
          <w:marTop w:val="0"/>
          <w:marBottom w:val="0"/>
          <w:divBdr>
            <w:top w:val="none" w:sz="0" w:space="0" w:color="auto"/>
            <w:left w:val="none" w:sz="0" w:space="0" w:color="auto"/>
            <w:bottom w:val="none" w:sz="0" w:space="0" w:color="auto"/>
            <w:right w:val="none" w:sz="0" w:space="0" w:color="auto"/>
          </w:divBdr>
        </w:div>
        <w:div w:id="192230029">
          <w:marLeft w:val="0"/>
          <w:marRight w:val="0"/>
          <w:marTop w:val="0"/>
          <w:marBottom w:val="0"/>
          <w:divBdr>
            <w:top w:val="none" w:sz="0" w:space="0" w:color="auto"/>
            <w:left w:val="none" w:sz="0" w:space="0" w:color="auto"/>
            <w:bottom w:val="none" w:sz="0" w:space="0" w:color="auto"/>
            <w:right w:val="none" w:sz="0" w:space="0" w:color="auto"/>
          </w:divBdr>
        </w:div>
        <w:div w:id="1602448971">
          <w:marLeft w:val="0"/>
          <w:marRight w:val="0"/>
          <w:marTop w:val="0"/>
          <w:marBottom w:val="0"/>
          <w:divBdr>
            <w:top w:val="none" w:sz="0" w:space="0" w:color="auto"/>
            <w:left w:val="none" w:sz="0" w:space="0" w:color="auto"/>
            <w:bottom w:val="none" w:sz="0" w:space="0" w:color="auto"/>
            <w:right w:val="none" w:sz="0" w:space="0" w:color="auto"/>
          </w:divBdr>
        </w:div>
        <w:div w:id="1369449661">
          <w:marLeft w:val="0"/>
          <w:marRight w:val="0"/>
          <w:marTop w:val="0"/>
          <w:marBottom w:val="0"/>
          <w:divBdr>
            <w:top w:val="none" w:sz="0" w:space="0" w:color="auto"/>
            <w:left w:val="none" w:sz="0" w:space="0" w:color="auto"/>
            <w:bottom w:val="none" w:sz="0" w:space="0" w:color="auto"/>
            <w:right w:val="none" w:sz="0" w:space="0" w:color="auto"/>
          </w:divBdr>
        </w:div>
        <w:div w:id="115489597">
          <w:marLeft w:val="0"/>
          <w:marRight w:val="0"/>
          <w:marTop w:val="0"/>
          <w:marBottom w:val="0"/>
          <w:divBdr>
            <w:top w:val="none" w:sz="0" w:space="0" w:color="auto"/>
            <w:left w:val="none" w:sz="0" w:space="0" w:color="auto"/>
            <w:bottom w:val="none" w:sz="0" w:space="0" w:color="auto"/>
            <w:right w:val="none" w:sz="0" w:space="0" w:color="auto"/>
          </w:divBdr>
        </w:div>
        <w:div w:id="689264285">
          <w:marLeft w:val="0"/>
          <w:marRight w:val="0"/>
          <w:marTop w:val="0"/>
          <w:marBottom w:val="0"/>
          <w:divBdr>
            <w:top w:val="none" w:sz="0" w:space="0" w:color="auto"/>
            <w:left w:val="none" w:sz="0" w:space="0" w:color="auto"/>
            <w:bottom w:val="none" w:sz="0" w:space="0" w:color="auto"/>
            <w:right w:val="none" w:sz="0" w:space="0" w:color="auto"/>
          </w:divBdr>
        </w:div>
        <w:div w:id="1462839670">
          <w:marLeft w:val="0"/>
          <w:marRight w:val="0"/>
          <w:marTop w:val="0"/>
          <w:marBottom w:val="0"/>
          <w:divBdr>
            <w:top w:val="none" w:sz="0" w:space="0" w:color="auto"/>
            <w:left w:val="none" w:sz="0" w:space="0" w:color="auto"/>
            <w:bottom w:val="none" w:sz="0" w:space="0" w:color="auto"/>
            <w:right w:val="none" w:sz="0" w:space="0" w:color="auto"/>
          </w:divBdr>
        </w:div>
        <w:div w:id="360515495">
          <w:marLeft w:val="0"/>
          <w:marRight w:val="0"/>
          <w:marTop w:val="0"/>
          <w:marBottom w:val="0"/>
          <w:divBdr>
            <w:top w:val="none" w:sz="0" w:space="0" w:color="auto"/>
            <w:left w:val="none" w:sz="0" w:space="0" w:color="auto"/>
            <w:bottom w:val="none" w:sz="0" w:space="0" w:color="auto"/>
            <w:right w:val="none" w:sz="0" w:space="0" w:color="auto"/>
          </w:divBdr>
        </w:div>
        <w:div w:id="582222857">
          <w:marLeft w:val="0"/>
          <w:marRight w:val="0"/>
          <w:marTop w:val="0"/>
          <w:marBottom w:val="0"/>
          <w:divBdr>
            <w:top w:val="none" w:sz="0" w:space="0" w:color="auto"/>
            <w:left w:val="none" w:sz="0" w:space="0" w:color="auto"/>
            <w:bottom w:val="none" w:sz="0" w:space="0" w:color="auto"/>
            <w:right w:val="none" w:sz="0" w:space="0" w:color="auto"/>
          </w:divBdr>
        </w:div>
        <w:div w:id="1408066070">
          <w:marLeft w:val="0"/>
          <w:marRight w:val="0"/>
          <w:marTop w:val="0"/>
          <w:marBottom w:val="0"/>
          <w:divBdr>
            <w:top w:val="none" w:sz="0" w:space="0" w:color="auto"/>
            <w:left w:val="none" w:sz="0" w:space="0" w:color="auto"/>
            <w:bottom w:val="none" w:sz="0" w:space="0" w:color="auto"/>
            <w:right w:val="none" w:sz="0" w:space="0" w:color="auto"/>
          </w:divBdr>
        </w:div>
        <w:div w:id="2102143325">
          <w:marLeft w:val="0"/>
          <w:marRight w:val="0"/>
          <w:marTop w:val="0"/>
          <w:marBottom w:val="0"/>
          <w:divBdr>
            <w:top w:val="none" w:sz="0" w:space="0" w:color="auto"/>
            <w:left w:val="none" w:sz="0" w:space="0" w:color="auto"/>
            <w:bottom w:val="none" w:sz="0" w:space="0" w:color="auto"/>
            <w:right w:val="none" w:sz="0" w:space="0" w:color="auto"/>
          </w:divBdr>
        </w:div>
        <w:div w:id="1722636884">
          <w:marLeft w:val="0"/>
          <w:marRight w:val="0"/>
          <w:marTop w:val="0"/>
          <w:marBottom w:val="0"/>
          <w:divBdr>
            <w:top w:val="none" w:sz="0" w:space="0" w:color="auto"/>
            <w:left w:val="none" w:sz="0" w:space="0" w:color="auto"/>
            <w:bottom w:val="none" w:sz="0" w:space="0" w:color="auto"/>
            <w:right w:val="none" w:sz="0" w:space="0" w:color="auto"/>
          </w:divBdr>
        </w:div>
        <w:div w:id="1987709515">
          <w:marLeft w:val="0"/>
          <w:marRight w:val="0"/>
          <w:marTop w:val="0"/>
          <w:marBottom w:val="0"/>
          <w:divBdr>
            <w:top w:val="none" w:sz="0" w:space="0" w:color="auto"/>
            <w:left w:val="none" w:sz="0" w:space="0" w:color="auto"/>
            <w:bottom w:val="none" w:sz="0" w:space="0" w:color="auto"/>
            <w:right w:val="none" w:sz="0" w:space="0" w:color="auto"/>
          </w:divBdr>
        </w:div>
        <w:div w:id="2076661617">
          <w:marLeft w:val="0"/>
          <w:marRight w:val="0"/>
          <w:marTop w:val="0"/>
          <w:marBottom w:val="0"/>
          <w:divBdr>
            <w:top w:val="none" w:sz="0" w:space="0" w:color="auto"/>
            <w:left w:val="none" w:sz="0" w:space="0" w:color="auto"/>
            <w:bottom w:val="none" w:sz="0" w:space="0" w:color="auto"/>
            <w:right w:val="none" w:sz="0" w:space="0" w:color="auto"/>
          </w:divBdr>
        </w:div>
        <w:div w:id="494883437">
          <w:marLeft w:val="0"/>
          <w:marRight w:val="0"/>
          <w:marTop w:val="0"/>
          <w:marBottom w:val="0"/>
          <w:divBdr>
            <w:top w:val="none" w:sz="0" w:space="0" w:color="auto"/>
            <w:left w:val="none" w:sz="0" w:space="0" w:color="auto"/>
            <w:bottom w:val="none" w:sz="0" w:space="0" w:color="auto"/>
            <w:right w:val="none" w:sz="0" w:space="0" w:color="auto"/>
          </w:divBdr>
        </w:div>
        <w:div w:id="1083914717">
          <w:marLeft w:val="0"/>
          <w:marRight w:val="0"/>
          <w:marTop w:val="0"/>
          <w:marBottom w:val="0"/>
          <w:divBdr>
            <w:top w:val="none" w:sz="0" w:space="0" w:color="auto"/>
            <w:left w:val="none" w:sz="0" w:space="0" w:color="auto"/>
            <w:bottom w:val="none" w:sz="0" w:space="0" w:color="auto"/>
            <w:right w:val="none" w:sz="0" w:space="0" w:color="auto"/>
          </w:divBdr>
        </w:div>
        <w:div w:id="2061903768">
          <w:marLeft w:val="0"/>
          <w:marRight w:val="0"/>
          <w:marTop w:val="0"/>
          <w:marBottom w:val="0"/>
          <w:divBdr>
            <w:top w:val="none" w:sz="0" w:space="0" w:color="auto"/>
            <w:left w:val="none" w:sz="0" w:space="0" w:color="auto"/>
            <w:bottom w:val="none" w:sz="0" w:space="0" w:color="auto"/>
            <w:right w:val="none" w:sz="0" w:space="0" w:color="auto"/>
          </w:divBdr>
        </w:div>
        <w:div w:id="253588102">
          <w:marLeft w:val="0"/>
          <w:marRight w:val="0"/>
          <w:marTop w:val="0"/>
          <w:marBottom w:val="0"/>
          <w:divBdr>
            <w:top w:val="none" w:sz="0" w:space="0" w:color="auto"/>
            <w:left w:val="none" w:sz="0" w:space="0" w:color="auto"/>
            <w:bottom w:val="none" w:sz="0" w:space="0" w:color="auto"/>
            <w:right w:val="none" w:sz="0" w:space="0" w:color="auto"/>
          </w:divBdr>
        </w:div>
        <w:div w:id="692923489">
          <w:marLeft w:val="0"/>
          <w:marRight w:val="0"/>
          <w:marTop w:val="0"/>
          <w:marBottom w:val="0"/>
          <w:divBdr>
            <w:top w:val="none" w:sz="0" w:space="0" w:color="auto"/>
            <w:left w:val="none" w:sz="0" w:space="0" w:color="auto"/>
            <w:bottom w:val="none" w:sz="0" w:space="0" w:color="auto"/>
            <w:right w:val="none" w:sz="0" w:space="0" w:color="auto"/>
          </w:divBdr>
        </w:div>
        <w:div w:id="541791347">
          <w:marLeft w:val="0"/>
          <w:marRight w:val="0"/>
          <w:marTop w:val="0"/>
          <w:marBottom w:val="0"/>
          <w:divBdr>
            <w:top w:val="none" w:sz="0" w:space="0" w:color="auto"/>
            <w:left w:val="none" w:sz="0" w:space="0" w:color="auto"/>
            <w:bottom w:val="none" w:sz="0" w:space="0" w:color="auto"/>
            <w:right w:val="none" w:sz="0" w:space="0" w:color="auto"/>
          </w:divBdr>
        </w:div>
        <w:div w:id="125315759">
          <w:marLeft w:val="0"/>
          <w:marRight w:val="0"/>
          <w:marTop w:val="0"/>
          <w:marBottom w:val="0"/>
          <w:divBdr>
            <w:top w:val="none" w:sz="0" w:space="0" w:color="auto"/>
            <w:left w:val="none" w:sz="0" w:space="0" w:color="auto"/>
            <w:bottom w:val="none" w:sz="0" w:space="0" w:color="auto"/>
            <w:right w:val="none" w:sz="0" w:space="0" w:color="auto"/>
          </w:divBdr>
        </w:div>
        <w:div w:id="1988901164">
          <w:marLeft w:val="0"/>
          <w:marRight w:val="0"/>
          <w:marTop w:val="0"/>
          <w:marBottom w:val="0"/>
          <w:divBdr>
            <w:top w:val="none" w:sz="0" w:space="0" w:color="auto"/>
            <w:left w:val="none" w:sz="0" w:space="0" w:color="auto"/>
            <w:bottom w:val="none" w:sz="0" w:space="0" w:color="auto"/>
            <w:right w:val="none" w:sz="0" w:space="0" w:color="auto"/>
          </w:divBdr>
        </w:div>
        <w:div w:id="1503659892">
          <w:marLeft w:val="0"/>
          <w:marRight w:val="0"/>
          <w:marTop w:val="0"/>
          <w:marBottom w:val="0"/>
          <w:divBdr>
            <w:top w:val="none" w:sz="0" w:space="0" w:color="auto"/>
            <w:left w:val="none" w:sz="0" w:space="0" w:color="auto"/>
            <w:bottom w:val="none" w:sz="0" w:space="0" w:color="auto"/>
            <w:right w:val="none" w:sz="0" w:space="0" w:color="auto"/>
          </w:divBdr>
        </w:div>
        <w:div w:id="2119061164">
          <w:marLeft w:val="0"/>
          <w:marRight w:val="0"/>
          <w:marTop w:val="0"/>
          <w:marBottom w:val="0"/>
          <w:divBdr>
            <w:top w:val="none" w:sz="0" w:space="0" w:color="auto"/>
            <w:left w:val="none" w:sz="0" w:space="0" w:color="auto"/>
            <w:bottom w:val="none" w:sz="0" w:space="0" w:color="auto"/>
            <w:right w:val="none" w:sz="0" w:space="0" w:color="auto"/>
          </w:divBdr>
        </w:div>
        <w:div w:id="1156729925">
          <w:marLeft w:val="0"/>
          <w:marRight w:val="0"/>
          <w:marTop w:val="0"/>
          <w:marBottom w:val="0"/>
          <w:divBdr>
            <w:top w:val="none" w:sz="0" w:space="0" w:color="auto"/>
            <w:left w:val="none" w:sz="0" w:space="0" w:color="auto"/>
            <w:bottom w:val="none" w:sz="0" w:space="0" w:color="auto"/>
            <w:right w:val="none" w:sz="0" w:space="0" w:color="auto"/>
          </w:divBdr>
        </w:div>
        <w:div w:id="521748123">
          <w:marLeft w:val="0"/>
          <w:marRight w:val="0"/>
          <w:marTop w:val="0"/>
          <w:marBottom w:val="0"/>
          <w:divBdr>
            <w:top w:val="none" w:sz="0" w:space="0" w:color="auto"/>
            <w:left w:val="none" w:sz="0" w:space="0" w:color="auto"/>
            <w:bottom w:val="none" w:sz="0" w:space="0" w:color="auto"/>
            <w:right w:val="none" w:sz="0" w:space="0" w:color="auto"/>
          </w:divBdr>
        </w:div>
        <w:div w:id="1343048582">
          <w:marLeft w:val="0"/>
          <w:marRight w:val="0"/>
          <w:marTop w:val="0"/>
          <w:marBottom w:val="0"/>
          <w:divBdr>
            <w:top w:val="none" w:sz="0" w:space="0" w:color="auto"/>
            <w:left w:val="none" w:sz="0" w:space="0" w:color="auto"/>
            <w:bottom w:val="none" w:sz="0" w:space="0" w:color="auto"/>
            <w:right w:val="none" w:sz="0" w:space="0" w:color="auto"/>
          </w:divBdr>
        </w:div>
        <w:div w:id="71244124">
          <w:marLeft w:val="0"/>
          <w:marRight w:val="0"/>
          <w:marTop w:val="0"/>
          <w:marBottom w:val="0"/>
          <w:divBdr>
            <w:top w:val="none" w:sz="0" w:space="0" w:color="auto"/>
            <w:left w:val="none" w:sz="0" w:space="0" w:color="auto"/>
            <w:bottom w:val="none" w:sz="0" w:space="0" w:color="auto"/>
            <w:right w:val="none" w:sz="0" w:space="0" w:color="auto"/>
          </w:divBdr>
        </w:div>
        <w:div w:id="1836452174">
          <w:marLeft w:val="0"/>
          <w:marRight w:val="0"/>
          <w:marTop w:val="0"/>
          <w:marBottom w:val="0"/>
          <w:divBdr>
            <w:top w:val="none" w:sz="0" w:space="0" w:color="auto"/>
            <w:left w:val="none" w:sz="0" w:space="0" w:color="auto"/>
            <w:bottom w:val="none" w:sz="0" w:space="0" w:color="auto"/>
            <w:right w:val="none" w:sz="0" w:space="0" w:color="auto"/>
          </w:divBdr>
        </w:div>
        <w:div w:id="320889136">
          <w:marLeft w:val="0"/>
          <w:marRight w:val="0"/>
          <w:marTop w:val="0"/>
          <w:marBottom w:val="0"/>
          <w:divBdr>
            <w:top w:val="none" w:sz="0" w:space="0" w:color="auto"/>
            <w:left w:val="none" w:sz="0" w:space="0" w:color="auto"/>
            <w:bottom w:val="none" w:sz="0" w:space="0" w:color="auto"/>
            <w:right w:val="none" w:sz="0" w:space="0" w:color="auto"/>
          </w:divBdr>
        </w:div>
        <w:div w:id="360133115">
          <w:marLeft w:val="0"/>
          <w:marRight w:val="0"/>
          <w:marTop w:val="0"/>
          <w:marBottom w:val="0"/>
          <w:divBdr>
            <w:top w:val="none" w:sz="0" w:space="0" w:color="auto"/>
            <w:left w:val="none" w:sz="0" w:space="0" w:color="auto"/>
            <w:bottom w:val="none" w:sz="0" w:space="0" w:color="auto"/>
            <w:right w:val="none" w:sz="0" w:space="0" w:color="auto"/>
          </w:divBdr>
        </w:div>
        <w:div w:id="1907103550">
          <w:marLeft w:val="0"/>
          <w:marRight w:val="0"/>
          <w:marTop w:val="0"/>
          <w:marBottom w:val="0"/>
          <w:divBdr>
            <w:top w:val="none" w:sz="0" w:space="0" w:color="auto"/>
            <w:left w:val="none" w:sz="0" w:space="0" w:color="auto"/>
            <w:bottom w:val="none" w:sz="0" w:space="0" w:color="auto"/>
            <w:right w:val="none" w:sz="0" w:space="0" w:color="auto"/>
          </w:divBdr>
        </w:div>
        <w:div w:id="804077849">
          <w:marLeft w:val="0"/>
          <w:marRight w:val="0"/>
          <w:marTop w:val="0"/>
          <w:marBottom w:val="0"/>
          <w:divBdr>
            <w:top w:val="none" w:sz="0" w:space="0" w:color="auto"/>
            <w:left w:val="none" w:sz="0" w:space="0" w:color="auto"/>
            <w:bottom w:val="none" w:sz="0" w:space="0" w:color="auto"/>
            <w:right w:val="none" w:sz="0" w:space="0" w:color="auto"/>
          </w:divBdr>
        </w:div>
        <w:div w:id="1922912615">
          <w:marLeft w:val="0"/>
          <w:marRight w:val="0"/>
          <w:marTop w:val="0"/>
          <w:marBottom w:val="0"/>
          <w:divBdr>
            <w:top w:val="none" w:sz="0" w:space="0" w:color="auto"/>
            <w:left w:val="none" w:sz="0" w:space="0" w:color="auto"/>
            <w:bottom w:val="none" w:sz="0" w:space="0" w:color="auto"/>
            <w:right w:val="none" w:sz="0" w:space="0" w:color="auto"/>
          </w:divBdr>
        </w:div>
        <w:div w:id="1985574347">
          <w:marLeft w:val="0"/>
          <w:marRight w:val="0"/>
          <w:marTop w:val="0"/>
          <w:marBottom w:val="0"/>
          <w:divBdr>
            <w:top w:val="none" w:sz="0" w:space="0" w:color="auto"/>
            <w:left w:val="none" w:sz="0" w:space="0" w:color="auto"/>
            <w:bottom w:val="none" w:sz="0" w:space="0" w:color="auto"/>
            <w:right w:val="none" w:sz="0" w:space="0" w:color="auto"/>
          </w:divBdr>
        </w:div>
        <w:div w:id="449593982">
          <w:marLeft w:val="0"/>
          <w:marRight w:val="0"/>
          <w:marTop w:val="0"/>
          <w:marBottom w:val="0"/>
          <w:divBdr>
            <w:top w:val="none" w:sz="0" w:space="0" w:color="auto"/>
            <w:left w:val="none" w:sz="0" w:space="0" w:color="auto"/>
            <w:bottom w:val="none" w:sz="0" w:space="0" w:color="auto"/>
            <w:right w:val="none" w:sz="0" w:space="0" w:color="auto"/>
          </w:divBdr>
        </w:div>
        <w:div w:id="1853379592">
          <w:marLeft w:val="0"/>
          <w:marRight w:val="0"/>
          <w:marTop w:val="0"/>
          <w:marBottom w:val="0"/>
          <w:divBdr>
            <w:top w:val="none" w:sz="0" w:space="0" w:color="auto"/>
            <w:left w:val="none" w:sz="0" w:space="0" w:color="auto"/>
            <w:bottom w:val="none" w:sz="0" w:space="0" w:color="auto"/>
            <w:right w:val="none" w:sz="0" w:space="0" w:color="auto"/>
          </w:divBdr>
        </w:div>
        <w:div w:id="1651715211">
          <w:marLeft w:val="0"/>
          <w:marRight w:val="0"/>
          <w:marTop w:val="0"/>
          <w:marBottom w:val="0"/>
          <w:divBdr>
            <w:top w:val="none" w:sz="0" w:space="0" w:color="auto"/>
            <w:left w:val="none" w:sz="0" w:space="0" w:color="auto"/>
            <w:bottom w:val="none" w:sz="0" w:space="0" w:color="auto"/>
            <w:right w:val="none" w:sz="0" w:space="0" w:color="auto"/>
          </w:divBdr>
        </w:div>
        <w:div w:id="1497963223">
          <w:marLeft w:val="0"/>
          <w:marRight w:val="0"/>
          <w:marTop w:val="0"/>
          <w:marBottom w:val="0"/>
          <w:divBdr>
            <w:top w:val="none" w:sz="0" w:space="0" w:color="auto"/>
            <w:left w:val="none" w:sz="0" w:space="0" w:color="auto"/>
            <w:bottom w:val="none" w:sz="0" w:space="0" w:color="auto"/>
            <w:right w:val="none" w:sz="0" w:space="0" w:color="auto"/>
          </w:divBdr>
        </w:div>
        <w:div w:id="850950716">
          <w:marLeft w:val="0"/>
          <w:marRight w:val="0"/>
          <w:marTop w:val="0"/>
          <w:marBottom w:val="0"/>
          <w:divBdr>
            <w:top w:val="none" w:sz="0" w:space="0" w:color="auto"/>
            <w:left w:val="none" w:sz="0" w:space="0" w:color="auto"/>
            <w:bottom w:val="none" w:sz="0" w:space="0" w:color="auto"/>
            <w:right w:val="none" w:sz="0" w:space="0" w:color="auto"/>
          </w:divBdr>
        </w:div>
        <w:div w:id="1802724668">
          <w:marLeft w:val="0"/>
          <w:marRight w:val="0"/>
          <w:marTop w:val="0"/>
          <w:marBottom w:val="0"/>
          <w:divBdr>
            <w:top w:val="none" w:sz="0" w:space="0" w:color="auto"/>
            <w:left w:val="none" w:sz="0" w:space="0" w:color="auto"/>
            <w:bottom w:val="none" w:sz="0" w:space="0" w:color="auto"/>
            <w:right w:val="none" w:sz="0" w:space="0" w:color="auto"/>
          </w:divBdr>
        </w:div>
        <w:div w:id="1674604074">
          <w:marLeft w:val="0"/>
          <w:marRight w:val="0"/>
          <w:marTop w:val="0"/>
          <w:marBottom w:val="0"/>
          <w:divBdr>
            <w:top w:val="none" w:sz="0" w:space="0" w:color="auto"/>
            <w:left w:val="none" w:sz="0" w:space="0" w:color="auto"/>
            <w:bottom w:val="none" w:sz="0" w:space="0" w:color="auto"/>
            <w:right w:val="none" w:sz="0" w:space="0" w:color="auto"/>
          </w:divBdr>
        </w:div>
        <w:div w:id="2023316692">
          <w:marLeft w:val="0"/>
          <w:marRight w:val="0"/>
          <w:marTop w:val="0"/>
          <w:marBottom w:val="0"/>
          <w:divBdr>
            <w:top w:val="none" w:sz="0" w:space="0" w:color="auto"/>
            <w:left w:val="none" w:sz="0" w:space="0" w:color="auto"/>
            <w:bottom w:val="none" w:sz="0" w:space="0" w:color="auto"/>
            <w:right w:val="none" w:sz="0" w:space="0" w:color="auto"/>
          </w:divBdr>
        </w:div>
        <w:div w:id="1274095805">
          <w:marLeft w:val="0"/>
          <w:marRight w:val="0"/>
          <w:marTop w:val="0"/>
          <w:marBottom w:val="0"/>
          <w:divBdr>
            <w:top w:val="none" w:sz="0" w:space="0" w:color="auto"/>
            <w:left w:val="none" w:sz="0" w:space="0" w:color="auto"/>
            <w:bottom w:val="none" w:sz="0" w:space="0" w:color="auto"/>
            <w:right w:val="none" w:sz="0" w:space="0" w:color="auto"/>
          </w:divBdr>
        </w:div>
        <w:div w:id="1578435501">
          <w:marLeft w:val="0"/>
          <w:marRight w:val="0"/>
          <w:marTop w:val="0"/>
          <w:marBottom w:val="0"/>
          <w:divBdr>
            <w:top w:val="none" w:sz="0" w:space="0" w:color="auto"/>
            <w:left w:val="none" w:sz="0" w:space="0" w:color="auto"/>
            <w:bottom w:val="none" w:sz="0" w:space="0" w:color="auto"/>
            <w:right w:val="none" w:sz="0" w:space="0" w:color="auto"/>
          </w:divBdr>
        </w:div>
        <w:div w:id="102655548">
          <w:marLeft w:val="0"/>
          <w:marRight w:val="0"/>
          <w:marTop w:val="0"/>
          <w:marBottom w:val="0"/>
          <w:divBdr>
            <w:top w:val="none" w:sz="0" w:space="0" w:color="auto"/>
            <w:left w:val="none" w:sz="0" w:space="0" w:color="auto"/>
            <w:bottom w:val="none" w:sz="0" w:space="0" w:color="auto"/>
            <w:right w:val="none" w:sz="0" w:space="0" w:color="auto"/>
          </w:divBdr>
        </w:div>
        <w:div w:id="789856146">
          <w:marLeft w:val="0"/>
          <w:marRight w:val="0"/>
          <w:marTop w:val="0"/>
          <w:marBottom w:val="0"/>
          <w:divBdr>
            <w:top w:val="none" w:sz="0" w:space="0" w:color="auto"/>
            <w:left w:val="none" w:sz="0" w:space="0" w:color="auto"/>
            <w:bottom w:val="none" w:sz="0" w:space="0" w:color="auto"/>
            <w:right w:val="none" w:sz="0" w:space="0" w:color="auto"/>
          </w:divBdr>
        </w:div>
        <w:div w:id="1672178179">
          <w:marLeft w:val="0"/>
          <w:marRight w:val="0"/>
          <w:marTop w:val="0"/>
          <w:marBottom w:val="0"/>
          <w:divBdr>
            <w:top w:val="none" w:sz="0" w:space="0" w:color="auto"/>
            <w:left w:val="none" w:sz="0" w:space="0" w:color="auto"/>
            <w:bottom w:val="none" w:sz="0" w:space="0" w:color="auto"/>
            <w:right w:val="none" w:sz="0" w:space="0" w:color="auto"/>
          </w:divBdr>
        </w:div>
        <w:div w:id="260533271">
          <w:marLeft w:val="0"/>
          <w:marRight w:val="0"/>
          <w:marTop w:val="0"/>
          <w:marBottom w:val="0"/>
          <w:divBdr>
            <w:top w:val="none" w:sz="0" w:space="0" w:color="auto"/>
            <w:left w:val="none" w:sz="0" w:space="0" w:color="auto"/>
            <w:bottom w:val="none" w:sz="0" w:space="0" w:color="auto"/>
            <w:right w:val="none" w:sz="0" w:space="0" w:color="auto"/>
          </w:divBdr>
        </w:div>
        <w:div w:id="1565876273">
          <w:marLeft w:val="0"/>
          <w:marRight w:val="0"/>
          <w:marTop w:val="0"/>
          <w:marBottom w:val="0"/>
          <w:divBdr>
            <w:top w:val="none" w:sz="0" w:space="0" w:color="auto"/>
            <w:left w:val="none" w:sz="0" w:space="0" w:color="auto"/>
            <w:bottom w:val="none" w:sz="0" w:space="0" w:color="auto"/>
            <w:right w:val="none" w:sz="0" w:space="0" w:color="auto"/>
          </w:divBdr>
        </w:div>
        <w:div w:id="1849950332">
          <w:marLeft w:val="0"/>
          <w:marRight w:val="0"/>
          <w:marTop w:val="0"/>
          <w:marBottom w:val="0"/>
          <w:divBdr>
            <w:top w:val="none" w:sz="0" w:space="0" w:color="auto"/>
            <w:left w:val="none" w:sz="0" w:space="0" w:color="auto"/>
            <w:bottom w:val="none" w:sz="0" w:space="0" w:color="auto"/>
            <w:right w:val="none" w:sz="0" w:space="0" w:color="auto"/>
          </w:divBdr>
        </w:div>
        <w:div w:id="247352031">
          <w:marLeft w:val="0"/>
          <w:marRight w:val="0"/>
          <w:marTop w:val="0"/>
          <w:marBottom w:val="0"/>
          <w:divBdr>
            <w:top w:val="none" w:sz="0" w:space="0" w:color="auto"/>
            <w:left w:val="none" w:sz="0" w:space="0" w:color="auto"/>
            <w:bottom w:val="none" w:sz="0" w:space="0" w:color="auto"/>
            <w:right w:val="none" w:sz="0" w:space="0" w:color="auto"/>
          </w:divBdr>
        </w:div>
        <w:div w:id="2010518175">
          <w:marLeft w:val="0"/>
          <w:marRight w:val="0"/>
          <w:marTop w:val="0"/>
          <w:marBottom w:val="0"/>
          <w:divBdr>
            <w:top w:val="none" w:sz="0" w:space="0" w:color="auto"/>
            <w:left w:val="none" w:sz="0" w:space="0" w:color="auto"/>
            <w:bottom w:val="none" w:sz="0" w:space="0" w:color="auto"/>
            <w:right w:val="none" w:sz="0" w:space="0" w:color="auto"/>
          </w:divBdr>
        </w:div>
        <w:div w:id="1498882947">
          <w:marLeft w:val="0"/>
          <w:marRight w:val="0"/>
          <w:marTop w:val="0"/>
          <w:marBottom w:val="0"/>
          <w:divBdr>
            <w:top w:val="none" w:sz="0" w:space="0" w:color="auto"/>
            <w:left w:val="none" w:sz="0" w:space="0" w:color="auto"/>
            <w:bottom w:val="none" w:sz="0" w:space="0" w:color="auto"/>
            <w:right w:val="none" w:sz="0" w:space="0" w:color="auto"/>
          </w:divBdr>
        </w:div>
        <w:div w:id="1987734126">
          <w:marLeft w:val="0"/>
          <w:marRight w:val="0"/>
          <w:marTop w:val="0"/>
          <w:marBottom w:val="0"/>
          <w:divBdr>
            <w:top w:val="none" w:sz="0" w:space="0" w:color="auto"/>
            <w:left w:val="none" w:sz="0" w:space="0" w:color="auto"/>
            <w:bottom w:val="none" w:sz="0" w:space="0" w:color="auto"/>
            <w:right w:val="none" w:sz="0" w:space="0" w:color="auto"/>
          </w:divBdr>
        </w:div>
        <w:div w:id="704646761">
          <w:marLeft w:val="0"/>
          <w:marRight w:val="0"/>
          <w:marTop w:val="0"/>
          <w:marBottom w:val="0"/>
          <w:divBdr>
            <w:top w:val="none" w:sz="0" w:space="0" w:color="auto"/>
            <w:left w:val="none" w:sz="0" w:space="0" w:color="auto"/>
            <w:bottom w:val="none" w:sz="0" w:space="0" w:color="auto"/>
            <w:right w:val="none" w:sz="0" w:space="0" w:color="auto"/>
          </w:divBdr>
        </w:div>
        <w:div w:id="1534995640">
          <w:marLeft w:val="0"/>
          <w:marRight w:val="0"/>
          <w:marTop w:val="0"/>
          <w:marBottom w:val="0"/>
          <w:divBdr>
            <w:top w:val="none" w:sz="0" w:space="0" w:color="auto"/>
            <w:left w:val="none" w:sz="0" w:space="0" w:color="auto"/>
            <w:bottom w:val="none" w:sz="0" w:space="0" w:color="auto"/>
            <w:right w:val="none" w:sz="0" w:space="0" w:color="auto"/>
          </w:divBdr>
        </w:div>
        <w:div w:id="441416216">
          <w:marLeft w:val="0"/>
          <w:marRight w:val="0"/>
          <w:marTop w:val="0"/>
          <w:marBottom w:val="0"/>
          <w:divBdr>
            <w:top w:val="none" w:sz="0" w:space="0" w:color="auto"/>
            <w:left w:val="none" w:sz="0" w:space="0" w:color="auto"/>
            <w:bottom w:val="none" w:sz="0" w:space="0" w:color="auto"/>
            <w:right w:val="none" w:sz="0" w:space="0" w:color="auto"/>
          </w:divBdr>
        </w:div>
        <w:div w:id="308443682">
          <w:marLeft w:val="0"/>
          <w:marRight w:val="0"/>
          <w:marTop w:val="0"/>
          <w:marBottom w:val="0"/>
          <w:divBdr>
            <w:top w:val="none" w:sz="0" w:space="0" w:color="auto"/>
            <w:left w:val="none" w:sz="0" w:space="0" w:color="auto"/>
            <w:bottom w:val="none" w:sz="0" w:space="0" w:color="auto"/>
            <w:right w:val="none" w:sz="0" w:space="0" w:color="auto"/>
          </w:divBdr>
        </w:div>
        <w:div w:id="372533995">
          <w:marLeft w:val="0"/>
          <w:marRight w:val="0"/>
          <w:marTop w:val="0"/>
          <w:marBottom w:val="0"/>
          <w:divBdr>
            <w:top w:val="none" w:sz="0" w:space="0" w:color="auto"/>
            <w:left w:val="none" w:sz="0" w:space="0" w:color="auto"/>
            <w:bottom w:val="none" w:sz="0" w:space="0" w:color="auto"/>
            <w:right w:val="none" w:sz="0" w:space="0" w:color="auto"/>
          </w:divBdr>
        </w:div>
        <w:div w:id="1846246742">
          <w:marLeft w:val="0"/>
          <w:marRight w:val="0"/>
          <w:marTop w:val="0"/>
          <w:marBottom w:val="0"/>
          <w:divBdr>
            <w:top w:val="none" w:sz="0" w:space="0" w:color="auto"/>
            <w:left w:val="none" w:sz="0" w:space="0" w:color="auto"/>
            <w:bottom w:val="none" w:sz="0" w:space="0" w:color="auto"/>
            <w:right w:val="none" w:sz="0" w:space="0" w:color="auto"/>
          </w:divBdr>
        </w:div>
        <w:div w:id="1908105509">
          <w:marLeft w:val="0"/>
          <w:marRight w:val="0"/>
          <w:marTop w:val="0"/>
          <w:marBottom w:val="0"/>
          <w:divBdr>
            <w:top w:val="none" w:sz="0" w:space="0" w:color="auto"/>
            <w:left w:val="none" w:sz="0" w:space="0" w:color="auto"/>
            <w:bottom w:val="none" w:sz="0" w:space="0" w:color="auto"/>
            <w:right w:val="none" w:sz="0" w:space="0" w:color="auto"/>
          </w:divBdr>
        </w:div>
        <w:div w:id="2120835561">
          <w:marLeft w:val="0"/>
          <w:marRight w:val="0"/>
          <w:marTop w:val="0"/>
          <w:marBottom w:val="0"/>
          <w:divBdr>
            <w:top w:val="none" w:sz="0" w:space="0" w:color="auto"/>
            <w:left w:val="none" w:sz="0" w:space="0" w:color="auto"/>
            <w:bottom w:val="none" w:sz="0" w:space="0" w:color="auto"/>
            <w:right w:val="none" w:sz="0" w:space="0" w:color="auto"/>
          </w:divBdr>
        </w:div>
        <w:div w:id="1078819967">
          <w:marLeft w:val="0"/>
          <w:marRight w:val="0"/>
          <w:marTop w:val="0"/>
          <w:marBottom w:val="0"/>
          <w:divBdr>
            <w:top w:val="none" w:sz="0" w:space="0" w:color="auto"/>
            <w:left w:val="none" w:sz="0" w:space="0" w:color="auto"/>
            <w:bottom w:val="none" w:sz="0" w:space="0" w:color="auto"/>
            <w:right w:val="none" w:sz="0" w:space="0" w:color="auto"/>
          </w:divBdr>
        </w:div>
        <w:div w:id="1172599330">
          <w:marLeft w:val="0"/>
          <w:marRight w:val="0"/>
          <w:marTop w:val="0"/>
          <w:marBottom w:val="0"/>
          <w:divBdr>
            <w:top w:val="none" w:sz="0" w:space="0" w:color="auto"/>
            <w:left w:val="none" w:sz="0" w:space="0" w:color="auto"/>
            <w:bottom w:val="none" w:sz="0" w:space="0" w:color="auto"/>
            <w:right w:val="none" w:sz="0" w:space="0" w:color="auto"/>
          </w:divBdr>
        </w:div>
        <w:div w:id="913003488">
          <w:marLeft w:val="0"/>
          <w:marRight w:val="0"/>
          <w:marTop w:val="0"/>
          <w:marBottom w:val="0"/>
          <w:divBdr>
            <w:top w:val="none" w:sz="0" w:space="0" w:color="auto"/>
            <w:left w:val="none" w:sz="0" w:space="0" w:color="auto"/>
            <w:bottom w:val="none" w:sz="0" w:space="0" w:color="auto"/>
            <w:right w:val="none" w:sz="0" w:space="0" w:color="auto"/>
          </w:divBdr>
        </w:div>
        <w:div w:id="1660961159">
          <w:marLeft w:val="0"/>
          <w:marRight w:val="0"/>
          <w:marTop w:val="0"/>
          <w:marBottom w:val="0"/>
          <w:divBdr>
            <w:top w:val="none" w:sz="0" w:space="0" w:color="auto"/>
            <w:left w:val="none" w:sz="0" w:space="0" w:color="auto"/>
            <w:bottom w:val="none" w:sz="0" w:space="0" w:color="auto"/>
            <w:right w:val="none" w:sz="0" w:space="0" w:color="auto"/>
          </w:divBdr>
        </w:div>
        <w:div w:id="1646815342">
          <w:marLeft w:val="0"/>
          <w:marRight w:val="0"/>
          <w:marTop w:val="0"/>
          <w:marBottom w:val="0"/>
          <w:divBdr>
            <w:top w:val="none" w:sz="0" w:space="0" w:color="auto"/>
            <w:left w:val="none" w:sz="0" w:space="0" w:color="auto"/>
            <w:bottom w:val="none" w:sz="0" w:space="0" w:color="auto"/>
            <w:right w:val="none" w:sz="0" w:space="0" w:color="auto"/>
          </w:divBdr>
        </w:div>
        <w:div w:id="1932424540">
          <w:marLeft w:val="0"/>
          <w:marRight w:val="0"/>
          <w:marTop w:val="0"/>
          <w:marBottom w:val="0"/>
          <w:divBdr>
            <w:top w:val="none" w:sz="0" w:space="0" w:color="auto"/>
            <w:left w:val="none" w:sz="0" w:space="0" w:color="auto"/>
            <w:bottom w:val="none" w:sz="0" w:space="0" w:color="auto"/>
            <w:right w:val="none" w:sz="0" w:space="0" w:color="auto"/>
          </w:divBdr>
        </w:div>
        <w:div w:id="1913192663">
          <w:marLeft w:val="0"/>
          <w:marRight w:val="0"/>
          <w:marTop w:val="0"/>
          <w:marBottom w:val="0"/>
          <w:divBdr>
            <w:top w:val="none" w:sz="0" w:space="0" w:color="auto"/>
            <w:left w:val="none" w:sz="0" w:space="0" w:color="auto"/>
            <w:bottom w:val="none" w:sz="0" w:space="0" w:color="auto"/>
            <w:right w:val="none" w:sz="0" w:space="0" w:color="auto"/>
          </w:divBdr>
        </w:div>
        <w:div w:id="757484133">
          <w:marLeft w:val="0"/>
          <w:marRight w:val="0"/>
          <w:marTop w:val="0"/>
          <w:marBottom w:val="0"/>
          <w:divBdr>
            <w:top w:val="none" w:sz="0" w:space="0" w:color="auto"/>
            <w:left w:val="none" w:sz="0" w:space="0" w:color="auto"/>
            <w:bottom w:val="none" w:sz="0" w:space="0" w:color="auto"/>
            <w:right w:val="none" w:sz="0" w:space="0" w:color="auto"/>
          </w:divBdr>
        </w:div>
        <w:div w:id="309482546">
          <w:marLeft w:val="0"/>
          <w:marRight w:val="0"/>
          <w:marTop w:val="0"/>
          <w:marBottom w:val="0"/>
          <w:divBdr>
            <w:top w:val="none" w:sz="0" w:space="0" w:color="auto"/>
            <w:left w:val="none" w:sz="0" w:space="0" w:color="auto"/>
            <w:bottom w:val="none" w:sz="0" w:space="0" w:color="auto"/>
            <w:right w:val="none" w:sz="0" w:space="0" w:color="auto"/>
          </w:divBdr>
        </w:div>
        <w:div w:id="847870165">
          <w:marLeft w:val="0"/>
          <w:marRight w:val="0"/>
          <w:marTop w:val="0"/>
          <w:marBottom w:val="0"/>
          <w:divBdr>
            <w:top w:val="none" w:sz="0" w:space="0" w:color="auto"/>
            <w:left w:val="none" w:sz="0" w:space="0" w:color="auto"/>
            <w:bottom w:val="none" w:sz="0" w:space="0" w:color="auto"/>
            <w:right w:val="none" w:sz="0" w:space="0" w:color="auto"/>
          </w:divBdr>
        </w:div>
        <w:div w:id="1089884457">
          <w:marLeft w:val="0"/>
          <w:marRight w:val="0"/>
          <w:marTop w:val="0"/>
          <w:marBottom w:val="0"/>
          <w:divBdr>
            <w:top w:val="none" w:sz="0" w:space="0" w:color="auto"/>
            <w:left w:val="none" w:sz="0" w:space="0" w:color="auto"/>
            <w:bottom w:val="none" w:sz="0" w:space="0" w:color="auto"/>
            <w:right w:val="none" w:sz="0" w:space="0" w:color="auto"/>
          </w:divBdr>
        </w:div>
        <w:div w:id="883637833">
          <w:marLeft w:val="0"/>
          <w:marRight w:val="0"/>
          <w:marTop w:val="0"/>
          <w:marBottom w:val="0"/>
          <w:divBdr>
            <w:top w:val="none" w:sz="0" w:space="0" w:color="auto"/>
            <w:left w:val="none" w:sz="0" w:space="0" w:color="auto"/>
            <w:bottom w:val="none" w:sz="0" w:space="0" w:color="auto"/>
            <w:right w:val="none" w:sz="0" w:space="0" w:color="auto"/>
          </w:divBdr>
        </w:div>
        <w:div w:id="2171868">
          <w:marLeft w:val="0"/>
          <w:marRight w:val="0"/>
          <w:marTop w:val="0"/>
          <w:marBottom w:val="0"/>
          <w:divBdr>
            <w:top w:val="none" w:sz="0" w:space="0" w:color="auto"/>
            <w:left w:val="none" w:sz="0" w:space="0" w:color="auto"/>
            <w:bottom w:val="none" w:sz="0" w:space="0" w:color="auto"/>
            <w:right w:val="none" w:sz="0" w:space="0" w:color="auto"/>
          </w:divBdr>
        </w:div>
        <w:div w:id="938754040">
          <w:marLeft w:val="0"/>
          <w:marRight w:val="0"/>
          <w:marTop w:val="0"/>
          <w:marBottom w:val="0"/>
          <w:divBdr>
            <w:top w:val="none" w:sz="0" w:space="0" w:color="auto"/>
            <w:left w:val="none" w:sz="0" w:space="0" w:color="auto"/>
            <w:bottom w:val="none" w:sz="0" w:space="0" w:color="auto"/>
            <w:right w:val="none" w:sz="0" w:space="0" w:color="auto"/>
          </w:divBdr>
        </w:div>
        <w:div w:id="463232596">
          <w:marLeft w:val="0"/>
          <w:marRight w:val="0"/>
          <w:marTop w:val="0"/>
          <w:marBottom w:val="0"/>
          <w:divBdr>
            <w:top w:val="none" w:sz="0" w:space="0" w:color="auto"/>
            <w:left w:val="none" w:sz="0" w:space="0" w:color="auto"/>
            <w:bottom w:val="none" w:sz="0" w:space="0" w:color="auto"/>
            <w:right w:val="none" w:sz="0" w:space="0" w:color="auto"/>
          </w:divBdr>
        </w:div>
        <w:div w:id="1678073867">
          <w:marLeft w:val="0"/>
          <w:marRight w:val="0"/>
          <w:marTop w:val="0"/>
          <w:marBottom w:val="0"/>
          <w:divBdr>
            <w:top w:val="none" w:sz="0" w:space="0" w:color="auto"/>
            <w:left w:val="none" w:sz="0" w:space="0" w:color="auto"/>
            <w:bottom w:val="none" w:sz="0" w:space="0" w:color="auto"/>
            <w:right w:val="none" w:sz="0" w:space="0" w:color="auto"/>
          </w:divBdr>
        </w:div>
        <w:div w:id="909848902">
          <w:marLeft w:val="0"/>
          <w:marRight w:val="0"/>
          <w:marTop w:val="0"/>
          <w:marBottom w:val="0"/>
          <w:divBdr>
            <w:top w:val="none" w:sz="0" w:space="0" w:color="auto"/>
            <w:left w:val="none" w:sz="0" w:space="0" w:color="auto"/>
            <w:bottom w:val="none" w:sz="0" w:space="0" w:color="auto"/>
            <w:right w:val="none" w:sz="0" w:space="0" w:color="auto"/>
          </w:divBdr>
        </w:div>
        <w:div w:id="1342198853">
          <w:marLeft w:val="0"/>
          <w:marRight w:val="0"/>
          <w:marTop w:val="0"/>
          <w:marBottom w:val="0"/>
          <w:divBdr>
            <w:top w:val="none" w:sz="0" w:space="0" w:color="auto"/>
            <w:left w:val="none" w:sz="0" w:space="0" w:color="auto"/>
            <w:bottom w:val="none" w:sz="0" w:space="0" w:color="auto"/>
            <w:right w:val="none" w:sz="0" w:space="0" w:color="auto"/>
          </w:divBdr>
        </w:div>
        <w:div w:id="2066299163">
          <w:marLeft w:val="0"/>
          <w:marRight w:val="0"/>
          <w:marTop w:val="0"/>
          <w:marBottom w:val="0"/>
          <w:divBdr>
            <w:top w:val="none" w:sz="0" w:space="0" w:color="auto"/>
            <w:left w:val="none" w:sz="0" w:space="0" w:color="auto"/>
            <w:bottom w:val="none" w:sz="0" w:space="0" w:color="auto"/>
            <w:right w:val="none" w:sz="0" w:space="0" w:color="auto"/>
          </w:divBdr>
        </w:div>
        <w:div w:id="1471240769">
          <w:marLeft w:val="0"/>
          <w:marRight w:val="0"/>
          <w:marTop w:val="0"/>
          <w:marBottom w:val="0"/>
          <w:divBdr>
            <w:top w:val="none" w:sz="0" w:space="0" w:color="auto"/>
            <w:left w:val="none" w:sz="0" w:space="0" w:color="auto"/>
            <w:bottom w:val="none" w:sz="0" w:space="0" w:color="auto"/>
            <w:right w:val="none" w:sz="0" w:space="0" w:color="auto"/>
          </w:divBdr>
        </w:div>
        <w:div w:id="439223986">
          <w:marLeft w:val="0"/>
          <w:marRight w:val="0"/>
          <w:marTop w:val="0"/>
          <w:marBottom w:val="0"/>
          <w:divBdr>
            <w:top w:val="none" w:sz="0" w:space="0" w:color="auto"/>
            <w:left w:val="none" w:sz="0" w:space="0" w:color="auto"/>
            <w:bottom w:val="none" w:sz="0" w:space="0" w:color="auto"/>
            <w:right w:val="none" w:sz="0" w:space="0" w:color="auto"/>
          </w:divBdr>
        </w:div>
        <w:div w:id="1503621031">
          <w:marLeft w:val="0"/>
          <w:marRight w:val="0"/>
          <w:marTop w:val="0"/>
          <w:marBottom w:val="0"/>
          <w:divBdr>
            <w:top w:val="none" w:sz="0" w:space="0" w:color="auto"/>
            <w:left w:val="none" w:sz="0" w:space="0" w:color="auto"/>
            <w:bottom w:val="none" w:sz="0" w:space="0" w:color="auto"/>
            <w:right w:val="none" w:sz="0" w:space="0" w:color="auto"/>
          </w:divBdr>
        </w:div>
        <w:div w:id="1957369004">
          <w:marLeft w:val="0"/>
          <w:marRight w:val="0"/>
          <w:marTop w:val="0"/>
          <w:marBottom w:val="0"/>
          <w:divBdr>
            <w:top w:val="none" w:sz="0" w:space="0" w:color="auto"/>
            <w:left w:val="none" w:sz="0" w:space="0" w:color="auto"/>
            <w:bottom w:val="none" w:sz="0" w:space="0" w:color="auto"/>
            <w:right w:val="none" w:sz="0" w:space="0" w:color="auto"/>
          </w:divBdr>
        </w:div>
        <w:div w:id="239798340">
          <w:marLeft w:val="0"/>
          <w:marRight w:val="0"/>
          <w:marTop w:val="0"/>
          <w:marBottom w:val="0"/>
          <w:divBdr>
            <w:top w:val="none" w:sz="0" w:space="0" w:color="auto"/>
            <w:left w:val="none" w:sz="0" w:space="0" w:color="auto"/>
            <w:bottom w:val="none" w:sz="0" w:space="0" w:color="auto"/>
            <w:right w:val="none" w:sz="0" w:space="0" w:color="auto"/>
          </w:divBdr>
        </w:div>
        <w:div w:id="782458112">
          <w:marLeft w:val="0"/>
          <w:marRight w:val="0"/>
          <w:marTop w:val="0"/>
          <w:marBottom w:val="0"/>
          <w:divBdr>
            <w:top w:val="none" w:sz="0" w:space="0" w:color="auto"/>
            <w:left w:val="none" w:sz="0" w:space="0" w:color="auto"/>
            <w:bottom w:val="none" w:sz="0" w:space="0" w:color="auto"/>
            <w:right w:val="none" w:sz="0" w:space="0" w:color="auto"/>
          </w:divBdr>
        </w:div>
        <w:div w:id="1539508344">
          <w:marLeft w:val="0"/>
          <w:marRight w:val="0"/>
          <w:marTop w:val="0"/>
          <w:marBottom w:val="0"/>
          <w:divBdr>
            <w:top w:val="none" w:sz="0" w:space="0" w:color="auto"/>
            <w:left w:val="none" w:sz="0" w:space="0" w:color="auto"/>
            <w:bottom w:val="none" w:sz="0" w:space="0" w:color="auto"/>
            <w:right w:val="none" w:sz="0" w:space="0" w:color="auto"/>
          </w:divBdr>
        </w:div>
        <w:div w:id="1953635395">
          <w:marLeft w:val="0"/>
          <w:marRight w:val="0"/>
          <w:marTop w:val="0"/>
          <w:marBottom w:val="0"/>
          <w:divBdr>
            <w:top w:val="none" w:sz="0" w:space="0" w:color="auto"/>
            <w:left w:val="none" w:sz="0" w:space="0" w:color="auto"/>
            <w:bottom w:val="none" w:sz="0" w:space="0" w:color="auto"/>
            <w:right w:val="none" w:sz="0" w:space="0" w:color="auto"/>
          </w:divBdr>
        </w:div>
        <w:div w:id="1337423055">
          <w:marLeft w:val="0"/>
          <w:marRight w:val="0"/>
          <w:marTop w:val="0"/>
          <w:marBottom w:val="0"/>
          <w:divBdr>
            <w:top w:val="none" w:sz="0" w:space="0" w:color="auto"/>
            <w:left w:val="none" w:sz="0" w:space="0" w:color="auto"/>
            <w:bottom w:val="none" w:sz="0" w:space="0" w:color="auto"/>
            <w:right w:val="none" w:sz="0" w:space="0" w:color="auto"/>
          </w:divBdr>
        </w:div>
        <w:div w:id="1269124792">
          <w:marLeft w:val="0"/>
          <w:marRight w:val="0"/>
          <w:marTop w:val="0"/>
          <w:marBottom w:val="0"/>
          <w:divBdr>
            <w:top w:val="none" w:sz="0" w:space="0" w:color="auto"/>
            <w:left w:val="none" w:sz="0" w:space="0" w:color="auto"/>
            <w:bottom w:val="none" w:sz="0" w:space="0" w:color="auto"/>
            <w:right w:val="none" w:sz="0" w:space="0" w:color="auto"/>
          </w:divBdr>
        </w:div>
        <w:div w:id="169491997">
          <w:marLeft w:val="0"/>
          <w:marRight w:val="0"/>
          <w:marTop w:val="0"/>
          <w:marBottom w:val="0"/>
          <w:divBdr>
            <w:top w:val="none" w:sz="0" w:space="0" w:color="auto"/>
            <w:left w:val="none" w:sz="0" w:space="0" w:color="auto"/>
            <w:bottom w:val="none" w:sz="0" w:space="0" w:color="auto"/>
            <w:right w:val="none" w:sz="0" w:space="0" w:color="auto"/>
          </w:divBdr>
        </w:div>
        <w:div w:id="142552552">
          <w:marLeft w:val="0"/>
          <w:marRight w:val="0"/>
          <w:marTop w:val="0"/>
          <w:marBottom w:val="0"/>
          <w:divBdr>
            <w:top w:val="none" w:sz="0" w:space="0" w:color="auto"/>
            <w:left w:val="none" w:sz="0" w:space="0" w:color="auto"/>
            <w:bottom w:val="none" w:sz="0" w:space="0" w:color="auto"/>
            <w:right w:val="none" w:sz="0" w:space="0" w:color="auto"/>
          </w:divBdr>
        </w:div>
        <w:div w:id="1139225665">
          <w:marLeft w:val="0"/>
          <w:marRight w:val="0"/>
          <w:marTop w:val="0"/>
          <w:marBottom w:val="0"/>
          <w:divBdr>
            <w:top w:val="none" w:sz="0" w:space="0" w:color="auto"/>
            <w:left w:val="none" w:sz="0" w:space="0" w:color="auto"/>
            <w:bottom w:val="none" w:sz="0" w:space="0" w:color="auto"/>
            <w:right w:val="none" w:sz="0" w:space="0" w:color="auto"/>
          </w:divBdr>
        </w:div>
        <w:div w:id="829366605">
          <w:marLeft w:val="0"/>
          <w:marRight w:val="0"/>
          <w:marTop w:val="0"/>
          <w:marBottom w:val="0"/>
          <w:divBdr>
            <w:top w:val="none" w:sz="0" w:space="0" w:color="auto"/>
            <w:left w:val="none" w:sz="0" w:space="0" w:color="auto"/>
            <w:bottom w:val="none" w:sz="0" w:space="0" w:color="auto"/>
            <w:right w:val="none" w:sz="0" w:space="0" w:color="auto"/>
          </w:divBdr>
        </w:div>
        <w:div w:id="373232777">
          <w:marLeft w:val="0"/>
          <w:marRight w:val="0"/>
          <w:marTop w:val="0"/>
          <w:marBottom w:val="0"/>
          <w:divBdr>
            <w:top w:val="none" w:sz="0" w:space="0" w:color="auto"/>
            <w:left w:val="none" w:sz="0" w:space="0" w:color="auto"/>
            <w:bottom w:val="none" w:sz="0" w:space="0" w:color="auto"/>
            <w:right w:val="none" w:sz="0" w:space="0" w:color="auto"/>
          </w:divBdr>
        </w:div>
        <w:div w:id="1916013247">
          <w:marLeft w:val="0"/>
          <w:marRight w:val="0"/>
          <w:marTop w:val="0"/>
          <w:marBottom w:val="0"/>
          <w:divBdr>
            <w:top w:val="none" w:sz="0" w:space="0" w:color="auto"/>
            <w:left w:val="none" w:sz="0" w:space="0" w:color="auto"/>
            <w:bottom w:val="none" w:sz="0" w:space="0" w:color="auto"/>
            <w:right w:val="none" w:sz="0" w:space="0" w:color="auto"/>
          </w:divBdr>
        </w:div>
        <w:div w:id="1396316723">
          <w:marLeft w:val="0"/>
          <w:marRight w:val="0"/>
          <w:marTop w:val="0"/>
          <w:marBottom w:val="0"/>
          <w:divBdr>
            <w:top w:val="none" w:sz="0" w:space="0" w:color="auto"/>
            <w:left w:val="none" w:sz="0" w:space="0" w:color="auto"/>
            <w:bottom w:val="none" w:sz="0" w:space="0" w:color="auto"/>
            <w:right w:val="none" w:sz="0" w:space="0" w:color="auto"/>
          </w:divBdr>
        </w:div>
        <w:div w:id="832836535">
          <w:marLeft w:val="0"/>
          <w:marRight w:val="0"/>
          <w:marTop w:val="0"/>
          <w:marBottom w:val="0"/>
          <w:divBdr>
            <w:top w:val="none" w:sz="0" w:space="0" w:color="auto"/>
            <w:left w:val="none" w:sz="0" w:space="0" w:color="auto"/>
            <w:bottom w:val="none" w:sz="0" w:space="0" w:color="auto"/>
            <w:right w:val="none" w:sz="0" w:space="0" w:color="auto"/>
          </w:divBdr>
        </w:div>
        <w:div w:id="1798596475">
          <w:marLeft w:val="0"/>
          <w:marRight w:val="0"/>
          <w:marTop w:val="0"/>
          <w:marBottom w:val="0"/>
          <w:divBdr>
            <w:top w:val="none" w:sz="0" w:space="0" w:color="auto"/>
            <w:left w:val="none" w:sz="0" w:space="0" w:color="auto"/>
            <w:bottom w:val="none" w:sz="0" w:space="0" w:color="auto"/>
            <w:right w:val="none" w:sz="0" w:space="0" w:color="auto"/>
          </w:divBdr>
        </w:div>
        <w:div w:id="40709965">
          <w:marLeft w:val="0"/>
          <w:marRight w:val="0"/>
          <w:marTop w:val="0"/>
          <w:marBottom w:val="0"/>
          <w:divBdr>
            <w:top w:val="none" w:sz="0" w:space="0" w:color="auto"/>
            <w:left w:val="none" w:sz="0" w:space="0" w:color="auto"/>
            <w:bottom w:val="none" w:sz="0" w:space="0" w:color="auto"/>
            <w:right w:val="none" w:sz="0" w:space="0" w:color="auto"/>
          </w:divBdr>
        </w:div>
        <w:div w:id="1126503329">
          <w:marLeft w:val="0"/>
          <w:marRight w:val="0"/>
          <w:marTop w:val="0"/>
          <w:marBottom w:val="0"/>
          <w:divBdr>
            <w:top w:val="none" w:sz="0" w:space="0" w:color="auto"/>
            <w:left w:val="none" w:sz="0" w:space="0" w:color="auto"/>
            <w:bottom w:val="none" w:sz="0" w:space="0" w:color="auto"/>
            <w:right w:val="none" w:sz="0" w:space="0" w:color="auto"/>
          </w:divBdr>
        </w:div>
        <w:div w:id="610434532">
          <w:marLeft w:val="0"/>
          <w:marRight w:val="0"/>
          <w:marTop w:val="0"/>
          <w:marBottom w:val="0"/>
          <w:divBdr>
            <w:top w:val="none" w:sz="0" w:space="0" w:color="auto"/>
            <w:left w:val="none" w:sz="0" w:space="0" w:color="auto"/>
            <w:bottom w:val="none" w:sz="0" w:space="0" w:color="auto"/>
            <w:right w:val="none" w:sz="0" w:space="0" w:color="auto"/>
          </w:divBdr>
        </w:div>
        <w:div w:id="1212884009">
          <w:marLeft w:val="0"/>
          <w:marRight w:val="0"/>
          <w:marTop w:val="0"/>
          <w:marBottom w:val="0"/>
          <w:divBdr>
            <w:top w:val="none" w:sz="0" w:space="0" w:color="auto"/>
            <w:left w:val="none" w:sz="0" w:space="0" w:color="auto"/>
            <w:bottom w:val="none" w:sz="0" w:space="0" w:color="auto"/>
            <w:right w:val="none" w:sz="0" w:space="0" w:color="auto"/>
          </w:divBdr>
        </w:div>
        <w:div w:id="1117989305">
          <w:marLeft w:val="0"/>
          <w:marRight w:val="0"/>
          <w:marTop w:val="0"/>
          <w:marBottom w:val="0"/>
          <w:divBdr>
            <w:top w:val="none" w:sz="0" w:space="0" w:color="auto"/>
            <w:left w:val="none" w:sz="0" w:space="0" w:color="auto"/>
            <w:bottom w:val="none" w:sz="0" w:space="0" w:color="auto"/>
            <w:right w:val="none" w:sz="0" w:space="0" w:color="auto"/>
          </w:divBdr>
        </w:div>
        <w:div w:id="540947449">
          <w:marLeft w:val="0"/>
          <w:marRight w:val="0"/>
          <w:marTop w:val="0"/>
          <w:marBottom w:val="0"/>
          <w:divBdr>
            <w:top w:val="none" w:sz="0" w:space="0" w:color="auto"/>
            <w:left w:val="none" w:sz="0" w:space="0" w:color="auto"/>
            <w:bottom w:val="none" w:sz="0" w:space="0" w:color="auto"/>
            <w:right w:val="none" w:sz="0" w:space="0" w:color="auto"/>
          </w:divBdr>
        </w:div>
        <w:div w:id="2033262356">
          <w:marLeft w:val="0"/>
          <w:marRight w:val="0"/>
          <w:marTop w:val="0"/>
          <w:marBottom w:val="0"/>
          <w:divBdr>
            <w:top w:val="none" w:sz="0" w:space="0" w:color="auto"/>
            <w:left w:val="none" w:sz="0" w:space="0" w:color="auto"/>
            <w:bottom w:val="none" w:sz="0" w:space="0" w:color="auto"/>
            <w:right w:val="none" w:sz="0" w:space="0" w:color="auto"/>
          </w:divBdr>
        </w:div>
        <w:div w:id="1613903627">
          <w:marLeft w:val="0"/>
          <w:marRight w:val="0"/>
          <w:marTop w:val="0"/>
          <w:marBottom w:val="0"/>
          <w:divBdr>
            <w:top w:val="none" w:sz="0" w:space="0" w:color="auto"/>
            <w:left w:val="none" w:sz="0" w:space="0" w:color="auto"/>
            <w:bottom w:val="none" w:sz="0" w:space="0" w:color="auto"/>
            <w:right w:val="none" w:sz="0" w:space="0" w:color="auto"/>
          </w:divBdr>
        </w:div>
        <w:div w:id="700205419">
          <w:marLeft w:val="0"/>
          <w:marRight w:val="0"/>
          <w:marTop w:val="0"/>
          <w:marBottom w:val="0"/>
          <w:divBdr>
            <w:top w:val="none" w:sz="0" w:space="0" w:color="auto"/>
            <w:left w:val="none" w:sz="0" w:space="0" w:color="auto"/>
            <w:bottom w:val="none" w:sz="0" w:space="0" w:color="auto"/>
            <w:right w:val="none" w:sz="0" w:space="0" w:color="auto"/>
          </w:divBdr>
        </w:div>
        <w:div w:id="860968274">
          <w:marLeft w:val="0"/>
          <w:marRight w:val="0"/>
          <w:marTop w:val="0"/>
          <w:marBottom w:val="0"/>
          <w:divBdr>
            <w:top w:val="none" w:sz="0" w:space="0" w:color="auto"/>
            <w:left w:val="none" w:sz="0" w:space="0" w:color="auto"/>
            <w:bottom w:val="none" w:sz="0" w:space="0" w:color="auto"/>
            <w:right w:val="none" w:sz="0" w:space="0" w:color="auto"/>
          </w:divBdr>
        </w:div>
        <w:div w:id="1349603021">
          <w:marLeft w:val="0"/>
          <w:marRight w:val="0"/>
          <w:marTop w:val="0"/>
          <w:marBottom w:val="0"/>
          <w:divBdr>
            <w:top w:val="none" w:sz="0" w:space="0" w:color="auto"/>
            <w:left w:val="none" w:sz="0" w:space="0" w:color="auto"/>
            <w:bottom w:val="none" w:sz="0" w:space="0" w:color="auto"/>
            <w:right w:val="none" w:sz="0" w:space="0" w:color="auto"/>
          </w:divBdr>
        </w:div>
        <w:div w:id="626205563">
          <w:marLeft w:val="0"/>
          <w:marRight w:val="0"/>
          <w:marTop w:val="0"/>
          <w:marBottom w:val="0"/>
          <w:divBdr>
            <w:top w:val="none" w:sz="0" w:space="0" w:color="auto"/>
            <w:left w:val="none" w:sz="0" w:space="0" w:color="auto"/>
            <w:bottom w:val="none" w:sz="0" w:space="0" w:color="auto"/>
            <w:right w:val="none" w:sz="0" w:space="0" w:color="auto"/>
          </w:divBdr>
        </w:div>
        <w:div w:id="1112242685">
          <w:marLeft w:val="0"/>
          <w:marRight w:val="0"/>
          <w:marTop w:val="0"/>
          <w:marBottom w:val="0"/>
          <w:divBdr>
            <w:top w:val="none" w:sz="0" w:space="0" w:color="auto"/>
            <w:left w:val="none" w:sz="0" w:space="0" w:color="auto"/>
            <w:bottom w:val="none" w:sz="0" w:space="0" w:color="auto"/>
            <w:right w:val="none" w:sz="0" w:space="0" w:color="auto"/>
          </w:divBdr>
        </w:div>
        <w:div w:id="320161072">
          <w:marLeft w:val="0"/>
          <w:marRight w:val="0"/>
          <w:marTop w:val="0"/>
          <w:marBottom w:val="0"/>
          <w:divBdr>
            <w:top w:val="none" w:sz="0" w:space="0" w:color="auto"/>
            <w:left w:val="none" w:sz="0" w:space="0" w:color="auto"/>
            <w:bottom w:val="none" w:sz="0" w:space="0" w:color="auto"/>
            <w:right w:val="none" w:sz="0" w:space="0" w:color="auto"/>
          </w:divBdr>
        </w:div>
        <w:div w:id="1349479259">
          <w:marLeft w:val="0"/>
          <w:marRight w:val="0"/>
          <w:marTop w:val="0"/>
          <w:marBottom w:val="0"/>
          <w:divBdr>
            <w:top w:val="none" w:sz="0" w:space="0" w:color="auto"/>
            <w:left w:val="none" w:sz="0" w:space="0" w:color="auto"/>
            <w:bottom w:val="none" w:sz="0" w:space="0" w:color="auto"/>
            <w:right w:val="none" w:sz="0" w:space="0" w:color="auto"/>
          </w:divBdr>
        </w:div>
        <w:div w:id="433936314">
          <w:marLeft w:val="0"/>
          <w:marRight w:val="0"/>
          <w:marTop w:val="0"/>
          <w:marBottom w:val="0"/>
          <w:divBdr>
            <w:top w:val="none" w:sz="0" w:space="0" w:color="auto"/>
            <w:left w:val="none" w:sz="0" w:space="0" w:color="auto"/>
            <w:bottom w:val="none" w:sz="0" w:space="0" w:color="auto"/>
            <w:right w:val="none" w:sz="0" w:space="0" w:color="auto"/>
          </w:divBdr>
        </w:div>
        <w:div w:id="760100798">
          <w:marLeft w:val="0"/>
          <w:marRight w:val="0"/>
          <w:marTop w:val="0"/>
          <w:marBottom w:val="0"/>
          <w:divBdr>
            <w:top w:val="none" w:sz="0" w:space="0" w:color="auto"/>
            <w:left w:val="none" w:sz="0" w:space="0" w:color="auto"/>
            <w:bottom w:val="none" w:sz="0" w:space="0" w:color="auto"/>
            <w:right w:val="none" w:sz="0" w:space="0" w:color="auto"/>
          </w:divBdr>
        </w:div>
        <w:div w:id="193347737">
          <w:marLeft w:val="0"/>
          <w:marRight w:val="0"/>
          <w:marTop w:val="0"/>
          <w:marBottom w:val="0"/>
          <w:divBdr>
            <w:top w:val="none" w:sz="0" w:space="0" w:color="auto"/>
            <w:left w:val="none" w:sz="0" w:space="0" w:color="auto"/>
            <w:bottom w:val="none" w:sz="0" w:space="0" w:color="auto"/>
            <w:right w:val="none" w:sz="0" w:space="0" w:color="auto"/>
          </w:divBdr>
        </w:div>
        <w:div w:id="1452627147">
          <w:marLeft w:val="0"/>
          <w:marRight w:val="0"/>
          <w:marTop w:val="0"/>
          <w:marBottom w:val="0"/>
          <w:divBdr>
            <w:top w:val="none" w:sz="0" w:space="0" w:color="auto"/>
            <w:left w:val="none" w:sz="0" w:space="0" w:color="auto"/>
            <w:bottom w:val="none" w:sz="0" w:space="0" w:color="auto"/>
            <w:right w:val="none" w:sz="0" w:space="0" w:color="auto"/>
          </w:divBdr>
        </w:div>
        <w:div w:id="2120293937">
          <w:marLeft w:val="0"/>
          <w:marRight w:val="0"/>
          <w:marTop w:val="0"/>
          <w:marBottom w:val="0"/>
          <w:divBdr>
            <w:top w:val="none" w:sz="0" w:space="0" w:color="auto"/>
            <w:left w:val="none" w:sz="0" w:space="0" w:color="auto"/>
            <w:bottom w:val="none" w:sz="0" w:space="0" w:color="auto"/>
            <w:right w:val="none" w:sz="0" w:space="0" w:color="auto"/>
          </w:divBdr>
        </w:div>
        <w:div w:id="1067143982">
          <w:marLeft w:val="0"/>
          <w:marRight w:val="0"/>
          <w:marTop w:val="0"/>
          <w:marBottom w:val="0"/>
          <w:divBdr>
            <w:top w:val="none" w:sz="0" w:space="0" w:color="auto"/>
            <w:left w:val="none" w:sz="0" w:space="0" w:color="auto"/>
            <w:bottom w:val="none" w:sz="0" w:space="0" w:color="auto"/>
            <w:right w:val="none" w:sz="0" w:space="0" w:color="auto"/>
          </w:divBdr>
        </w:div>
        <w:div w:id="820119989">
          <w:marLeft w:val="0"/>
          <w:marRight w:val="0"/>
          <w:marTop w:val="0"/>
          <w:marBottom w:val="0"/>
          <w:divBdr>
            <w:top w:val="none" w:sz="0" w:space="0" w:color="auto"/>
            <w:left w:val="none" w:sz="0" w:space="0" w:color="auto"/>
            <w:bottom w:val="none" w:sz="0" w:space="0" w:color="auto"/>
            <w:right w:val="none" w:sz="0" w:space="0" w:color="auto"/>
          </w:divBdr>
        </w:div>
        <w:div w:id="1883126699">
          <w:marLeft w:val="0"/>
          <w:marRight w:val="0"/>
          <w:marTop w:val="0"/>
          <w:marBottom w:val="0"/>
          <w:divBdr>
            <w:top w:val="none" w:sz="0" w:space="0" w:color="auto"/>
            <w:left w:val="none" w:sz="0" w:space="0" w:color="auto"/>
            <w:bottom w:val="none" w:sz="0" w:space="0" w:color="auto"/>
            <w:right w:val="none" w:sz="0" w:space="0" w:color="auto"/>
          </w:divBdr>
        </w:div>
        <w:div w:id="395008677">
          <w:marLeft w:val="0"/>
          <w:marRight w:val="0"/>
          <w:marTop w:val="0"/>
          <w:marBottom w:val="0"/>
          <w:divBdr>
            <w:top w:val="none" w:sz="0" w:space="0" w:color="auto"/>
            <w:left w:val="none" w:sz="0" w:space="0" w:color="auto"/>
            <w:bottom w:val="none" w:sz="0" w:space="0" w:color="auto"/>
            <w:right w:val="none" w:sz="0" w:space="0" w:color="auto"/>
          </w:divBdr>
        </w:div>
        <w:div w:id="220479050">
          <w:marLeft w:val="0"/>
          <w:marRight w:val="0"/>
          <w:marTop w:val="0"/>
          <w:marBottom w:val="0"/>
          <w:divBdr>
            <w:top w:val="none" w:sz="0" w:space="0" w:color="auto"/>
            <w:left w:val="none" w:sz="0" w:space="0" w:color="auto"/>
            <w:bottom w:val="none" w:sz="0" w:space="0" w:color="auto"/>
            <w:right w:val="none" w:sz="0" w:space="0" w:color="auto"/>
          </w:divBdr>
        </w:div>
        <w:div w:id="1204830447">
          <w:marLeft w:val="0"/>
          <w:marRight w:val="0"/>
          <w:marTop w:val="0"/>
          <w:marBottom w:val="0"/>
          <w:divBdr>
            <w:top w:val="none" w:sz="0" w:space="0" w:color="auto"/>
            <w:left w:val="none" w:sz="0" w:space="0" w:color="auto"/>
            <w:bottom w:val="none" w:sz="0" w:space="0" w:color="auto"/>
            <w:right w:val="none" w:sz="0" w:space="0" w:color="auto"/>
          </w:divBdr>
        </w:div>
        <w:div w:id="615714723">
          <w:marLeft w:val="0"/>
          <w:marRight w:val="0"/>
          <w:marTop w:val="0"/>
          <w:marBottom w:val="0"/>
          <w:divBdr>
            <w:top w:val="none" w:sz="0" w:space="0" w:color="auto"/>
            <w:left w:val="none" w:sz="0" w:space="0" w:color="auto"/>
            <w:bottom w:val="none" w:sz="0" w:space="0" w:color="auto"/>
            <w:right w:val="none" w:sz="0" w:space="0" w:color="auto"/>
          </w:divBdr>
        </w:div>
        <w:div w:id="2007634378">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0"/>
          <w:marBottom w:val="0"/>
          <w:divBdr>
            <w:top w:val="none" w:sz="0" w:space="0" w:color="auto"/>
            <w:left w:val="none" w:sz="0" w:space="0" w:color="auto"/>
            <w:bottom w:val="none" w:sz="0" w:space="0" w:color="auto"/>
            <w:right w:val="none" w:sz="0" w:space="0" w:color="auto"/>
          </w:divBdr>
        </w:div>
        <w:div w:id="2040548579">
          <w:marLeft w:val="0"/>
          <w:marRight w:val="0"/>
          <w:marTop w:val="0"/>
          <w:marBottom w:val="0"/>
          <w:divBdr>
            <w:top w:val="none" w:sz="0" w:space="0" w:color="auto"/>
            <w:left w:val="none" w:sz="0" w:space="0" w:color="auto"/>
            <w:bottom w:val="none" w:sz="0" w:space="0" w:color="auto"/>
            <w:right w:val="none" w:sz="0" w:space="0" w:color="auto"/>
          </w:divBdr>
        </w:div>
        <w:div w:id="981276640">
          <w:marLeft w:val="0"/>
          <w:marRight w:val="0"/>
          <w:marTop w:val="0"/>
          <w:marBottom w:val="0"/>
          <w:divBdr>
            <w:top w:val="none" w:sz="0" w:space="0" w:color="auto"/>
            <w:left w:val="none" w:sz="0" w:space="0" w:color="auto"/>
            <w:bottom w:val="none" w:sz="0" w:space="0" w:color="auto"/>
            <w:right w:val="none" w:sz="0" w:space="0" w:color="auto"/>
          </w:divBdr>
        </w:div>
        <w:div w:id="2057318734">
          <w:marLeft w:val="0"/>
          <w:marRight w:val="0"/>
          <w:marTop w:val="0"/>
          <w:marBottom w:val="0"/>
          <w:divBdr>
            <w:top w:val="none" w:sz="0" w:space="0" w:color="auto"/>
            <w:left w:val="none" w:sz="0" w:space="0" w:color="auto"/>
            <w:bottom w:val="none" w:sz="0" w:space="0" w:color="auto"/>
            <w:right w:val="none" w:sz="0" w:space="0" w:color="auto"/>
          </w:divBdr>
        </w:div>
        <w:div w:id="643655686">
          <w:marLeft w:val="0"/>
          <w:marRight w:val="0"/>
          <w:marTop w:val="0"/>
          <w:marBottom w:val="0"/>
          <w:divBdr>
            <w:top w:val="none" w:sz="0" w:space="0" w:color="auto"/>
            <w:left w:val="none" w:sz="0" w:space="0" w:color="auto"/>
            <w:bottom w:val="none" w:sz="0" w:space="0" w:color="auto"/>
            <w:right w:val="none" w:sz="0" w:space="0" w:color="auto"/>
          </w:divBdr>
        </w:div>
        <w:div w:id="1272515821">
          <w:marLeft w:val="0"/>
          <w:marRight w:val="0"/>
          <w:marTop w:val="0"/>
          <w:marBottom w:val="0"/>
          <w:divBdr>
            <w:top w:val="none" w:sz="0" w:space="0" w:color="auto"/>
            <w:left w:val="none" w:sz="0" w:space="0" w:color="auto"/>
            <w:bottom w:val="none" w:sz="0" w:space="0" w:color="auto"/>
            <w:right w:val="none" w:sz="0" w:space="0" w:color="auto"/>
          </w:divBdr>
        </w:div>
        <w:div w:id="1824422264">
          <w:marLeft w:val="0"/>
          <w:marRight w:val="0"/>
          <w:marTop w:val="0"/>
          <w:marBottom w:val="0"/>
          <w:divBdr>
            <w:top w:val="none" w:sz="0" w:space="0" w:color="auto"/>
            <w:left w:val="none" w:sz="0" w:space="0" w:color="auto"/>
            <w:bottom w:val="none" w:sz="0" w:space="0" w:color="auto"/>
            <w:right w:val="none" w:sz="0" w:space="0" w:color="auto"/>
          </w:divBdr>
        </w:div>
        <w:div w:id="498614910">
          <w:marLeft w:val="0"/>
          <w:marRight w:val="0"/>
          <w:marTop w:val="0"/>
          <w:marBottom w:val="0"/>
          <w:divBdr>
            <w:top w:val="none" w:sz="0" w:space="0" w:color="auto"/>
            <w:left w:val="none" w:sz="0" w:space="0" w:color="auto"/>
            <w:bottom w:val="none" w:sz="0" w:space="0" w:color="auto"/>
            <w:right w:val="none" w:sz="0" w:space="0" w:color="auto"/>
          </w:divBdr>
        </w:div>
        <w:div w:id="1936211036">
          <w:marLeft w:val="0"/>
          <w:marRight w:val="0"/>
          <w:marTop w:val="0"/>
          <w:marBottom w:val="0"/>
          <w:divBdr>
            <w:top w:val="none" w:sz="0" w:space="0" w:color="auto"/>
            <w:left w:val="none" w:sz="0" w:space="0" w:color="auto"/>
            <w:bottom w:val="none" w:sz="0" w:space="0" w:color="auto"/>
            <w:right w:val="none" w:sz="0" w:space="0" w:color="auto"/>
          </w:divBdr>
        </w:div>
        <w:div w:id="749276397">
          <w:marLeft w:val="0"/>
          <w:marRight w:val="0"/>
          <w:marTop w:val="0"/>
          <w:marBottom w:val="0"/>
          <w:divBdr>
            <w:top w:val="none" w:sz="0" w:space="0" w:color="auto"/>
            <w:left w:val="none" w:sz="0" w:space="0" w:color="auto"/>
            <w:bottom w:val="none" w:sz="0" w:space="0" w:color="auto"/>
            <w:right w:val="none" w:sz="0" w:space="0" w:color="auto"/>
          </w:divBdr>
        </w:div>
        <w:div w:id="1668946760">
          <w:marLeft w:val="0"/>
          <w:marRight w:val="0"/>
          <w:marTop w:val="0"/>
          <w:marBottom w:val="0"/>
          <w:divBdr>
            <w:top w:val="none" w:sz="0" w:space="0" w:color="auto"/>
            <w:left w:val="none" w:sz="0" w:space="0" w:color="auto"/>
            <w:bottom w:val="none" w:sz="0" w:space="0" w:color="auto"/>
            <w:right w:val="none" w:sz="0" w:space="0" w:color="auto"/>
          </w:divBdr>
        </w:div>
        <w:div w:id="698353560">
          <w:marLeft w:val="0"/>
          <w:marRight w:val="0"/>
          <w:marTop w:val="0"/>
          <w:marBottom w:val="0"/>
          <w:divBdr>
            <w:top w:val="none" w:sz="0" w:space="0" w:color="auto"/>
            <w:left w:val="none" w:sz="0" w:space="0" w:color="auto"/>
            <w:bottom w:val="none" w:sz="0" w:space="0" w:color="auto"/>
            <w:right w:val="none" w:sz="0" w:space="0" w:color="auto"/>
          </w:divBdr>
        </w:div>
        <w:div w:id="1820614983">
          <w:marLeft w:val="0"/>
          <w:marRight w:val="0"/>
          <w:marTop w:val="0"/>
          <w:marBottom w:val="0"/>
          <w:divBdr>
            <w:top w:val="none" w:sz="0" w:space="0" w:color="auto"/>
            <w:left w:val="none" w:sz="0" w:space="0" w:color="auto"/>
            <w:bottom w:val="none" w:sz="0" w:space="0" w:color="auto"/>
            <w:right w:val="none" w:sz="0" w:space="0" w:color="auto"/>
          </w:divBdr>
        </w:div>
        <w:div w:id="411779785">
          <w:marLeft w:val="0"/>
          <w:marRight w:val="0"/>
          <w:marTop w:val="0"/>
          <w:marBottom w:val="0"/>
          <w:divBdr>
            <w:top w:val="none" w:sz="0" w:space="0" w:color="auto"/>
            <w:left w:val="none" w:sz="0" w:space="0" w:color="auto"/>
            <w:bottom w:val="none" w:sz="0" w:space="0" w:color="auto"/>
            <w:right w:val="none" w:sz="0" w:space="0" w:color="auto"/>
          </w:divBdr>
        </w:div>
        <w:div w:id="1034310160">
          <w:marLeft w:val="0"/>
          <w:marRight w:val="0"/>
          <w:marTop w:val="0"/>
          <w:marBottom w:val="0"/>
          <w:divBdr>
            <w:top w:val="none" w:sz="0" w:space="0" w:color="auto"/>
            <w:left w:val="none" w:sz="0" w:space="0" w:color="auto"/>
            <w:bottom w:val="none" w:sz="0" w:space="0" w:color="auto"/>
            <w:right w:val="none" w:sz="0" w:space="0" w:color="auto"/>
          </w:divBdr>
        </w:div>
        <w:div w:id="1201895955">
          <w:marLeft w:val="0"/>
          <w:marRight w:val="0"/>
          <w:marTop w:val="0"/>
          <w:marBottom w:val="0"/>
          <w:divBdr>
            <w:top w:val="none" w:sz="0" w:space="0" w:color="auto"/>
            <w:left w:val="none" w:sz="0" w:space="0" w:color="auto"/>
            <w:bottom w:val="none" w:sz="0" w:space="0" w:color="auto"/>
            <w:right w:val="none" w:sz="0" w:space="0" w:color="auto"/>
          </w:divBdr>
        </w:div>
        <w:div w:id="1681275636">
          <w:marLeft w:val="0"/>
          <w:marRight w:val="0"/>
          <w:marTop w:val="0"/>
          <w:marBottom w:val="0"/>
          <w:divBdr>
            <w:top w:val="none" w:sz="0" w:space="0" w:color="auto"/>
            <w:left w:val="none" w:sz="0" w:space="0" w:color="auto"/>
            <w:bottom w:val="none" w:sz="0" w:space="0" w:color="auto"/>
            <w:right w:val="none" w:sz="0" w:space="0" w:color="auto"/>
          </w:divBdr>
        </w:div>
        <w:div w:id="842628372">
          <w:marLeft w:val="0"/>
          <w:marRight w:val="0"/>
          <w:marTop w:val="0"/>
          <w:marBottom w:val="0"/>
          <w:divBdr>
            <w:top w:val="none" w:sz="0" w:space="0" w:color="auto"/>
            <w:left w:val="none" w:sz="0" w:space="0" w:color="auto"/>
            <w:bottom w:val="none" w:sz="0" w:space="0" w:color="auto"/>
            <w:right w:val="none" w:sz="0" w:space="0" w:color="auto"/>
          </w:divBdr>
        </w:div>
        <w:div w:id="197934775">
          <w:marLeft w:val="0"/>
          <w:marRight w:val="0"/>
          <w:marTop w:val="0"/>
          <w:marBottom w:val="0"/>
          <w:divBdr>
            <w:top w:val="none" w:sz="0" w:space="0" w:color="auto"/>
            <w:left w:val="none" w:sz="0" w:space="0" w:color="auto"/>
            <w:bottom w:val="none" w:sz="0" w:space="0" w:color="auto"/>
            <w:right w:val="none" w:sz="0" w:space="0" w:color="auto"/>
          </w:divBdr>
        </w:div>
        <w:div w:id="2063819336">
          <w:marLeft w:val="0"/>
          <w:marRight w:val="0"/>
          <w:marTop w:val="0"/>
          <w:marBottom w:val="0"/>
          <w:divBdr>
            <w:top w:val="none" w:sz="0" w:space="0" w:color="auto"/>
            <w:left w:val="none" w:sz="0" w:space="0" w:color="auto"/>
            <w:bottom w:val="none" w:sz="0" w:space="0" w:color="auto"/>
            <w:right w:val="none" w:sz="0" w:space="0" w:color="auto"/>
          </w:divBdr>
        </w:div>
        <w:div w:id="315305052">
          <w:marLeft w:val="0"/>
          <w:marRight w:val="0"/>
          <w:marTop w:val="0"/>
          <w:marBottom w:val="0"/>
          <w:divBdr>
            <w:top w:val="none" w:sz="0" w:space="0" w:color="auto"/>
            <w:left w:val="none" w:sz="0" w:space="0" w:color="auto"/>
            <w:bottom w:val="none" w:sz="0" w:space="0" w:color="auto"/>
            <w:right w:val="none" w:sz="0" w:space="0" w:color="auto"/>
          </w:divBdr>
        </w:div>
        <w:div w:id="1285380909">
          <w:marLeft w:val="0"/>
          <w:marRight w:val="0"/>
          <w:marTop w:val="0"/>
          <w:marBottom w:val="0"/>
          <w:divBdr>
            <w:top w:val="none" w:sz="0" w:space="0" w:color="auto"/>
            <w:left w:val="none" w:sz="0" w:space="0" w:color="auto"/>
            <w:bottom w:val="none" w:sz="0" w:space="0" w:color="auto"/>
            <w:right w:val="none" w:sz="0" w:space="0" w:color="auto"/>
          </w:divBdr>
        </w:div>
        <w:div w:id="1921521696">
          <w:marLeft w:val="0"/>
          <w:marRight w:val="0"/>
          <w:marTop w:val="0"/>
          <w:marBottom w:val="0"/>
          <w:divBdr>
            <w:top w:val="none" w:sz="0" w:space="0" w:color="auto"/>
            <w:left w:val="none" w:sz="0" w:space="0" w:color="auto"/>
            <w:bottom w:val="none" w:sz="0" w:space="0" w:color="auto"/>
            <w:right w:val="none" w:sz="0" w:space="0" w:color="auto"/>
          </w:divBdr>
        </w:div>
        <w:div w:id="447941547">
          <w:marLeft w:val="0"/>
          <w:marRight w:val="0"/>
          <w:marTop w:val="0"/>
          <w:marBottom w:val="0"/>
          <w:divBdr>
            <w:top w:val="none" w:sz="0" w:space="0" w:color="auto"/>
            <w:left w:val="none" w:sz="0" w:space="0" w:color="auto"/>
            <w:bottom w:val="none" w:sz="0" w:space="0" w:color="auto"/>
            <w:right w:val="none" w:sz="0" w:space="0" w:color="auto"/>
          </w:divBdr>
        </w:div>
        <w:div w:id="470753734">
          <w:marLeft w:val="0"/>
          <w:marRight w:val="0"/>
          <w:marTop w:val="0"/>
          <w:marBottom w:val="0"/>
          <w:divBdr>
            <w:top w:val="none" w:sz="0" w:space="0" w:color="auto"/>
            <w:left w:val="none" w:sz="0" w:space="0" w:color="auto"/>
            <w:bottom w:val="none" w:sz="0" w:space="0" w:color="auto"/>
            <w:right w:val="none" w:sz="0" w:space="0" w:color="auto"/>
          </w:divBdr>
        </w:div>
        <w:div w:id="711731357">
          <w:marLeft w:val="0"/>
          <w:marRight w:val="0"/>
          <w:marTop w:val="0"/>
          <w:marBottom w:val="0"/>
          <w:divBdr>
            <w:top w:val="none" w:sz="0" w:space="0" w:color="auto"/>
            <w:left w:val="none" w:sz="0" w:space="0" w:color="auto"/>
            <w:bottom w:val="none" w:sz="0" w:space="0" w:color="auto"/>
            <w:right w:val="none" w:sz="0" w:space="0" w:color="auto"/>
          </w:divBdr>
        </w:div>
        <w:div w:id="400837772">
          <w:marLeft w:val="0"/>
          <w:marRight w:val="0"/>
          <w:marTop w:val="0"/>
          <w:marBottom w:val="0"/>
          <w:divBdr>
            <w:top w:val="none" w:sz="0" w:space="0" w:color="auto"/>
            <w:left w:val="none" w:sz="0" w:space="0" w:color="auto"/>
            <w:bottom w:val="none" w:sz="0" w:space="0" w:color="auto"/>
            <w:right w:val="none" w:sz="0" w:space="0" w:color="auto"/>
          </w:divBdr>
        </w:div>
        <w:div w:id="891620244">
          <w:marLeft w:val="0"/>
          <w:marRight w:val="0"/>
          <w:marTop w:val="0"/>
          <w:marBottom w:val="0"/>
          <w:divBdr>
            <w:top w:val="none" w:sz="0" w:space="0" w:color="auto"/>
            <w:left w:val="none" w:sz="0" w:space="0" w:color="auto"/>
            <w:bottom w:val="none" w:sz="0" w:space="0" w:color="auto"/>
            <w:right w:val="none" w:sz="0" w:space="0" w:color="auto"/>
          </w:divBdr>
        </w:div>
        <w:div w:id="796339467">
          <w:marLeft w:val="0"/>
          <w:marRight w:val="0"/>
          <w:marTop w:val="0"/>
          <w:marBottom w:val="0"/>
          <w:divBdr>
            <w:top w:val="none" w:sz="0" w:space="0" w:color="auto"/>
            <w:left w:val="none" w:sz="0" w:space="0" w:color="auto"/>
            <w:bottom w:val="none" w:sz="0" w:space="0" w:color="auto"/>
            <w:right w:val="none" w:sz="0" w:space="0" w:color="auto"/>
          </w:divBdr>
        </w:div>
        <w:div w:id="333194777">
          <w:marLeft w:val="0"/>
          <w:marRight w:val="0"/>
          <w:marTop w:val="0"/>
          <w:marBottom w:val="0"/>
          <w:divBdr>
            <w:top w:val="none" w:sz="0" w:space="0" w:color="auto"/>
            <w:left w:val="none" w:sz="0" w:space="0" w:color="auto"/>
            <w:bottom w:val="none" w:sz="0" w:space="0" w:color="auto"/>
            <w:right w:val="none" w:sz="0" w:space="0" w:color="auto"/>
          </w:divBdr>
        </w:div>
        <w:div w:id="1722482859">
          <w:marLeft w:val="0"/>
          <w:marRight w:val="0"/>
          <w:marTop w:val="0"/>
          <w:marBottom w:val="0"/>
          <w:divBdr>
            <w:top w:val="none" w:sz="0" w:space="0" w:color="auto"/>
            <w:left w:val="none" w:sz="0" w:space="0" w:color="auto"/>
            <w:bottom w:val="none" w:sz="0" w:space="0" w:color="auto"/>
            <w:right w:val="none" w:sz="0" w:space="0" w:color="auto"/>
          </w:divBdr>
        </w:div>
        <w:div w:id="531042375">
          <w:marLeft w:val="0"/>
          <w:marRight w:val="0"/>
          <w:marTop w:val="0"/>
          <w:marBottom w:val="0"/>
          <w:divBdr>
            <w:top w:val="none" w:sz="0" w:space="0" w:color="auto"/>
            <w:left w:val="none" w:sz="0" w:space="0" w:color="auto"/>
            <w:bottom w:val="none" w:sz="0" w:space="0" w:color="auto"/>
            <w:right w:val="none" w:sz="0" w:space="0" w:color="auto"/>
          </w:divBdr>
        </w:div>
        <w:div w:id="2020113501">
          <w:marLeft w:val="0"/>
          <w:marRight w:val="0"/>
          <w:marTop w:val="0"/>
          <w:marBottom w:val="0"/>
          <w:divBdr>
            <w:top w:val="none" w:sz="0" w:space="0" w:color="auto"/>
            <w:left w:val="none" w:sz="0" w:space="0" w:color="auto"/>
            <w:bottom w:val="none" w:sz="0" w:space="0" w:color="auto"/>
            <w:right w:val="none" w:sz="0" w:space="0" w:color="auto"/>
          </w:divBdr>
        </w:div>
        <w:div w:id="768551822">
          <w:marLeft w:val="0"/>
          <w:marRight w:val="0"/>
          <w:marTop w:val="0"/>
          <w:marBottom w:val="0"/>
          <w:divBdr>
            <w:top w:val="none" w:sz="0" w:space="0" w:color="auto"/>
            <w:left w:val="none" w:sz="0" w:space="0" w:color="auto"/>
            <w:bottom w:val="none" w:sz="0" w:space="0" w:color="auto"/>
            <w:right w:val="none" w:sz="0" w:space="0" w:color="auto"/>
          </w:divBdr>
        </w:div>
        <w:div w:id="2027823979">
          <w:marLeft w:val="0"/>
          <w:marRight w:val="0"/>
          <w:marTop w:val="0"/>
          <w:marBottom w:val="0"/>
          <w:divBdr>
            <w:top w:val="none" w:sz="0" w:space="0" w:color="auto"/>
            <w:left w:val="none" w:sz="0" w:space="0" w:color="auto"/>
            <w:bottom w:val="none" w:sz="0" w:space="0" w:color="auto"/>
            <w:right w:val="none" w:sz="0" w:space="0" w:color="auto"/>
          </w:divBdr>
        </w:div>
        <w:div w:id="1287543968">
          <w:marLeft w:val="0"/>
          <w:marRight w:val="0"/>
          <w:marTop w:val="0"/>
          <w:marBottom w:val="0"/>
          <w:divBdr>
            <w:top w:val="none" w:sz="0" w:space="0" w:color="auto"/>
            <w:left w:val="none" w:sz="0" w:space="0" w:color="auto"/>
            <w:bottom w:val="none" w:sz="0" w:space="0" w:color="auto"/>
            <w:right w:val="none" w:sz="0" w:space="0" w:color="auto"/>
          </w:divBdr>
        </w:div>
        <w:div w:id="484010311">
          <w:marLeft w:val="0"/>
          <w:marRight w:val="0"/>
          <w:marTop w:val="0"/>
          <w:marBottom w:val="0"/>
          <w:divBdr>
            <w:top w:val="none" w:sz="0" w:space="0" w:color="auto"/>
            <w:left w:val="none" w:sz="0" w:space="0" w:color="auto"/>
            <w:bottom w:val="none" w:sz="0" w:space="0" w:color="auto"/>
            <w:right w:val="none" w:sz="0" w:space="0" w:color="auto"/>
          </w:divBdr>
        </w:div>
        <w:div w:id="1571841667">
          <w:marLeft w:val="0"/>
          <w:marRight w:val="0"/>
          <w:marTop w:val="0"/>
          <w:marBottom w:val="0"/>
          <w:divBdr>
            <w:top w:val="none" w:sz="0" w:space="0" w:color="auto"/>
            <w:left w:val="none" w:sz="0" w:space="0" w:color="auto"/>
            <w:bottom w:val="none" w:sz="0" w:space="0" w:color="auto"/>
            <w:right w:val="none" w:sz="0" w:space="0" w:color="auto"/>
          </w:divBdr>
        </w:div>
        <w:div w:id="1559975608">
          <w:marLeft w:val="0"/>
          <w:marRight w:val="0"/>
          <w:marTop w:val="0"/>
          <w:marBottom w:val="0"/>
          <w:divBdr>
            <w:top w:val="none" w:sz="0" w:space="0" w:color="auto"/>
            <w:left w:val="none" w:sz="0" w:space="0" w:color="auto"/>
            <w:bottom w:val="none" w:sz="0" w:space="0" w:color="auto"/>
            <w:right w:val="none" w:sz="0" w:space="0" w:color="auto"/>
          </w:divBdr>
        </w:div>
        <w:div w:id="1677263457">
          <w:marLeft w:val="0"/>
          <w:marRight w:val="0"/>
          <w:marTop w:val="0"/>
          <w:marBottom w:val="0"/>
          <w:divBdr>
            <w:top w:val="none" w:sz="0" w:space="0" w:color="auto"/>
            <w:left w:val="none" w:sz="0" w:space="0" w:color="auto"/>
            <w:bottom w:val="none" w:sz="0" w:space="0" w:color="auto"/>
            <w:right w:val="none" w:sz="0" w:space="0" w:color="auto"/>
          </w:divBdr>
        </w:div>
        <w:div w:id="1097599349">
          <w:marLeft w:val="0"/>
          <w:marRight w:val="0"/>
          <w:marTop w:val="0"/>
          <w:marBottom w:val="0"/>
          <w:divBdr>
            <w:top w:val="none" w:sz="0" w:space="0" w:color="auto"/>
            <w:left w:val="none" w:sz="0" w:space="0" w:color="auto"/>
            <w:bottom w:val="none" w:sz="0" w:space="0" w:color="auto"/>
            <w:right w:val="none" w:sz="0" w:space="0" w:color="auto"/>
          </w:divBdr>
        </w:div>
        <w:div w:id="1548685917">
          <w:marLeft w:val="0"/>
          <w:marRight w:val="0"/>
          <w:marTop w:val="0"/>
          <w:marBottom w:val="0"/>
          <w:divBdr>
            <w:top w:val="none" w:sz="0" w:space="0" w:color="auto"/>
            <w:left w:val="none" w:sz="0" w:space="0" w:color="auto"/>
            <w:bottom w:val="none" w:sz="0" w:space="0" w:color="auto"/>
            <w:right w:val="none" w:sz="0" w:space="0" w:color="auto"/>
          </w:divBdr>
        </w:div>
        <w:div w:id="424232507">
          <w:marLeft w:val="0"/>
          <w:marRight w:val="0"/>
          <w:marTop w:val="0"/>
          <w:marBottom w:val="0"/>
          <w:divBdr>
            <w:top w:val="none" w:sz="0" w:space="0" w:color="auto"/>
            <w:left w:val="none" w:sz="0" w:space="0" w:color="auto"/>
            <w:bottom w:val="none" w:sz="0" w:space="0" w:color="auto"/>
            <w:right w:val="none" w:sz="0" w:space="0" w:color="auto"/>
          </w:divBdr>
        </w:div>
        <w:div w:id="1383745320">
          <w:marLeft w:val="0"/>
          <w:marRight w:val="0"/>
          <w:marTop w:val="0"/>
          <w:marBottom w:val="0"/>
          <w:divBdr>
            <w:top w:val="none" w:sz="0" w:space="0" w:color="auto"/>
            <w:left w:val="none" w:sz="0" w:space="0" w:color="auto"/>
            <w:bottom w:val="none" w:sz="0" w:space="0" w:color="auto"/>
            <w:right w:val="none" w:sz="0" w:space="0" w:color="auto"/>
          </w:divBdr>
        </w:div>
        <w:div w:id="1846360361">
          <w:marLeft w:val="0"/>
          <w:marRight w:val="0"/>
          <w:marTop w:val="0"/>
          <w:marBottom w:val="0"/>
          <w:divBdr>
            <w:top w:val="none" w:sz="0" w:space="0" w:color="auto"/>
            <w:left w:val="none" w:sz="0" w:space="0" w:color="auto"/>
            <w:bottom w:val="none" w:sz="0" w:space="0" w:color="auto"/>
            <w:right w:val="none" w:sz="0" w:space="0" w:color="auto"/>
          </w:divBdr>
        </w:div>
        <w:div w:id="1655184365">
          <w:marLeft w:val="0"/>
          <w:marRight w:val="0"/>
          <w:marTop w:val="0"/>
          <w:marBottom w:val="0"/>
          <w:divBdr>
            <w:top w:val="none" w:sz="0" w:space="0" w:color="auto"/>
            <w:left w:val="none" w:sz="0" w:space="0" w:color="auto"/>
            <w:bottom w:val="none" w:sz="0" w:space="0" w:color="auto"/>
            <w:right w:val="none" w:sz="0" w:space="0" w:color="auto"/>
          </w:divBdr>
        </w:div>
        <w:div w:id="1764572817">
          <w:marLeft w:val="0"/>
          <w:marRight w:val="0"/>
          <w:marTop w:val="0"/>
          <w:marBottom w:val="0"/>
          <w:divBdr>
            <w:top w:val="none" w:sz="0" w:space="0" w:color="auto"/>
            <w:left w:val="none" w:sz="0" w:space="0" w:color="auto"/>
            <w:bottom w:val="none" w:sz="0" w:space="0" w:color="auto"/>
            <w:right w:val="none" w:sz="0" w:space="0" w:color="auto"/>
          </w:divBdr>
        </w:div>
        <w:div w:id="1807814667">
          <w:marLeft w:val="0"/>
          <w:marRight w:val="0"/>
          <w:marTop w:val="0"/>
          <w:marBottom w:val="0"/>
          <w:divBdr>
            <w:top w:val="none" w:sz="0" w:space="0" w:color="auto"/>
            <w:left w:val="none" w:sz="0" w:space="0" w:color="auto"/>
            <w:bottom w:val="none" w:sz="0" w:space="0" w:color="auto"/>
            <w:right w:val="none" w:sz="0" w:space="0" w:color="auto"/>
          </w:divBdr>
        </w:div>
        <w:div w:id="1931427453">
          <w:marLeft w:val="0"/>
          <w:marRight w:val="0"/>
          <w:marTop w:val="0"/>
          <w:marBottom w:val="0"/>
          <w:divBdr>
            <w:top w:val="none" w:sz="0" w:space="0" w:color="auto"/>
            <w:left w:val="none" w:sz="0" w:space="0" w:color="auto"/>
            <w:bottom w:val="none" w:sz="0" w:space="0" w:color="auto"/>
            <w:right w:val="none" w:sz="0" w:space="0" w:color="auto"/>
          </w:divBdr>
        </w:div>
        <w:div w:id="1538665746">
          <w:marLeft w:val="0"/>
          <w:marRight w:val="0"/>
          <w:marTop w:val="0"/>
          <w:marBottom w:val="0"/>
          <w:divBdr>
            <w:top w:val="none" w:sz="0" w:space="0" w:color="auto"/>
            <w:left w:val="none" w:sz="0" w:space="0" w:color="auto"/>
            <w:bottom w:val="none" w:sz="0" w:space="0" w:color="auto"/>
            <w:right w:val="none" w:sz="0" w:space="0" w:color="auto"/>
          </w:divBdr>
        </w:div>
        <w:div w:id="656347279">
          <w:marLeft w:val="0"/>
          <w:marRight w:val="0"/>
          <w:marTop w:val="0"/>
          <w:marBottom w:val="0"/>
          <w:divBdr>
            <w:top w:val="none" w:sz="0" w:space="0" w:color="auto"/>
            <w:left w:val="none" w:sz="0" w:space="0" w:color="auto"/>
            <w:bottom w:val="none" w:sz="0" w:space="0" w:color="auto"/>
            <w:right w:val="none" w:sz="0" w:space="0" w:color="auto"/>
          </w:divBdr>
        </w:div>
        <w:div w:id="1301226505">
          <w:marLeft w:val="0"/>
          <w:marRight w:val="0"/>
          <w:marTop w:val="0"/>
          <w:marBottom w:val="0"/>
          <w:divBdr>
            <w:top w:val="none" w:sz="0" w:space="0" w:color="auto"/>
            <w:left w:val="none" w:sz="0" w:space="0" w:color="auto"/>
            <w:bottom w:val="none" w:sz="0" w:space="0" w:color="auto"/>
            <w:right w:val="none" w:sz="0" w:space="0" w:color="auto"/>
          </w:divBdr>
        </w:div>
        <w:div w:id="2140219904">
          <w:marLeft w:val="0"/>
          <w:marRight w:val="0"/>
          <w:marTop w:val="0"/>
          <w:marBottom w:val="0"/>
          <w:divBdr>
            <w:top w:val="none" w:sz="0" w:space="0" w:color="auto"/>
            <w:left w:val="none" w:sz="0" w:space="0" w:color="auto"/>
            <w:bottom w:val="none" w:sz="0" w:space="0" w:color="auto"/>
            <w:right w:val="none" w:sz="0" w:space="0" w:color="auto"/>
          </w:divBdr>
        </w:div>
        <w:div w:id="1143809642">
          <w:marLeft w:val="0"/>
          <w:marRight w:val="0"/>
          <w:marTop w:val="0"/>
          <w:marBottom w:val="0"/>
          <w:divBdr>
            <w:top w:val="none" w:sz="0" w:space="0" w:color="auto"/>
            <w:left w:val="none" w:sz="0" w:space="0" w:color="auto"/>
            <w:bottom w:val="none" w:sz="0" w:space="0" w:color="auto"/>
            <w:right w:val="none" w:sz="0" w:space="0" w:color="auto"/>
          </w:divBdr>
        </w:div>
        <w:div w:id="865827512">
          <w:marLeft w:val="0"/>
          <w:marRight w:val="0"/>
          <w:marTop w:val="0"/>
          <w:marBottom w:val="0"/>
          <w:divBdr>
            <w:top w:val="none" w:sz="0" w:space="0" w:color="auto"/>
            <w:left w:val="none" w:sz="0" w:space="0" w:color="auto"/>
            <w:bottom w:val="none" w:sz="0" w:space="0" w:color="auto"/>
            <w:right w:val="none" w:sz="0" w:space="0" w:color="auto"/>
          </w:divBdr>
        </w:div>
        <w:div w:id="352340373">
          <w:marLeft w:val="0"/>
          <w:marRight w:val="0"/>
          <w:marTop w:val="0"/>
          <w:marBottom w:val="0"/>
          <w:divBdr>
            <w:top w:val="none" w:sz="0" w:space="0" w:color="auto"/>
            <w:left w:val="none" w:sz="0" w:space="0" w:color="auto"/>
            <w:bottom w:val="none" w:sz="0" w:space="0" w:color="auto"/>
            <w:right w:val="none" w:sz="0" w:space="0" w:color="auto"/>
          </w:divBdr>
        </w:div>
        <w:div w:id="1757165275">
          <w:marLeft w:val="0"/>
          <w:marRight w:val="0"/>
          <w:marTop w:val="0"/>
          <w:marBottom w:val="0"/>
          <w:divBdr>
            <w:top w:val="none" w:sz="0" w:space="0" w:color="auto"/>
            <w:left w:val="none" w:sz="0" w:space="0" w:color="auto"/>
            <w:bottom w:val="none" w:sz="0" w:space="0" w:color="auto"/>
            <w:right w:val="none" w:sz="0" w:space="0" w:color="auto"/>
          </w:divBdr>
        </w:div>
        <w:div w:id="420373955">
          <w:marLeft w:val="0"/>
          <w:marRight w:val="0"/>
          <w:marTop w:val="0"/>
          <w:marBottom w:val="0"/>
          <w:divBdr>
            <w:top w:val="none" w:sz="0" w:space="0" w:color="auto"/>
            <w:left w:val="none" w:sz="0" w:space="0" w:color="auto"/>
            <w:bottom w:val="none" w:sz="0" w:space="0" w:color="auto"/>
            <w:right w:val="none" w:sz="0" w:space="0" w:color="auto"/>
          </w:divBdr>
        </w:div>
        <w:div w:id="544947708">
          <w:marLeft w:val="0"/>
          <w:marRight w:val="0"/>
          <w:marTop w:val="0"/>
          <w:marBottom w:val="0"/>
          <w:divBdr>
            <w:top w:val="none" w:sz="0" w:space="0" w:color="auto"/>
            <w:left w:val="none" w:sz="0" w:space="0" w:color="auto"/>
            <w:bottom w:val="none" w:sz="0" w:space="0" w:color="auto"/>
            <w:right w:val="none" w:sz="0" w:space="0" w:color="auto"/>
          </w:divBdr>
        </w:div>
        <w:div w:id="45029669">
          <w:marLeft w:val="0"/>
          <w:marRight w:val="0"/>
          <w:marTop w:val="0"/>
          <w:marBottom w:val="0"/>
          <w:divBdr>
            <w:top w:val="none" w:sz="0" w:space="0" w:color="auto"/>
            <w:left w:val="none" w:sz="0" w:space="0" w:color="auto"/>
            <w:bottom w:val="none" w:sz="0" w:space="0" w:color="auto"/>
            <w:right w:val="none" w:sz="0" w:space="0" w:color="auto"/>
          </w:divBdr>
        </w:div>
        <w:div w:id="1040980285">
          <w:marLeft w:val="0"/>
          <w:marRight w:val="0"/>
          <w:marTop w:val="0"/>
          <w:marBottom w:val="0"/>
          <w:divBdr>
            <w:top w:val="none" w:sz="0" w:space="0" w:color="auto"/>
            <w:left w:val="none" w:sz="0" w:space="0" w:color="auto"/>
            <w:bottom w:val="none" w:sz="0" w:space="0" w:color="auto"/>
            <w:right w:val="none" w:sz="0" w:space="0" w:color="auto"/>
          </w:divBdr>
        </w:div>
        <w:div w:id="965508000">
          <w:marLeft w:val="0"/>
          <w:marRight w:val="0"/>
          <w:marTop w:val="0"/>
          <w:marBottom w:val="0"/>
          <w:divBdr>
            <w:top w:val="none" w:sz="0" w:space="0" w:color="auto"/>
            <w:left w:val="none" w:sz="0" w:space="0" w:color="auto"/>
            <w:bottom w:val="none" w:sz="0" w:space="0" w:color="auto"/>
            <w:right w:val="none" w:sz="0" w:space="0" w:color="auto"/>
          </w:divBdr>
        </w:div>
        <w:div w:id="1346592234">
          <w:marLeft w:val="0"/>
          <w:marRight w:val="0"/>
          <w:marTop w:val="0"/>
          <w:marBottom w:val="0"/>
          <w:divBdr>
            <w:top w:val="none" w:sz="0" w:space="0" w:color="auto"/>
            <w:left w:val="none" w:sz="0" w:space="0" w:color="auto"/>
            <w:bottom w:val="none" w:sz="0" w:space="0" w:color="auto"/>
            <w:right w:val="none" w:sz="0" w:space="0" w:color="auto"/>
          </w:divBdr>
        </w:div>
        <w:div w:id="177086042">
          <w:marLeft w:val="0"/>
          <w:marRight w:val="0"/>
          <w:marTop w:val="0"/>
          <w:marBottom w:val="0"/>
          <w:divBdr>
            <w:top w:val="none" w:sz="0" w:space="0" w:color="auto"/>
            <w:left w:val="none" w:sz="0" w:space="0" w:color="auto"/>
            <w:bottom w:val="none" w:sz="0" w:space="0" w:color="auto"/>
            <w:right w:val="none" w:sz="0" w:space="0" w:color="auto"/>
          </w:divBdr>
        </w:div>
        <w:div w:id="1741949255">
          <w:marLeft w:val="0"/>
          <w:marRight w:val="0"/>
          <w:marTop w:val="0"/>
          <w:marBottom w:val="0"/>
          <w:divBdr>
            <w:top w:val="none" w:sz="0" w:space="0" w:color="auto"/>
            <w:left w:val="none" w:sz="0" w:space="0" w:color="auto"/>
            <w:bottom w:val="none" w:sz="0" w:space="0" w:color="auto"/>
            <w:right w:val="none" w:sz="0" w:space="0" w:color="auto"/>
          </w:divBdr>
        </w:div>
        <w:div w:id="1728382821">
          <w:marLeft w:val="0"/>
          <w:marRight w:val="0"/>
          <w:marTop w:val="0"/>
          <w:marBottom w:val="0"/>
          <w:divBdr>
            <w:top w:val="none" w:sz="0" w:space="0" w:color="auto"/>
            <w:left w:val="none" w:sz="0" w:space="0" w:color="auto"/>
            <w:bottom w:val="none" w:sz="0" w:space="0" w:color="auto"/>
            <w:right w:val="none" w:sz="0" w:space="0" w:color="auto"/>
          </w:divBdr>
        </w:div>
        <w:div w:id="840196974">
          <w:marLeft w:val="0"/>
          <w:marRight w:val="0"/>
          <w:marTop w:val="0"/>
          <w:marBottom w:val="0"/>
          <w:divBdr>
            <w:top w:val="none" w:sz="0" w:space="0" w:color="auto"/>
            <w:left w:val="none" w:sz="0" w:space="0" w:color="auto"/>
            <w:bottom w:val="none" w:sz="0" w:space="0" w:color="auto"/>
            <w:right w:val="none" w:sz="0" w:space="0" w:color="auto"/>
          </w:divBdr>
        </w:div>
        <w:div w:id="114644558">
          <w:marLeft w:val="0"/>
          <w:marRight w:val="0"/>
          <w:marTop w:val="0"/>
          <w:marBottom w:val="0"/>
          <w:divBdr>
            <w:top w:val="none" w:sz="0" w:space="0" w:color="auto"/>
            <w:left w:val="none" w:sz="0" w:space="0" w:color="auto"/>
            <w:bottom w:val="none" w:sz="0" w:space="0" w:color="auto"/>
            <w:right w:val="none" w:sz="0" w:space="0" w:color="auto"/>
          </w:divBdr>
        </w:div>
        <w:div w:id="539172974">
          <w:marLeft w:val="0"/>
          <w:marRight w:val="0"/>
          <w:marTop w:val="0"/>
          <w:marBottom w:val="0"/>
          <w:divBdr>
            <w:top w:val="none" w:sz="0" w:space="0" w:color="auto"/>
            <w:left w:val="none" w:sz="0" w:space="0" w:color="auto"/>
            <w:bottom w:val="none" w:sz="0" w:space="0" w:color="auto"/>
            <w:right w:val="none" w:sz="0" w:space="0" w:color="auto"/>
          </w:divBdr>
        </w:div>
        <w:div w:id="634407480">
          <w:marLeft w:val="0"/>
          <w:marRight w:val="0"/>
          <w:marTop w:val="0"/>
          <w:marBottom w:val="0"/>
          <w:divBdr>
            <w:top w:val="none" w:sz="0" w:space="0" w:color="auto"/>
            <w:left w:val="none" w:sz="0" w:space="0" w:color="auto"/>
            <w:bottom w:val="none" w:sz="0" w:space="0" w:color="auto"/>
            <w:right w:val="none" w:sz="0" w:space="0" w:color="auto"/>
          </w:divBdr>
        </w:div>
        <w:div w:id="1607038811">
          <w:marLeft w:val="0"/>
          <w:marRight w:val="0"/>
          <w:marTop w:val="0"/>
          <w:marBottom w:val="0"/>
          <w:divBdr>
            <w:top w:val="none" w:sz="0" w:space="0" w:color="auto"/>
            <w:left w:val="none" w:sz="0" w:space="0" w:color="auto"/>
            <w:bottom w:val="none" w:sz="0" w:space="0" w:color="auto"/>
            <w:right w:val="none" w:sz="0" w:space="0" w:color="auto"/>
          </w:divBdr>
        </w:div>
        <w:div w:id="190460470">
          <w:marLeft w:val="0"/>
          <w:marRight w:val="0"/>
          <w:marTop w:val="0"/>
          <w:marBottom w:val="0"/>
          <w:divBdr>
            <w:top w:val="none" w:sz="0" w:space="0" w:color="auto"/>
            <w:left w:val="none" w:sz="0" w:space="0" w:color="auto"/>
            <w:bottom w:val="none" w:sz="0" w:space="0" w:color="auto"/>
            <w:right w:val="none" w:sz="0" w:space="0" w:color="auto"/>
          </w:divBdr>
        </w:div>
        <w:div w:id="1621644930">
          <w:marLeft w:val="0"/>
          <w:marRight w:val="0"/>
          <w:marTop w:val="0"/>
          <w:marBottom w:val="0"/>
          <w:divBdr>
            <w:top w:val="none" w:sz="0" w:space="0" w:color="auto"/>
            <w:left w:val="none" w:sz="0" w:space="0" w:color="auto"/>
            <w:bottom w:val="none" w:sz="0" w:space="0" w:color="auto"/>
            <w:right w:val="none" w:sz="0" w:space="0" w:color="auto"/>
          </w:divBdr>
        </w:div>
        <w:div w:id="1515531244">
          <w:marLeft w:val="0"/>
          <w:marRight w:val="0"/>
          <w:marTop w:val="0"/>
          <w:marBottom w:val="0"/>
          <w:divBdr>
            <w:top w:val="none" w:sz="0" w:space="0" w:color="auto"/>
            <w:left w:val="none" w:sz="0" w:space="0" w:color="auto"/>
            <w:bottom w:val="none" w:sz="0" w:space="0" w:color="auto"/>
            <w:right w:val="none" w:sz="0" w:space="0" w:color="auto"/>
          </w:divBdr>
        </w:div>
        <w:div w:id="23099410">
          <w:marLeft w:val="0"/>
          <w:marRight w:val="0"/>
          <w:marTop w:val="0"/>
          <w:marBottom w:val="0"/>
          <w:divBdr>
            <w:top w:val="none" w:sz="0" w:space="0" w:color="auto"/>
            <w:left w:val="none" w:sz="0" w:space="0" w:color="auto"/>
            <w:bottom w:val="none" w:sz="0" w:space="0" w:color="auto"/>
            <w:right w:val="none" w:sz="0" w:space="0" w:color="auto"/>
          </w:divBdr>
        </w:div>
        <w:div w:id="14962390">
          <w:marLeft w:val="0"/>
          <w:marRight w:val="0"/>
          <w:marTop w:val="0"/>
          <w:marBottom w:val="0"/>
          <w:divBdr>
            <w:top w:val="none" w:sz="0" w:space="0" w:color="auto"/>
            <w:left w:val="none" w:sz="0" w:space="0" w:color="auto"/>
            <w:bottom w:val="none" w:sz="0" w:space="0" w:color="auto"/>
            <w:right w:val="none" w:sz="0" w:space="0" w:color="auto"/>
          </w:divBdr>
        </w:div>
        <w:div w:id="303462755">
          <w:marLeft w:val="0"/>
          <w:marRight w:val="0"/>
          <w:marTop w:val="0"/>
          <w:marBottom w:val="0"/>
          <w:divBdr>
            <w:top w:val="none" w:sz="0" w:space="0" w:color="auto"/>
            <w:left w:val="none" w:sz="0" w:space="0" w:color="auto"/>
            <w:bottom w:val="none" w:sz="0" w:space="0" w:color="auto"/>
            <w:right w:val="none" w:sz="0" w:space="0" w:color="auto"/>
          </w:divBdr>
        </w:div>
        <w:div w:id="2120487850">
          <w:marLeft w:val="0"/>
          <w:marRight w:val="0"/>
          <w:marTop w:val="0"/>
          <w:marBottom w:val="0"/>
          <w:divBdr>
            <w:top w:val="none" w:sz="0" w:space="0" w:color="auto"/>
            <w:left w:val="none" w:sz="0" w:space="0" w:color="auto"/>
            <w:bottom w:val="none" w:sz="0" w:space="0" w:color="auto"/>
            <w:right w:val="none" w:sz="0" w:space="0" w:color="auto"/>
          </w:divBdr>
        </w:div>
        <w:div w:id="1890530026">
          <w:marLeft w:val="0"/>
          <w:marRight w:val="0"/>
          <w:marTop w:val="0"/>
          <w:marBottom w:val="0"/>
          <w:divBdr>
            <w:top w:val="none" w:sz="0" w:space="0" w:color="auto"/>
            <w:left w:val="none" w:sz="0" w:space="0" w:color="auto"/>
            <w:bottom w:val="none" w:sz="0" w:space="0" w:color="auto"/>
            <w:right w:val="none" w:sz="0" w:space="0" w:color="auto"/>
          </w:divBdr>
        </w:div>
        <w:div w:id="1389066910">
          <w:marLeft w:val="0"/>
          <w:marRight w:val="0"/>
          <w:marTop w:val="0"/>
          <w:marBottom w:val="0"/>
          <w:divBdr>
            <w:top w:val="none" w:sz="0" w:space="0" w:color="auto"/>
            <w:left w:val="none" w:sz="0" w:space="0" w:color="auto"/>
            <w:bottom w:val="none" w:sz="0" w:space="0" w:color="auto"/>
            <w:right w:val="none" w:sz="0" w:space="0" w:color="auto"/>
          </w:divBdr>
        </w:div>
        <w:div w:id="548883450">
          <w:marLeft w:val="0"/>
          <w:marRight w:val="0"/>
          <w:marTop w:val="0"/>
          <w:marBottom w:val="0"/>
          <w:divBdr>
            <w:top w:val="none" w:sz="0" w:space="0" w:color="auto"/>
            <w:left w:val="none" w:sz="0" w:space="0" w:color="auto"/>
            <w:bottom w:val="none" w:sz="0" w:space="0" w:color="auto"/>
            <w:right w:val="none" w:sz="0" w:space="0" w:color="auto"/>
          </w:divBdr>
        </w:div>
        <w:div w:id="1181048199">
          <w:marLeft w:val="0"/>
          <w:marRight w:val="0"/>
          <w:marTop w:val="0"/>
          <w:marBottom w:val="0"/>
          <w:divBdr>
            <w:top w:val="none" w:sz="0" w:space="0" w:color="auto"/>
            <w:left w:val="none" w:sz="0" w:space="0" w:color="auto"/>
            <w:bottom w:val="none" w:sz="0" w:space="0" w:color="auto"/>
            <w:right w:val="none" w:sz="0" w:space="0" w:color="auto"/>
          </w:divBdr>
        </w:div>
        <w:div w:id="436366889">
          <w:marLeft w:val="0"/>
          <w:marRight w:val="0"/>
          <w:marTop w:val="0"/>
          <w:marBottom w:val="0"/>
          <w:divBdr>
            <w:top w:val="none" w:sz="0" w:space="0" w:color="auto"/>
            <w:left w:val="none" w:sz="0" w:space="0" w:color="auto"/>
            <w:bottom w:val="none" w:sz="0" w:space="0" w:color="auto"/>
            <w:right w:val="none" w:sz="0" w:space="0" w:color="auto"/>
          </w:divBdr>
        </w:div>
        <w:div w:id="948001601">
          <w:marLeft w:val="0"/>
          <w:marRight w:val="0"/>
          <w:marTop w:val="0"/>
          <w:marBottom w:val="0"/>
          <w:divBdr>
            <w:top w:val="none" w:sz="0" w:space="0" w:color="auto"/>
            <w:left w:val="none" w:sz="0" w:space="0" w:color="auto"/>
            <w:bottom w:val="none" w:sz="0" w:space="0" w:color="auto"/>
            <w:right w:val="none" w:sz="0" w:space="0" w:color="auto"/>
          </w:divBdr>
        </w:div>
        <w:div w:id="1797598695">
          <w:marLeft w:val="0"/>
          <w:marRight w:val="0"/>
          <w:marTop w:val="0"/>
          <w:marBottom w:val="0"/>
          <w:divBdr>
            <w:top w:val="none" w:sz="0" w:space="0" w:color="auto"/>
            <w:left w:val="none" w:sz="0" w:space="0" w:color="auto"/>
            <w:bottom w:val="none" w:sz="0" w:space="0" w:color="auto"/>
            <w:right w:val="none" w:sz="0" w:space="0" w:color="auto"/>
          </w:divBdr>
        </w:div>
        <w:div w:id="16975403">
          <w:marLeft w:val="0"/>
          <w:marRight w:val="0"/>
          <w:marTop w:val="0"/>
          <w:marBottom w:val="0"/>
          <w:divBdr>
            <w:top w:val="none" w:sz="0" w:space="0" w:color="auto"/>
            <w:left w:val="none" w:sz="0" w:space="0" w:color="auto"/>
            <w:bottom w:val="none" w:sz="0" w:space="0" w:color="auto"/>
            <w:right w:val="none" w:sz="0" w:space="0" w:color="auto"/>
          </w:divBdr>
        </w:div>
        <w:div w:id="464738480">
          <w:marLeft w:val="0"/>
          <w:marRight w:val="0"/>
          <w:marTop w:val="0"/>
          <w:marBottom w:val="0"/>
          <w:divBdr>
            <w:top w:val="none" w:sz="0" w:space="0" w:color="auto"/>
            <w:left w:val="none" w:sz="0" w:space="0" w:color="auto"/>
            <w:bottom w:val="none" w:sz="0" w:space="0" w:color="auto"/>
            <w:right w:val="none" w:sz="0" w:space="0" w:color="auto"/>
          </w:divBdr>
        </w:div>
        <w:div w:id="1821343415">
          <w:marLeft w:val="0"/>
          <w:marRight w:val="0"/>
          <w:marTop w:val="0"/>
          <w:marBottom w:val="0"/>
          <w:divBdr>
            <w:top w:val="none" w:sz="0" w:space="0" w:color="auto"/>
            <w:left w:val="none" w:sz="0" w:space="0" w:color="auto"/>
            <w:bottom w:val="none" w:sz="0" w:space="0" w:color="auto"/>
            <w:right w:val="none" w:sz="0" w:space="0" w:color="auto"/>
          </w:divBdr>
        </w:div>
        <w:div w:id="1826583013">
          <w:marLeft w:val="0"/>
          <w:marRight w:val="0"/>
          <w:marTop w:val="0"/>
          <w:marBottom w:val="0"/>
          <w:divBdr>
            <w:top w:val="none" w:sz="0" w:space="0" w:color="auto"/>
            <w:left w:val="none" w:sz="0" w:space="0" w:color="auto"/>
            <w:bottom w:val="none" w:sz="0" w:space="0" w:color="auto"/>
            <w:right w:val="none" w:sz="0" w:space="0" w:color="auto"/>
          </w:divBdr>
        </w:div>
        <w:div w:id="240995082">
          <w:marLeft w:val="0"/>
          <w:marRight w:val="0"/>
          <w:marTop w:val="0"/>
          <w:marBottom w:val="0"/>
          <w:divBdr>
            <w:top w:val="none" w:sz="0" w:space="0" w:color="auto"/>
            <w:left w:val="none" w:sz="0" w:space="0" w:color="auto"/>
            <w:bottom w:val="none" w:sz="0" w:space="0" w:color="auto"/>
            <w:right w:val="none" w:sz="0" w:space="0" w:color="auto"/>
          </w:divBdr>
        </w:div>
        <w:div w:id="1509561538">
          <w:marLeft w:val="0"/>
          <w:marRight w:val="0"/>
          <w:marTop w:val="0"/>
          <w:marBottom w:val="0"/>
          <w:divBdr>
            <w:top w:val="none" w:sz="0" w:space="0" w:color="auto"/>
            <w:left w:val="none" w:sz="0" w:space="0" w:color="auto"/>
            <w:bottom w:val="none" w:sz="0" w:space="0" w:color="auto"/>
            <w:right w:val="none" w:sz="0" w:space="0" w:color="auto"/>
          </w:divBdr>
        </w:div>
        <w:div w:id="1887717472">
          <w:marLeft w:val="0"/>
          <w:marRight w:val="0"/>
          <w:marTop w:val="0"/>
          <w:marBottom w:val="0"/>
          <w:divBdr>
            <w:top w:val="none" w:sz="0" w:space="0" w:color="auto"/>
            <w:left w:val="none" w:sz="0" w:space="0" w:color="auto"/>
            <w:bottom w:val="none" w:sz="0" w:space="0" w:color="auto"/>
            <w:right w:val="none" w:sz="0" w:space="0" w:color="auto"/>
          </w:divBdr>
        </w:div>
        <w:div w:id="552304252">
          <w:marLeft w:val="0"/>
          <w:marRight w:val="0"/>
          <w:marTop w:val="0"/>
          <w:marBottom w:val="0"/>
          <w:divBdr>
            <w:top w:val="none" w:sz="0" w:space="0" w:color="auto"/>
            <w:left w:val="none" w:sz="0" w:space="0" w:color="auto"/>
            <w:bottom w:val="none" w:sz="0" w:space="0" w:color="auto"/>
            <w:right w:val="none" w:sz="0" w:space="0" w:color="auto"/>
          </w:divBdr>
        </w:div>
        <w:div w:id="2010984246">
          <w:marLeft w:val="0"/>
          <w:marRight w:val="0"/>
          <w:marTop w:val="0"/>
          <w:marBottom w:val="0"/>
          <w:divBdr>
            <w:top w:val="none" w:sz="0" w:space="0" w:color="auto"/>
            <w:left w:val="none" w:sz="0" w:space="0" w:color="auto"/>
            <w:bottom w:val="none" w:sz="0" w:space="0" w:color="auto"/>
            <w:right w:val="none" w:sz="0" w:space="0" w:color="auto"/>
          </w:divBdr>
        </w:div>
        <w:div w:id="1049381676">
          <w:marLeft w:val="0"/>
          <w:marRight w:val="0"/>
          <w:marTop w:val="0"/>
          <w:marBottom w:val="0"/>
          <w:divBdr>
            <w:top w:val="none" w:sz="0" w:space="0" w:color="auto"/>
            <w:left w:val="none" w:sz="0" w:space="0" w:color="auto"/>
            <w:bottom w:val="none" w:sz="0" w:space="0" w:color="auto"/>
            <w:right w:val="none" w:sz="0" w:space="0" w:color="auto"/>
          </w:divBdr>
        </w:div>
        <w:div w:id="1897665103">
          <w:marLeft w:val="0"/>
          <w:marRight w:val="0"/>
          <w:marTop w:val="0"/>
          <w:marBottom w:val="0"/>
          <w:divBdr>
            <w:top w:val="none" w:sz="0" w:space="0" w:color="auto"/>
            <w:left w:val="none" w:sz="0" w:space="0" w:color="auto"/>
            <w:bottom w:val="none" w:sz="0" w:space="0" w:color="auto"/>
            <w:right w:val="none" w:sz="0" w:space="0" w:color="auto"/>
          </w:divBdr>
        </w:div>
        <w:div w:id="2012024000">
          <w:marLeft w:val="0"/>
          <w:marRight w:val="0"/>
          <w:marTop w:val="0"/>
          <w:marBottom w:val="0"/>
          <w:divBdr>
            <w:top w:val="none" w:sz="0" w:space="0" w:color="auto"/>
            <w:left w:val="none" w:sz="0" w:space="0" w:color="auto"/>
            <w:bottom w:val="none" w:sz="0" w:space="0" w:color="auto"/>
            <w:right w:val="none" w:sz="0" w:space="0" w:color="auto"/>
          </w:divBdr>
        </w:div>
        <w:div w:id="753434169">
          <w:marLeft w:val="0"/>
          <w:marRight w:val="0"/>
          <w:marTop w:val="0"/>
          <w:marBottom w:val="0"/>
          <w:divBdr>
            <w:top w:val="none" w:sz="0" w:space="0" w:color="auto"/>
            <w:left w:val="none" w:sz="0" w:space="0" w:color="auto"/>
            <w:bottom w:val="none" w:sz="0" w:space="0" w:color="auto"/>
            <w:right w:val="none" w:sz="0" w:space="0" w:color="auto"/>
          </w:divBdr>
        </w:div>
        <w:div w:id="2044668800">
          <w:marLeft w:val="0"/>
          <w:marRight w:val="0"/>
          <w:marTop w:val="0"/>
          <w:marBottom w:val="0"/>
          <w:divBdr>
            <w:top w:val="none" w:sz="0" w:space="0" w:color="auto"/>
            <w:left w:val="none" w:sz="0" w:space="0" w:color="auto"/>
            <w:bottom w:val="none" w:sz="0" w:space="0" w:color="auto"/>
            <w:right w:val="none" w:sz="0" w:space="0" w:color="auto"/>
          </w:divBdr>
        </w:div>
        <w:div w:id="1376194481">
          <w:marLeft w:val="0"/>
          <w:marRight w:val="0"/>
          <w:marTop w:val="0"/>
          <w:marBottom w:val="0"/>
          <w:divBdr>
            <w:top w:val="none" w:sz="0" w:space="0" w:color="auto"/>
            <w:left w:val="none" w:sz="0" w:space="0" w:color="auto"/>
            <w:bottom w:val="none" w:sz="0" w:space="0" w:color="auto"/>
            <w:right w:val="none" w:sz="0" w:space="0" w:color="auto"/>
          </w:divBdr>
        </w:div>
        <w:div w:id="2069109960">
          <w:marLeft w:val="0"/>
          <w:marRight w:val="0"/>
          <w:marTop w:val="0"/>
          <w:marBottom w:val="0"/>
          <w:divBdr>
            <w:top w:val="none" w:sz="0" w:space="0" w:color="auto"/>
            <w:left w:val="none" w:sz="0" w:space="0" w:color="auto"/>
            <w:bottom w:val="none" w:sz="0" w:space="0" w:color="auto"/>
            <w:right w:val="none" w:sz="0" w:space="0" w:color="auto"/>
          </w:divBdr>
        </w:div>
        <w:div w:id="669677388">
          <w:marLeft w:val="0"/>
          <w:marRight w:val="0"/>
          <w:marTop w:val="0"/>
          <w:marBottom w:val="0"/>
          <w:divBdr>
            <w:top w:val="none" w:sz="0" w:space="0" w:color="auto"/>
            <w:left w:val="none" w:sz="0" w:space="0" w:color="auto"/>
            <w:bottom w:val="none" w:sz="0" w:space="0" w:color="auto"/>
            <w:right w:val="none" w:sz="0" w:space="0" w:color="auto"/>
          </w:divBdr>
        </w:div>
        <w:div w:id="1417745942">
          <w:marLeft w:val="0"/>
          <w:marRight w:val="0"/>
          <w:marTop w:val="0"/>
          <w:marBottom w:val="0"/>
          <w:divBdr>
            <w:top w:val="none" w:sz="0" w:space="0" w:color="auto"/>
            <w:left w:val="none" w:sz="0" w:space="0" w:color="auto"/>
            <w:bottom w:val="none" w:sz="0" w:space="0" w:color="auto"/>
            <w:right w:val="none" w:sz="0" w:space="0" w:color="auto"/>
          </w:divBdr>
        </w:div>
        <w:div w:id="1235696968">
          <w:marLeft w:val="0"/>
          <w:marRight w:val="0"/>
          <w:marTop w:val="0"/>
          <w:marBottom w:val="0"/>
          <w:divBdr>
            <w:top w:val="none" w:sz="0" w:space="0" w:color="auto"/>
            <w:left w:val="none" w:sz="0" w:space="0" w:color="auto"/>
            <w:bottom w:val="none" w:sz="0" w:space="0" w:color="auto"/>
            <w:right w:val="none" w:sz="0" w:space="0" w:color="auto"/>
          </w:divBdr>
        </w:div>
        <w:div w:id="14383768">
          <w:marLeft w:val="0"/>
          <w:marRight w:val="0"/>
          <w:marTop w:val="0"/>
          <w:marBottom w:val="0"/>
          <w:divBdr>
            <w:top w:val="none" w:sz="0" w:space="0" w:color="auto"/>
            <w:left w:val="none" w:sz="0" w:space="0" w:color="auto"/>
            <w:bottom w:val="none" w:sz="0" w:space="0" w:color="auto"/>
            <w:right w:val="none" w:sz="0" w:space="0" w:color="auto"/>
          </w:divBdr>
        </w:div>
        <w:div w:id="1237740518">
          <w:marLeft w:val="0"/>
          <w:marRight w:val="0"/>
          <w:marTop w:val="0"/>
          <w:marBottom w:val="0"/>
          <w:divBdr>
            <w:top w:val="none" w:sz="0" w:space="0" w:color="auto"/>
            <w:left w:val="none" w:sz="0" w:space="0" w:color="auto"/>
            <w:bottom w:val="none" w:sz="0" w:space="0" w:color="auto"/>
            <w:right w:val="none" w:sz="0" w:space="0" w:color="auto"/>
          </w:divBdr>
        </w:div>
        <w:div w:id="75592562">
          <w:marLeft w:val="0"/>
          <w:marRight w:val="0"/>
          <w:marTop w:val="0"/>
          <w:marBottom w:val="0"/>
          <w:divBdr>
            <w:top w:val="none" w:sz="0" w:space="0" w:color="auto"/>
            <w:left w:val="none" w:sz="0" w:space="0" w:color="auto"/>
            <w:bottom w:val="none" w:sz="0" w:space="0" w:color="auto"/>
            <w:right w:val="none" w:sz="0" w:space="0" w:color="auto"/>
          </w:divBdr>
        </w:div>
        <w:div w:id="1955137419">
          <w:marLeft w:val="0"/>
          <w:marRight w:val="0"/>
          <w:marTop w:val="0"/>
          <w:marBottom w:val="0"/>
          <w:divBdr>
            <w:top w:val="none" w:sz="0" w:space="0" w:color="auto"/>
            <w:left w:val="none" w:sz="0" w:space="0" w:color="auto"/>
            <w:bottom w:val="none" w:sz="0" w:space="0" w:color="auto"/>
            <w:right w:val="none" w:sz="0" w:space="0" w:color="auto"/>
          </w:divBdr>
        </w:div>
        <w:div w:id="1619945885">
          <w:marLeft w:val="0"/>
          <w:marRight w:val="0"/>
          <w:marTop w:val="0"/>
          <w:marBottom w:val="0"/>
          <w:divBdr>
            <w:top w:val="none" w:sz="0" w:space="0" w:color="auto"/>
            <w:left w:val="none" w:sz="0" w:space="0" w:color="auto"/>
            <w:bottom w:val="none" w:sz="0" w:space="0" w:color="auto"/>
            <w:right w:val="none" w:sz="0" w:space="0" w:color="auto"/>
          </w:divBdr>
        </w:div>
        <w:div w:id="1438450277">
          <w:marLeft w:val="0"/>
          <w:marRight w:val="0"/>
          <w:marTop w:val="0"/>
          <w:marBottom w:val="0"/>
          <w:divBdr>
            <w:top w:val="none" w:sz="0" w:space="0" w:color="auto"/>
            <w:left w:val="none" w:sz="0" w:space="0" w:color="auto"/>
            <w:bottom w:val="none" w:sz="0" w:space="0" w:color="auto"/>
            <w:right w:val="none" w:sz="0" w:space="0" w:color="auto"/>
          </w:divBdr>
        </w:div>
        <w:div w:id="1738085144">
          <w:marLeft w:val="0"/>
          <w:marRight w:val="0"/>
          <w:marTop w:val="0"/>
          <w:marBottom w:val="0"/>
          <w:divBdr>
            <w:top w:val="none" w:sz="0" w:space="0" w:color="auto"/>
            <w:left w:val="none" w:sz="0" w:space="0" w:color="auto"/>
            <w:bottom w:val="none" w:sz="0" w:space="0" w:color="auto"/>
            <w:right w:val="none" w:sz="0" w:space="0" w:color="auto"/>
          </w:divBdr>
        </w:div>
        <w:div w:id="440146830">
          <w:marLeft w:val="0"/>
          <w:marRight w:val="0"/>
          <w:marTop w:val="0"/>
          <w:marBottom w:val="0"/>
          <w:divBdr>
            <w:top w:val="none" w:sz="0" w:space="0" w:color="auto"/>
            <w:left w:val="none" w:sz="0" w:space="0" w:color="auto"/>
            <w:bottom w:val="none" w:sz="0" w:space="0" w:color="auto"/>
            <w:right w:val="none" w:sz="0" w:space="0" w:color="auto"/>
          </w:divBdr>
        </w:div>
        <w:div w:id="798963308">
          <w:marLeft w:val="0"/>
          <w:marRight w:val="0"/>
          <w:marTop w:val="0"/>
          <w:marBottom w:val="0"/>
          <w:divBdr>
            <w:top w:val="none" w:sz="0" w:space="0" w:color="auto"/>
            <w:left w:val="none" w:sz="0" w:space="0" w:color="auto"/>
            <w:bottom w:val="none" w:sz="0" w:space="0" w:color="auto"/>
            <w:right w:val="none" w:sz="0" w:space="0" w:color="auto"/>
          </w:divBdr>
        </w:div>
        <w:div w:id="1900507732">
          <w:marLeft w:val="0"/>
          <w:marRight w:val="0"/>
          <w:marTop w:val="0"/>
          <w:marBottom w:val="0"/>
          <w:divBdr>
            <w:top w:val="none" w:sz="0" w:space="0" w:color="auto"/>
            <w:left w:val="none" w:sz="0" w:space="0" w:color="auto"/>
            <w:bottom w:val="none" w:sz="0" w:space="0" w:color="auto"/>
            <w:right w:val="none" w:sz="0" w:space="0" w:color="auto"/>
          </w:divBdr>
        </w:div>
        <w:div w:id="954870741">
          <w:marLeft w:val="0"/>
          <w:marRight w:val="0"/>
          <w:marTop w:val="0"/>
          <w:marBottom w:val="0"/>
          <w:divBdr>
            <w:top w:val="none" w:sz="0" w:space="0" w:color="auto"/>
            <w:left w:val="none" w:sz="0" w:space="0" w:color="auto"/>
            <w:bottom w:val="none" w:sz="0" w:space="0" w:color="auto"/>
            <w:right w:val="none" w:sz="0" w:space="0" w:color="auto"/>
          </w:divBdr>
        </w:div>
        <w:div w:id="737939495">
          <w:marLeft w:val="0"/>
          <w:marRight w:val="0"/>
          <w:marTop w:val="0"/>
          <w:marBottom w:val="0"/>
          <w:divBdr>
            <w:top w:val="none" w:sz="0" w:space="0" w:color="auto"/>
            <w:left w:val="none" w:sz="0" w:space="0" w:color="auto"/>
            <w:bottom w:val="none" w:sz="0" w:space="0" w:color="auto"/>
            <w:right w:val="none" w:sz="0" w:space="0" w:color="auto"/>
          </w:divBdr>
        </w:div>
        <w:div w:id="762803201">
          <w:marLeft w:val="0"/>
          <w:marRight w:val="0"/>
          <w:marTop w:val="0"/>
          <w:marBottom w:val="0"/>
          <w:divBdr>
            <w:top w:val="none" w:sz="0" w:space="0" w:color="auto"/>
            <w:left w:val="none" w:sz="0" w:space="0" w:color="auto"/>
            <w:bottom w:val="none" w:sz="0" w:space="0" w:color="auto"/>
            <w:right w:val="none" w:sz="0" w:space="0" w:color="auto"/>
          </w:divBdr>
        </w:div>
        <w:div w:id="1948271574">
          <w:marLeft w:val="0"/>
          <w:marRight w:val="0"/>
          <w:marTop w:val="0"/>
          <w:marBottom w:val="0"/>
          <w:divBdr>
            <w:top w:val="none" w:sz="0" w:space="0" w:color="auto"/>
            <w:left w:val="none" w:sz="0" w:space="0" w:color="auto"/>
            <w:bottom w:val="none" w:sz="0" w:space="0" w:color="auto"/>
            <w:right w:val="none" w:sz="0" w:space="0" w:color="auto"/>
          </w:divBdr>
        </w:div>
        <w:div w:id="268129403">
          <w:marLeft w:val="0"/>
          <w:marRight w:val="0"/>
          <w:marTop w:val="0"/>
          <w:marBottom w:val="0"/>
          <w:divBdr>
            <w:top w:val="none" w:sz="0" w:space="0" w:color="auto"/>
            <w:left w:val="none" w:sz="0" w:space="0" w:color="auto"/>
            <w:bottom w:val="none" w:sz="0" w:space="0" w:color="auto"/>
            <w:right w:val="none" w:sz="0" w:space="0" w:color="auto"/>
          </w:divBdr>
        </w:div>
        <w:div w:id="649863668">
          <w:marLeft w:val="0"/>
          <w:marRight w:val="0"/>
          <w:marTop w:val="0"/>
          <w:marBottom w:val="0"/>
          <w:divBdr>
            <w:top w:val="none" w:sz="0" w:space="0" w:color="auto"/>
            <w:left w:val="none" w:sz="0" w:space="0" w:color="auto"/>
            <w:bottom w:val="none" w:sz="0" w:space="0" w:color="auto"/>
            <w:right w:val="none" w:sz="0" w:space="0" w:color="auto"/>
          </w:divBdr>
        </w:div>
        <w:div w:id="313140781">
          <w:marLeft w:val="0"/>
          <w:marRight w:val="0"/>
          <w:marTop w:val="0"/>
          <w:marBottom w:val="0"/>
          <w:divBdr>
            <w:top w:val="none" w:sz="0" w:space="0" w:color="auto"/>
            <w:left w:val="none" w:sz="0" w:space="0" w:color="auto"/>
            <w:bottom w:val="none" w:sz="0" w:space="0" w:color="auto"/>
            <w:right w:val="none" w:sz="0" w:space="0" w:color="auto"/>
          </w:divBdr>
        </w:div>
        <w:div w:id="447941014">
          <w:marLeft w:val="0"/>
          <w:marRight w:val="0"/>
          <w:marTop w:val="0"/>
          <w:marBottom w:val="0"/>
          <w:divBdr>
            <w:top w:val="none" w:sz="0" w:space="0" w:color="auto"/>
            <w:left w:val="none" w:sz="0" w:space="0" w:color="auto"/>
            <w:bottom w:val="none" w:sz="0" w:space="0" w:color="auto"/>
            <w:right w:val="none" w:sz="0" w:space="0" w:color="auto"/>
          </w:divBdr>
        </w:div>
        <w:div w:id="1008144467">
          <w:marLeft w:val="0"/>
          <w:marRight w:val="0"/>
          <w:marTop w:val="0"/>
          <w:marBottom w:val="0"/>
          <w:divBdr>
            <w:top w:val="none" w:sz="0" w:space="0" w:color="auto"/>
            <w:left w:val="none" w:sz="0" w:space="0" w:color="auto"/>
            <w:bottom w:val="none" w:sz="0" w:space="0" w:color="auto"/>
            <w:right w:val="none" w:sz="0" w:space="0" w:color="auto"/>
          </w:divBdr>
        </w:div>
        <w:div w:id="1531070031">
          <w:marLeft w:val="0"/>
          <w:marRight w:val="0"/>
          <w:marTop w:val="0"/>
          <w:marBottom w:val="0"/>
          <w:divBdr>
            <w:top w:val="none" w:sz="0" w:space="0" w:color="auto"/>
            <w:left w:val="none" w:sz="0" w:space="0" w:color="auto"/>
            <w:bottom w:val="none" w:sz="0" w:space="0" w:color="auto"/>
            <w:right w:val="none" w:sz="0" w:space="0" w:color="auto"/>
          </w:divBdr>
        </w:div>
        <w:div w:id="525872709">
          <w:marLeft w:val="0"/>
          <w:marRight w:val="0"/>
          <w:marTop w:val="0"/>
          <w:marBottom w:val="0"/>
          <w:divBdr>
            <w:top w:val="none" w:sz="0" w:space="0" w:color="auto"/>
            <w:left w:val="none" w:sz="0" w:space="0" w:color="auto"/>
            <w:bottom w:val="none" w:sz="0" w:space="0" w:color="auto"/>
            <w:right w:val="none" w:sz="0" w:space="0" w:color="auto"/>
          </w:divBdr>
        </w:div>
        <w:div w:id="405538893">
          <w:marLeft w:val="0"/>
          <w:marRight w:val="0"/>
          <w:marTop w:val="0"/>
          <w:marBottom w:val="0"/>
          <w:divBdr>
            <w:top w:val="none" w:sz="0" w:space="0" w:color="auto"/>
            <w:left w:val="none" w:sz="0" w:space="0" w:color="auto"/>
            <w:bottom w:val="none" w:sz="0" w:space="0" w:color="auto"/>
            <w:right w:val="none" w:sz="0" w:space="0" w:color="auto"/>
          </w:divBdr>
        </w:div>
        <w:div w:id="15163232">
          <w:marLeft w:val="0"/>
          <w:marRight w:val="0"/>
          <w:marTop w:val="0"/>
          <w:marBottom w:val="0"/>
          <w:divBdr>
            <w:top w:val="none" w:sz="0" w:space="0" w:color="auto"/>
            <w:left w:val="none" w:sz="0" w:space="0" w:color="auto"/>
            <w:bottom w:val="none" w:sz="0" w:space="0" w:color="auto"/>
            <w:right w:val="none" w:sz="0" w:space="0" w:color="auto"/>
          </w:divBdr>
        </w:div>
        <w:div w:id="191461610">
          <w:marLeft w:val="0"/>
          <w:marRight w:val="0"/>
          <w:marTop w:val="0"/>
          <w:marBottom w:val="0"/>
          <w:divBdr>
            <w:top w:val="none" w:sz="0" w:space="0" w:color="auto"/>
            <w:left w:val="none" w:sz="0" w:space="0" w:color="auto"/>
            <w:bottom w:val="none" w:sz="0" w:space="0" w:color="auto"/>
            <w:right w:val="none" w:sz="0" w:space="0" w:color="auto"/>
          </w:divBdr>
        </w:div>
        <w:div w:id="1720402485">
          <w:marLeft w:val="0"/>
          <w:marRight w:val="0"/>
          <w:marTop w:val="0"/>
          <w:marBottom w:val="0"/>
          <w:divBdr>
            <w:top w:val="none" w:sz="0" w:space="0" w:color="auto"/>
            <w:left w:val="none" w:sz="0" w:space="0" w:color="auto"/>
            <w:bottom w:val="none" w:sz="0" w:space="0" w:color="auto"/>
            <w:right w:val="none" w:sz="0" w:space="0" w:color="auto"/>
          </w:divBdr>
        </w:div>
        <w:div w:id="65499786">
          <w:marLeft w:val="0"/>
          <w:marRight w:val="0"/>
          <w:marTop w:val="0"/>
          <w:marBottom w:val="0"/>
          <w:divBdr>
            <w:top w:val="none" w:sz="0" w:space="0" w:color="auto"/>
            <w:left w:val="none" w:sz="0" w:space="0" w:color="auto"/>
            <w:bottom w:val="none" w:sz="0" w:space="0" w:color="auto"/>
            <w:right w:val="none" w:sz="0" w:space="0" w:color="auto"/>
          </w:divBdr>
        </w:div>
        <w:div w:id="967857867">
          <w:marLeft w:val="0"/>
          <w:marRight w:val="0"/>
          <w:marTop w:val="0"/>
          <w:marBottom w:val="0"/>
          <w:divBdr>
            <w:top w:val="none" w:sz="0" w:space="0" w:color="auto"/>
            <w:left w:val="none" w:sz="0" w:space="0" w:color="auto"/>
            <w:bottom w:val="none" w:sz="0" w:space="0" w:color="auto"/>
            <w:right w:val="none" w:sz="0" w:space="0" w:color="auto"/>
          </w:divBdr>
        </w:div>
        <w:div w:id="1450051121">
          <w:marLeft w:val="0"/>
          <w:marRight w:val="0"/>
          <w:marTop w:val="0"/>
          <w:marBottom w:val="0"/>
          <w:divBdr>
            <w:top w:val="none" w:sz="0" w:space="0" w:color="auto"/>
            <w:left w:val="none" w:sz="0" w:space="0" w:color="auto"/>
            <w:bottom w:val="none" w:sz="0" w:space="0" w:color="auto"/>
            <w:right w:val="none" w:sz="0" w:space="0" w:color="auto"/>
          </w:divBdr>
        </w:div>
        <w:div w:id="153689547">
          <w:marLeft w:val="0"/>
          <w:marRight w:val="0"/>
          <w:marTop w:val="0"/>
          <w:marBottom w:val="0"/>
          <w:divBdr>
            <w:top w:val="none" w:sz="0" w:space="0" w:color="auto"/>
            <w:left w:val="none" w:sz="0" w:space="0" w:color="auto"/>
            <w:bottom w:val="none" w:sz="0" w:space="0" w:color="auto"/>
            <w:right w:val="none" w:sz="0" w:space="0" w:color="auto"/>
          </w:divBdr>
        </w:div>
        <w:div w:id="2111002386">
          <w:marLeft w:val="0"/>
          <w:marRight w:val="0"/>
          <w:marTop w:val="0"/>
          <w:marBottom w:val="0"/>
          <w:divBdr>
            <w:top w:val="none" w:sz="0" w:space="0" w:color="auto"/>
            <w:left w:val="none" w:sz="0" w:space="0" w:color="auto"/>
            <w:bottom w:val="none" w:sz="0" w:space="0" w:color="auto"/>
            <w:right w:val="none" w:sz="0" w:space="0" w:color="auto"/>
          </w:divBdr>
        </w:div>
        <w:div w:id="1874536376">
          <w:marLeft w:val="0"/>
          <w:marRight w:val="0"/>
          <w:marTop w:val="0"/>
          <w:marBottom w:val="0"/>
          <w:divBdr>
            <w:top w:val="none" w:sz="0" w:space="0" w:color="auto"/>
            <w:left w:val="none" w:sz="0" w:space="0" w:color="auto"/>
            <w:bottom w:val="none" w:sz="0" w:space="0" w:color="auto"/>
            <w:right w:val="none" w:sz="0" w:space="0" w:color="auto"/>
          </w:divBdr>
        </w:div>
        <w:div w:id="1115447383">
          <w:marLeft w:val="0"/>
          <w:marRight w:val="0"/>
          <w:marTop w:val="0"/>
          <w:marBottom w:val="0"/>
          <w:divBdr>
            <w:top w:val="none" w:sz="0" w:space="0" w:color="auto"/>
            <w:left w:val="none" w:sz="0" w:space="0" w:color="auto"/>
            <w:bottom w:val="none" w:sz="0" w:space="0" w:color="auto"/>
            <w:right w:val="none" w:sz="0" w:space="0" w:color="auto"/>
          </w:divBdr>
        </w:div>
        <w:div w:id="211697571">
          <w:marLeft w:val="0"/>
          <w:marRight w:val="0"/>
          <w:marTop w:val="0"/>
          <w:marBottom w:val="0"/>
          <w:divBdr>
            <w:top w:val="none" w:sz="0" w:space="0" w:color="auto"/>
            <w:left w:val="none" w:sz="0" w:space="0" w:color="auto"/>
            <w:bottom w:val="none" w:sz="0" w:space="0" w:color="auto"/>
            <w:right w:val="none" w:sz="0" w:space="0" w:color="auto"/>
          </w:divBdr>
        </w:div>
        <w:div w:id="1517227710">
          <w:marLeft w:val="0"/>
          <w:marRight w:val="0"/>
          <w:marTop w:val="0"/>
          <w:marBottom w:val="0"/>
          <w:divBdr>
            <w:top w:val="none" w:sz="0" w:space="0" w:color="auto"/>
            <w:left w:val="none" w:sz="0" w:space="0" w:color="auto"/>
            <w:bottom w:val="none" w:sz="0" w:space="0" w:color="auto"/>
            <w:right w:val="none" w:sz="0" w:space="0" w:color="auto"/>
          </w:divBdr>
        </w:div>
        <w:div w:id="715815929">
          <w:marLeft w:val="0"/>
          <w:marRight w:val="0"/>
          <w:marTop w:val="0"/>
          <w:marBottom w:val="0"/>
          <w:divBdr>
            <w:top w:val="none" w:sz="0" w:space="0" w:color="auto"/>
            <w:left w:val="none" w:sz="0" w:space="0" w:color="auto"/>
            <w:bottom w:val="none" w:sz="0" w:space="0" w:color="auto"/>
            <w:right w:val="none" w:sz="0" w:space="0" w:color="auto"/>
          </w:divBdr>
        </w:div>
        <w:div w:id="808664738">
          <w:marLeft w:val="0"/>
          <w:marRight w:val="0"/>
          <w:marTop w:val="0"/>
          <w:marBottom w:val="0"/>
          <w:divBdr>
            <w:top w:val="none" w:sz="0" w:space="0" w:color="auto"/>
            <w:left w:val="none" w:sz="0" w:space="0" w:color="auto"/>
            <w:bottom w:val="none" w:sz="0" w:space="0" w:color="auto"/>
            <w:right w:val="none" w:sz="0" w:space="0" w:color="auto"/>
          </w:divBdr>
        </w:div>
        <w:div w:id="2054498078">
          <w:marLeft w:val="0"/>
          <w:marRight w:val="0"/>
          <w:marTop w:val="0"/>
          <w:marBottom w:val="0"/>
          <w:divBdr>
            <w:top w:val="none" w:sz="0" w:space="0" w:color="auto"/>
            <w:left w:val="none" w:sz="0" w:space="0" w:color="auto"/>
            <w:bottom w:val="none" w:sz="0" w:space="0" w:color="auto"/>
            <w:right w:val="none" w:sz="0" w:space="0" w:color="auto"/>
          </w:divBdr>
        </w:div>
        <w:div w:id="1176193508">
          <w:marLeft w:val="0"/>
          <w:marRight w:val="0"/>
          <w:marTop w:val="0"/>
          <w:marBottom w:val="0"/>
          <w:divBdr>
            <w:top w:val="none" w:sz="0" w:space="0" w:color="auto"/>
            <w:left w:val="none" w:sz="0" w:space="0" w:color="auto"/>
            <w:bottom w:val="none" w:sz="0" w:space="0" w:color="auto"/>
            <w:right w:val="none" w:sz="0" w:space="0" w:color="auto"/>
          </w:divBdr>
        </w:div>
        <w:div w:id="1309238900">
          <w:marLeft w:val="0"/>
          <w:marRight w:val="0"/>
          <w:marTop w:val="0"/>
          <w:marBottom w:val="0"/>
          <w:divBdr>
            <w:top w:val="none" w:sz="0" w:space="0" w:color="auto"/>
            <w:left w:val="none" w:sz="0" w:space="0" w:color="auto"/>
            <w:bottom w:val="none" w:sz="0" w:space="0" w:color="auto"/>
            <w:right w:val="none" w:sz="0" w:space="0" w:color="auto"/>
          </w:divBdr>
        </w:div>
        <w:div w:id="344093989">
          <w:marLeft w:val="0"/>
          <w:marRight w:val="0"/>
          <w:marTop w:val="0"/>
          <w:marBottom w:val="0"/>
          <w:divBdr>
            <w:top w:val="none" w:sz="0" w:space="0" w:color="auto"/>
            <w:left w:val="none" w:sz="0" w:space="0" w:color="auto"/>
            <w:bottom w:val="none" w:sz="0" w:space="0" w:color="auto"/>
            <w:right w:val="none" w:sz="0" w:space="0" w:color="auto"/>
          </w:divBdr>
        </w:div>
        <w:div w:id="762456341">
          <w:marLeft w:val="0"/>
          <w:marRight w:val="0"/>
          <w:marTop w:val="0"/>
          <w:marBottom w:val="0"/>
          <w:divBdr>
            <w:top w:val="none" w:sz="0" w:space="0" w:color="auto"/>
            <w:left w:val="none" w:sz="0" w:space="0" w:color="auto"/>
            <w:bottom w:val="none" w:sz="0" w:space="0" w:color="auto"/>
            <w:right w:val="none" w:sz="0" w:space="0" w:color="auto"/>
          </w:divBdr>
        </w:div>
        <w:div w:id="486626767">
          <w:marLeft w:val="0"/>
          <w:marRight w:val="0"/>
          <w:marTop w:val="0"/>
          <w:marBottom w:val="0"/>
          <w:divBdr>
            <w:top w:val="none" w:sz="0" w:space="0" w:color="auto"/>
            <w:left w:val="none" w:sz="0" w:space="0" w:color="auto"/>
            <w:bottom w:val="none" w:sz="0" w:space="0" w:color="auto"/>
            <w:right w:val="none" w:sz="0" w:space="0" w:color="auto"/>
          </w:divBdr>
        </w:div>
        <w:div w:id="446200424">
          <w:marLeft w:val="0"/>
          <w:marRight w:val="0"/>
          <w:marTop w:val="0"/>
          <w:marBottom w:val="0"/>
          <w:divBdr>
            <w:top w:val="none" w:sz="0" w:space="0" w:color="auto"/>
            <w:left w:val="none" w:sz="0" w:space="0" w:color="auto"/>
            <w:bottom w:val="none" w:sz="0" w:space="0" w:color="auto"/>
            <w:right w:val="none" w:sz="0" w:space="0" w:color="auto"/>
          </w:divBdr>
        </w:div>
        <w:div w:id="378555728">
          <w:marLeft w:val="0"/>
          <w:marRight w:val="0"/>
          <w:marTop w:val="0"/>
          <w:marBottom w:val="0"/>
          <w:divBdr>
            <w:top w:val="none" w:sz="0" w:space="0" w:color="auto"/>
            <w:left w:val="none" w:sz="0" w:space="0" w:color="auto"/>
            <w:bottom w:val="none" w:sz="0" w:space="0" w:color="auto"/>
            <w:right w:val="none" w:sz="0" w:space="0" w:color="auto"/>
          </w:divBdr>
        </w:div>
        <w:div w:id="157160633">
          <w:marLeft w:val="0"/>
          <w:marRight w:val="0"/>
          <w:marTop w:val="0"/>
          <w:marBottom w:val="0"/>
          <w:divBdr>
            <w:top w:val="none" w:sz="0" w:space="0" w:color="auto"/>
            <w:left w:val="none" w:sz="0" w:space="0" w:color="auto"/>
            <w:bottom w:val="none" w:sz="0" w:space="0" w:color="auto"/>
            <w:right w:val="none" w:sz="0" w:space="0" w:color="auto"/>
          </w:divBdr>
        </w:div>
        <w:div w:id="2080323731">
          <w:marLeft w:val="0"/>
          <w:marRight w:val="0"/>
          <w:marTop w:val="0"/>
          <w:marBottom w:val="0"/>
          <w:divBdr>
            <w:top w:val="none" w:sz="0" w:space="0" w:color="auto"/>
            <w:left w:val="none" w:sz="0" w:space="0" w:color="auto"/>
            <w:bottom w:val="none" w:sz="0" w:space="0" w:color="auto"/>
            <w:right w:val="none" w:sz="0" w:space="0" w:color="auto"/>
          </w:divBdr>
        </w:div>
        <w:div w:id="1925411678">
          <w:marLeft w:val="0"/>
          <w:marRight w:val="0"/>
          <w:marTop w:val="0"/>
          <w:marBottom w:val="0"/>
          <w:divBdr>
            <w:top w:val="none" w:sz="0" w:space="0" w:color="auto"/>
            <w:left w:val="none" w:sz="0" w:space="0" w:color="auto"/>
            <w:bottom w:val="none" w:sz="0" w:space="0" w:color="auto"/>
            <w:right w:val="none" w:sz="0" w:space="0" w:color="auto"/>
          </w:divBdr>
        </w:div>
        <w:div w:id="153375372">
          <w:marLeft w:val="0"/>
          <w:marRight w:val="0"/>
          <w:marTop w:val="0"/>
          <w:marBottom w:val="0"/>
          <w:divBdr>
            <w:top w:val="none" w:sz="0" w:space="0" w:color="auto"/>
            <w:left w:val="none" w:sz="0" w:space="0" w:color="auto"/>
            <w:bottom w:val="none" w:sz="0" w:space="0" w:color="auto"/>
            <w:right w:val="none" w:sz="0" w:space="0" w:color="auto"/>
          </w:divBdr>
        </w:div>
        <w:div w:id="1523975927">
          <w:marLeft w:val="0"/>
          <w:marRight w:val="0"/>
          <w:marTop w:val="0"/>
          <w:marBottom w:val="0"/>
          <w:divBdr>
            <w:top w:val="none" w:sz="0" w:space="0" w:color="auto"/>
            <w:left w:val="none" w:sz="0" w:space="0" w:color="auto"/>
            <w:bottom w:val="none" w:sz="0" w:space="0" w:color="auto"/>
            <w:right w:val="none" w:sz="0" w:space="0" w:color="auto"/>
          </w:divBdr>
        </w:div>
        <w:div w:id="965355546">
          <w:marLeft w:val="0"/>
          <w:marRight w:val="0"/>
          <w:marTop w:val="0"/>
          <w:marBottom w:val="0"/>
          <w:divBdr>
            <w:top w:val="none" w:sz="0" w:space="0" w:color="auto"/>
            <w:left w:val="none" w:sz="0" w:space="0" w:color="auto"/>
            <w:bottom w:val="none" w:sz="0" w:space="0" w:color="auto"/>
            <w:right w:val="none" w:sz="0" w:space="0" w:color="auto"/>
          </w:divBdr>
        </w:div>
        <w:div w:id="1874807215">
          <w:marLeft w:val="0"/>
          <w:marRight w:val="0"/>
          <w:marTop w:val="0"/>
          <w:marBottom w:val="0"/>
          <w:divBdr>
            <w:top w:val="none" w:sz="0" w:space="0" w:color="auto"/>
            <w:left w:val="none" w:sz="0" w:space="0" w:color="auto"/>
            <w:bottom w:val="none" w:sz="0" w:space="0" w:color="auto"/>
            <w:right w:val="none" w:sz="0" w:space="0" w:color="auto"/>
          </w:divBdr>
        </w:div>
        <w:div w:id="1460951509">
          <w:marLeft w:val="0"/>
          <w:marRight w:val="0"/>
          <w:marTop w:val="0"/>
          <w:marBottom w:val="0"/>
          <w:divBdr>
            <w:top w:val="none" w:sz="0" w:space="0" w:color="auto"/>
            <w:left w:val="none" w:sz="0" w:space="0" w:color="auto"/>
            <w:bottom w:val="none" w:sz="0" w:space="0" w:color="auto"/>
            <w:right w:val="none" w:sz="0" w:space="0" w:color="auto"/>
          </w:divBdr>
        </w:div>
        <w:div w:id="1578247195">
          <w:marLeft w:val="0"/>
          <w:marRight w:val="0"/>
          <w:marTop w:val="0"/>
          <w:marBottom w:val="0"/>
          <w:divBdr>
            <w:top w:val="none" w:sz="0" w:space="0" w:color="auto"/>
            <w:left w:val="none" w:sz="0" w:space="0" w:color="auto"/>
            <w:bottom w:val="none" w:sz="0" w:space="0" w:color="auto"/>
            <w:right w:val="none" w:sz="0" w:space="0" w:color="auto"/>
          </w:divBdr>
        </w:div>
        <w:div w:id="1088691475">
          <w:marLeft w:val="0"/>
          <w:marRight w:val="0"/>
          <w:marTop w:val="0"/>
          <w:marBottom w:val="0"/>
          <w:divBdr>
            <w:top w:val="none" w:sz="0" w:space="0" w:color="auto"/>
            <w:left w:val="none" w:sz="0" w:space="0" w:color="auto"/>
            <w:bottom w:val="none" w:sz="0" w:space="0" w:color="auto"/>
            <w:right w:val="none" w:sz="0" w:space="0" w:color="auto"/>
          </w:divBdr>
        </w:div>
        <w:div w:id="2020697212">
          <w:marLeft w:val="0"/>
          <w:marRight w:val="0"/>
          <w:marTop w:val="0"/>
          <w:marBottom w:val="0"/>
          <w:divBdr>
            <w:top w:val="none" w:sz="0" w:space="0" w:color="auto"/>
            <w:left w:val="none" w:sz="0" w:space="0" w:color="auto"/>
            <w:bottom w:val="none" w:sz="0" w:space="0" w:color="auto"/>
            <w:right w:val="none" w:sz="0" w:space="0" w:color="auto"/>
          </w:divBdr>
        </w:div>
        <w:div w:id="165826048">
          <w:marLeft w:val="0"/>
          <w:marRight w:val="0"/>
          <w:marTop w:val="0"/>
          <w:marBottom w:val="0"/>
          <w:divBdr>
            <w:top w:val="none" w:sz="0" w:space="0" w:color="auto"/>
            <w:left w:val="none" w:sz="0" w:space="0" w:color="auto"/>
            <w:bottom w:val="none" w:sz="0" w:space="0" w:color="auto"/>
            <w:right w:val="none" w:sz="0" w:space="0" w:color="auto"/>
          </w:divBdr>
        </w:div>
        <w:div w:id="39288613">
          <w:marLeft w:val="0"/>
          <w:marRight w:val="0"/>
          <w:marTop w:val="0"/>
          <w:marBottom w:val="0"/>
          <w:divBdr>
            <w:top w:val="none" w:sz="0" w:space="0" w:color="auto"/>
            <w:left w:val="none" w:sz="0" w:space="0" w:color="auto"/>
            <w:bottom w:val="none" w:sz="0" w:space="0" w:color="auto"/>
            <w:right w:val="none" w:sz="0" w:space="0" w:color="auto"/>
          </w:divBdr>
        </w:div>
        <w:div w:id="1487742056">
          <w:marLeft w:val="0"/>
          <w:marRight w:val="0"/>
          <w:marTop w:val="0"/>
          <w:marBottom w:val="0"/>
          <w:divBdr>
            <w:top w:val="none" w:sz="0" w:space="0" w:color="auto"/>
            <w:left w:val="none" w:sz="0" w:space="0" w:color="auto"/>
            <w:bottom w:val="none" w:sz="0" w:space="0" w:color="auto"/>
            <w:right w:val="none" w:sz="0" w:space="0" w:color="auto"/>
          </w:divBdr>
        </w:div>
        <w:div w:id="747076231">
          <w:marLeft w:val="0"/>
          <w:marRight w:val="0"/>
          <w:marTop w:val="0"/>
          <w:marBottom w:val="0"/>
          <w:divBdr>
            <w:top w:val="none" w:sz="0" w:space="0" w:color="auto"/>
            <w:left w:val="none" w:sz="0" w:space="0" w:color="auto"/>
            <w:bottom w:val="none" w:sz="0" w:space="0" w:color="auto"/>
            <w:right w:val="none" w:sz="0" w:space="0" w:color="auto"/>
          </w:divBdr>
        </w:div>
        <w:div w:id="712271040">
          <w:marLeft w:val="0"/>
          <w:marRight w:val="0"/>
          <w:marTop w:val="0"/>
          <w:marBottom w:val="0"/>
          <w:divBdr>
            <w:top w:val="none" w:sz="0" w:space="0" w:color="auto"/>
            <w:left w:val="none" w:sz="0" w:space="0" w:color="auto"/>
            <w:bottom w:val="none" w:sz="0" w:space="0" w:color="auto"/>
            <w:right w:val="none" w:sz="0" w:space="0" w:color="auto"/>
          </w:divBdr>
        </w:div>
        <w:div w:id="1076897187">
          <w:marLeft w:val="0"/>
          <w:marRight w:val="0"/>
          <w:marTop w:val="0"/>
          <w:marBottom w:val="0"/>
          <w:divBdr>
            <w:top w:val="none" w:sz="0" w:space="0" w:color="auto"/>
            <w:left w:val="none" w:sz="0" w:space="0" w:color="auto"/>
            <w:bottom w:val="none" w:sz="0" w:space="0" w:color="auto"/>
            <w:right w:val="none" w:sz="0" w:space="0" w:color="auto"/>
          </w:divBdr>
        </w:div>
        <w:div w:id="1925070649">
          <w:marLeft w:val="0"/>
          <w:marRight w:val="0"/>
          <w:marTop w:val="0"/>
          <w:marBottom w:val="0"/>
          <w:divBdr>
            <w:top w:val="none" w:sz="0" w:space="0" w:color="auto"/>
            <w:left w:val="none" w:sz="0" w:space="0" w:color="auto"/>
            <w:bottom w:val="none" w:sz="0" w:space="0" w:color="auto"/>
            <w:right w:val="none" w:sz="0" w:space="0" w:color="auto"/>
          </w:divBdr>
        </w:div>
        <w:div w:id="448672344">
          <w:marLeft w:val="0"/>
          <w:marRight w:val="0"/>
          <w:marTop w:val="0"/>
          <w:marBottom w:val="0"/>
          <w:divBdr>
            <w:top w:val="none" w:sz="0" w:space="0" w:color="auto"/>
            <w:left w:val="none" w:sz="0" w:space="0" w:color="auto"/>
            <w:bottom w:val="none" w:sz="0" w:space="0" w:color="auto"/>
            <w:right w:val="none" w:sz="0" w:space="0" w:color="auto"/>
          </w:divBdr>
        </w:div>
        <w:div w:id="2052456940">
          <w:marLeft w:val="0"/>
          <w:marRight w:val="0"/>
          <w:marTop w:val="0"/>
          <w:marBottom w:val="0"/>
          <w:divBdr>
            <w:top w:val="none" w:sz="0" w:space="0" w:color="auto"/>
            <w:left w:val="none" w:sz="0" w:space="0" w:color="auto"/>
            <w:bottom w:val="none" w:sz="0" w:space="0" w:color="auto"/>
            <w:right w:val="none" w:sz="0" w:space="0" w:color="auto"/>
          </w:divBdr>
        </w:div>
        <w:div w:id="828133968">
          <w:marLeft w:val="0"/>
          <w:marRight w:val="0"/>
          <w:marTop w:val="0"/>
          <w:marBottom w:val="0"/>
          <w:divBdr>
            <w:top w:val="none" w:sz="0" w:space="0" w:color="auto"/>
            <w:left w:val="none" w:sz="0" w:space="0" w:color="auto"/>
            <w:bottom w:val="none" w:sz="0" w:space="0" w:color="auto"/>
            <w:right w:val="none" w:sz="0" w:space="0" w:color="auto"/>
          </w:divBdr>
        </w:div>
        <w:div w:id="1994601767">
          <w:marLeft w:val="0"/>
          <w:marRight w:val="0"/>
          <w:marTop w:val="0"/>
          <w:marBottom w:val="0"/>
          <w:divBdr>
            <w:top w:val="none" w:sz="0" w:space="0" w:color="auto"/>
            <w:left w:val="none" w:sz="0" w:space="0" w:color="auto"/>
            <w:bottom w:val="none" w:sz="0" w:space="0" w:color="auto"/>
            <w:right w:val="none" w:sz="0" w:space="0" w:color="auto"/>
          </w:divBdr>
        </w:div>
        <w:div w:id="967202659">
          <w:marLeft w:val="0"/>
          <w:marRight w:val="0"/>
          <w:marTop w:val="0"/>
          <w:marBottom w:val="0"/>
          <w:divBdr>
            <w:top w:val="none" w:sz="0" w:space="0" w:color="auto"/>
            <w:left w:val="none" w:sz="0" w:space="0" w:color="auto"/>
            <w:bottom w:val="none" w:sz="0" w:space="0" w:color="auto"/>
            <w:right w:val="none" w:sz="0" w:space="0" w:color="auto"/>
          </w:divBdr>
        </w:div>
        <w:div w:id="345324321">
          <w:marLeft w:val="0"/>
          <w:marRight w:val="0"/>
          <w:marTop w:val="0"/>
          <w:marBottom w:val="0"/>
          <w:divBdr>
            <w:top w:val="none" w:sz="0" w:space="0" w:color="auto"/>
            <w:left w:val="none" w:sz="0" w:space="0" w:color="auto"/>
            <w:bottom w:val="none" w:sz="0" w:space="0" w:color="auto"/>
            <w:right w:val="none" w:sz="0" w:space="0" w:color="auto"/>
          </w:divBdr>
        </w:div>
        <w:div w:id="189340153">
          <w:marLeft w:val="0"/>
          <w:marRight w:val="0"/>
          <w:marTop w:val="0"/>
          <w:marBottom w:val="0"/>
          <w:divBdr>
            <w:top w:val="none" w:sz="0" w:space="0" w:color="auto"/>
            <w:left w:val="none" w:sz="0" w:space="0" w:color="auto"/>
            <w:bottom w:val="none" w:sz="0" w:space="0" w:color="auto"/>
            <w:right w:val="none" w:sz="0" w:space="0" w:color="auto"/>
          </w:divBdr>
        </w:div>
        <w:div w:id="1744184900">
          <w:marLeft w:val="0"/>
          <w:marRight w:val="0"/>
          <w:marTop w:val="0"/>
          <w:marBottom w:val="0"/>
          <w:divBdr>
            <w:top w:val="none" w:sz="0" w:space="0" w:color="auto"/>
            <w:left w:val="none" w:sz="0" w:space="0" w:color="auto"/>
            <w:bottom w:val="none" w:sz="0" w:space="0" w:color="auto"/>
            <w:right w:val="none" w:sz="0" w:space="0" w:color="auto"/>
          </w:divBdr>
        </w:div>
        <w:div w:id="116685641">
          <w:marLeft w:val="0"/>
          <w:marRight w:val="0"/>
          <w:marTop w:val="0"/>
          <w:marBottom w:val="0"/>
          <w:divBdr>
            <w:top w:val="none" w:sz="0" w:space="0" w:color="auto"/>
            <w:left w:val="none" w:sz="0" w:space="0" w:color="auto"/>
            <w:bottom w:val="none" w:sz="0" w:space="0" w:color="auto"/>
            <w:right w:val="none" w:sz="0" w:space="0" w:color="auto"/>
          </w:divBdr>
        </w:div>
        <w:div w:id="1508322162">
          <w:marLeft w:val="0"/>
          <w:marRight w:val="0"/>
          <w:marTop w:val="0"/>
          <w:marBottom w:val="0"/>
          <w:divBdr>
            <w:top w:val="none" w:sz="0" w:space="0" w:color="auto"/>
            <w:left w:val="none" w:sz="0" w:space="0" w:color="auto"/>
            <w:bottom w:val="none" w:sz="0" w:space="0" w:color="auto"/>
            <w:right w:val="none" w:sz="0" w:space="0" w:color="auto"/>
          </w:divBdr>
        </w:div>
        <w:div w:id="1544561644">
          <w:marLeft w:val="0"/>
          <w:marRight w:val="0"/>
          <w:marTop w:val="0"/>
          <w:marBottom w:val="0"/>
          <w:divBdr>
            <w:top w:val="none" w:sz="0" w:space="0" w:color="auto"/>
            <w:left w:val="none" w:sz="0" w:space="0" w:color="auto"/>
            <w:bottom w:val="none" w:sz="0" w:space="0" w:color="auto"/>
            <w:right w:val="none" w:sz="0" w:space="0" w:color="auto"/>
          </w:divBdr>
        </w:div>
        <w:div w:id="914822868">
          <w:marLeft w:val="0"/>
          <w:marRight w:val="0"/>
          <w:marTop w:val="0"/>
          <w:marBottom w:val="0"/>
          <w:divBdr>
            <w:top w:val="none" w:sz="0" w:space="0" w:color="auto"/>
            <w:left w:val="none" w:sz="0" w:space="0" w:color="auto"/>
            <w:bottom w:val="none" w:sz="0" w:space="0" w:color="auto"/>
            <w:right w:val="none" w:sz="0" w:space="0" w:color="auto"/>
          </w:divBdr>
        </w:div>
        <w:div w:id="1647124135">
          <w:marLeft w:val="0"/>
          <w:marRight w:val="0"/>
          <w:marTop w:val="0"/>
          <w:marBottom w:val="0"/>
          <w:divBdr>
            <w:top w:val="none" w:sz="0" w:space="0" w:color="auto"/>
            <w:left w:val="none" w:sz="0" w:space="0" w:color="auto"/>
            <w:bottom w:val="none" w:sz="0" w:space="0" w:color="auto"/>
            <w:right w:val="none" w:sz="0" w:space="0" w:color="auto"/>
          </w:divBdr>
        </w:div>
        <w:div w:id="2144879535">
          <w:marLeft w:val="0"/>
          <w:marRight w:val="0"/>
          <w:marTop w:val="0"/>
          <w:marBottom w:val="0"/>
          <w:divBdr>
            <w:top w:val="none" w:sz="0" w:space="0" w:color="auto"/>
            <w:left w:val="none" w:sz="0" w:space="0" w:color="auto"/>
            <w:bottom w:val="none" w:sz="0" w:space="0" w:color="auto"/>
            <w:right w:val="none" w:sz="0" w:space="0" w:color="auto"/>
          </w:divBdr>
        </w:div>
        <w:div w:id="784957210">
          <w:marLeft w:val="0"/>
          <w:marRight w:val="0"/>
          <w:marTop w:val="0"/>
          <w:marBottom w:val="0"/>
          <w:divBdr>
            <w:top w:val="none" w:sz="0" w:space="0" w:color="auto"/>
            <w:left w:val="none" w:sz="0" w:space="0" w:color="auto"/>
            <w:bottom w:val="none" w:sz="0" w:space="0" w:color="auto"/>
            <w:right w:val="none" w:sz="0" w:space="0" w:color="auto"/>
          </w:divBdr>
        </w:div>
        <w:div w:id="1146555801">
          <w:marLeft w:val="0"/>
          <w:marRight w:val="0"/>
          <w:marTop w:val="0"/>
          <w:marBottom w:val="0"/>
          <w:divBdr>
            <w:top w:val="none" w:sz="0" w:space="0" w:color="auto"/>
            <w:left w:val="none" w:sz="0" w:space="0" w:color="auto"/>
            <w:bottom w:val="none" w:sz="0" w:space="0" w:color="auto"/>
            <w:right w:val="none" w:sz="0" w:space="0" w:color="auto"/>
          </w:divBdr>
        </w:div>
        <w:div w:id="1141456630">
          <w:marLeft w:val="0"/>
          <w:marRight w:val="0"/>
          <w:marTop w:val="0"/>
          <w:marBottom w:val="0"/>
          <w:divBdr>
            <w:top w:val="none" w:sz="0" w:space="0" w:color="auto"/>
            <w:left w:val="none" w:sz="0" w:space="0" w:color="auto"/>
            <w:bottom w:val="none" w:sz="0" w:space="0" w:color="auto"/>
            <w:right w:val="none" w:sz="0" w:space="0" w:color="auto"/>
          </w:divBdr>
        </w:div>
        <w:div w:id="122816155">
          <w:marLeft w:val="0"/>
          <w:marRight w:val="0"/>
          <w:marTop w:val="0"/>
          <w:marBottom w:val="0"/>
          <w:divBdr>
            <w:top w:val="none" w:sz="0" w:space="0" w:color="auto"/>
            <w:left w:val="none" w:sz="0" w:space="0" w:color="auto"/>
            <w:bottom w:val="none" w:sz="0" w:space="0" w:color="auto"/>
            <w:right w:val="none" w:sz="0" w:space="0" w:color="auto"/>
          </w:divBdr>
        </w:div>
        <w:div w:id="5062131">
          <w:marLeft w:val="0"/>
          <w:marRight w:val="0"/>
          <w:marTop w:val="0"/>
          <w:marBottom w:val="0"/>
          <w:divBdr>
            <w:top w:val="none" w:sz="0" w:space="0" w:color="auto"/>
            <w:left w:val="none" w:sz="0" w:space="0" w:color="auto"/>
            <w:bottom w:val="none" w:sz="0" w:space="0" w:color="auto"/>
            <w:right w:val="none" w:sz="0" w:space="0" w:color="auto"/>
          </w:divBdr>
        </w:div>
        <w:div w:id="501044882">
          <w:marLeft w:val="0"/>
          <w:marRight w:val="0"/>
          <w:marTop w:val="0"/>
          <w:marBottom w:val="0"/>
          <w:divBdr>
            <w:top w:val="none" w:sz="0" w:space="0" w:color="auto"/>
            <w:left w:val="none" w:sz="0" w:space="0" w:color="auto"/>
            <w:bottom w:val="none" w:sz="0" w:space="0" w:color="auto"/>
            <w:right w:val="none" w:sz="0" w:space="0" w:color="auto"/>
          </w:divBdr>
        </w:div>
        <w:div w:id="1105808663">
          <w:marLeft w:val="0"/>
          <w:marRight w:val="0"/>
          <w:marTop w:val="0"/>
          <w:marBottom w:val="0"/>
          <w:divBdr>
            <w:top w:val="none" w:sz="0" w:space="0" w:color="auto"/>
            <w:left w:val="none" w:sz="0" w:space="0" w:color="auto"/>
            <w:bottom w:val="none" w:sz="0" w:space="0" w:color="auto"/>
            <w:right w:val="none" w:sz="0" w:space="0" w:color="auto"/>
          </w:divBdr>
        </w:div>
        <w:div w:id="357051207">
          <w:marLeft w:val="0"/>
          <w:marRight w:val="0"/>
          <w:marTop w:val="0"/>
          <w:marBottom w:val="0"/>
          <w:divBdr>
            <w:top w:val="none" w:sz="0" w:space="0" w:color="auto"/>
            <w:left w:val="none" w:sz="0" w:space="0" w:color="auto"/>
            <w:bottom w:val="none" w:sz="0" w:space="0" w:color="auto"/>
            <w:right w:val="none" w:sz="0" w:space="0" w:color="auto"/>
          </w:divBdr>
        </w:div>
        <w:div w:id="1722290283">
          <w:marLeft w:val="0"/>
          <w:marRight w:val="0"/>
          <w:marTop w:val="0"/>
          <w:marBottom w:val="0"/>
          <w:divBdr>
            <w:top w:val="none" w:sz="0" w:space="0" w:color="auto"/>
            <w:left w:val="none" w:sz="0" w:space="0" w:color="auto"/>
            <w:bottom w:val="none" w:sz="0" w:space="0" w:color="auto"/>
            <w:right w:val="none" w:sz="0" w:space="0" w:color="auto"/>
          </w:divBdr>
        </w:div>
        <w:div w:id="1795371073">
          <w:marLeft w:val="0"/>
          <w:marRight w:val="0"/>
          <w:marTop w:val="0"/>
          <w:marBottom w:val="0"/>
          <w:divBdr>
            <w:top w:val="none" w:sz="0" w:space="0" w:color="auto"/>
            <w:left w:val="none" w:sz="0" w:space="0" w:color="auto"/>
            <w:bottom w:val="none" w:sz="0" w:space="0" w:color="auto"/>
            <w:right w:val="none" w:sz="0" w:space="0" w:color="auto"/>
          </w:divBdr>
        </w:div>
        <w:div w:id="1195728316">
          <w:marLeft w:val="0"/>
          <w:marRight w:val="0"/>
          <w:marTop w:val="0"/>
          <w:marBottom w:val="0"/>
          <w:divBdr>
            <w:top w:val="none" w:sz="0" w:space="0" w:color="auto"/>
            <w:left w:val="none" w:sz="0" w:space="0" w:color="auto"/>
            <w:bottom w:val="none" w:sz="0" w:space="0" w:color="auto"/>
            <w:right w:val="none" w:sz="0" w:space="0" w:color="auto"/>
          </w:divBdr>
        </w:div>
        <w:div w:id="483858111">
          <w:marLeft w:val="0"/>
          <w:marRight w:val="0"/>
          <w:marTop w:val="0"/>
          <w:marBottom w:val="0"/>
          <w:divBdr>
            <w:top w:val="none" w:sz="0" w:space="0" w:color="auto"/>
            <w:left w:val="none" w:sz="0" w:space="0" w:color="auto"/>
            <w:bottom w:val="none" w:sz="0" w:space="0" w:color="auto"/>
            <w:right w:val="none" w:sz="0" w:space="0" w:color="auto"/>
          </w:divBdr>
        </w:div>
        <w:div w:id="669211559">
          <w:marLeft w:val="0"/>
          <w:marRight w:val="0"/>
          <w:marTop w:val="0"/>
          <w:marBottom w:val="0"/>
          <w:divBdr>
            <w:top w:val="none" w:sz="0" w:space="0" w:color="auto"/>
            <w:left w:val="none" w:sz="0" w:space="0" w:color="auto"/>
            <w:bottom w:val="none" w:sz="0" w:space="0" w:color="auto"/>
            <w:right w:val="none" w:sz="0" w:space="0" w:color="auto"/>
          </w:divBdr>
        </w:div>
        <w:div w:id="1064451829">
          <w:marLeft w:val="0"/>
          <w:marRight w:val="0"/>
          <w:marTop w:val="0"/>
          <w:marBottom w:val="0"/>
          <w:divBdr>
            <w:top w:val="none" w:sz="0" w:space="0" w:color="auto"/>
            <w:left w:val="none" w:sz="0" w:space="0" w:color="auto"/>
            <w:bottom w:val="none" w:sz="0" w:space="0" w:color="auto"/>
            <w:right w:val="none" w:sz="0" w:space="0" w:color="auto"/>
          </w:divBdr>
        </w:div>
        <w:div w:id="1415323399">
          <w:marLeft w:val="0"/>
          <w:marRight w:val="0"/>
          <w:marTop w:val="0"/>
          <w:marBottom w:val="0"/>
          <w:divBdr>
            <w:top w:val="none" w:sz="0" w:space="0" w:color="auto"/>
            <w:left w:val="none" w:sz="0" w:space="0" w:color="auto"/>
            <w:bottom w:val="none" w:sz="0" w:space="0" w:color="auto"/>
            <w:right w:val="none" w:sz="0" w:space="0" w:color="auto"/>
          </w:divBdr>
        </w:div>
        <w:div w:id="1756123833">
          <w:marLeft w:val="0"/>
          <w:marRight w:val="0"/>
          <w:marTop w:val="0"/>
          <w:marBottom w:val="0"/>
          <w:divBdr>
            <w:top w:val="none" w:sz="0" w:space="0" w:color="auto"/>
            <w:left w:val="none" w:sz="0" w:space="0" w:color="auto"/>
            <w:bottom w:val="none" w:sz="0" w:space="0" w:color="auto"/>
            <w:right w:val="none" w:sz="0" w:space="0" w:color="auto"/>
          </w:divBdr>
        </w:div>
        <w:div w:id="314262132">
          <w:marLeft w:val="0"/>
          <w:marRight w:val="0"/>
          <w:marTop w:val="0"/>
          <w:marBottom w:val="0"/>
          <w:divBdr>
            <w:top w:val="none" w:sz="0" w:space="0" w:color="auto"/>
            <w:left w:val="none" w:sz="0" w:space="0" w:color="auto"/>
            <w:bottom w:val="none" w:sz="0" w:space="0" w:color="auto"/>
            <w:right w:val="none" w:sz="0" w:space="0" w:color="auto"/>
          </w:divBdr>
        </w:div>
        <w:div w:id="154146606">
          <w:marLeft w:val="0"/>
          <w:marRight w:val="0"/>
          <w:marTop w:val="0"/>
          <w:marBottom w:val="0"/>
          <w:divBdr>
            <w:top w:val="none" w:sz="0" w:space="0" w:color="auto"/>
            <w:left w:val="none" w:sz="0" w:space="0" w:color="auto"/>
            <w:bottom w:val="none" w:sz="0" w:space="0" w:color="auto"/>
            <w:right w:val="none" w:sz="0" w:space="0" w:color="auto"/>
          </w:divBdr>
        </w:div>
        <w:div w:id="1488202581">
          <w:marLeft w:val="0"/>
          <w:marRight w:val="0"/>
          <w:marTop w:val="0"/>
          <w:marBottom w:val="0"/>
          <w:divBdr>
            <w:top w:val="none" w:sz="0" w:space="0" w:color="auto"/>
            <w:left w:val="none" w:sz="0" w:space="0" w:color="auto"/>
            <w:bottom w:val="none" w:sz="0" w:space="0" w:color="auto"/>
            <w:right w:val="none" w:sz="0" w:space="0" w:color="auto"/>
          </w:divBdr>
        </w:div>
        <w:div w:id="1881089277">
          <w:marLeft w:val="0"/>
          <w:marRight w:val="0"/>
          <w:marTop w:val="0"/>
          <w:marBottom w:val="0"/>
          <w:divBdr>
            <w:top w:val="none" w:sz="0" w:space="0" w:color="auto"/>
            <w:left w:val="none" w:sz="0" w:space="0" w:color="auto"/>
            <w:bottom w:val="none" w:sz="0" w:space="0" w:color="auto"/>
            <w:right w:val="none" w:sz="0" w:space="0" w:color="auto"/>
          </w:divBdr>
        </w:div>
        <w:div w:id="34434316">
          <w:marLeft w:val="0"/>
          <w:marRight w:val="0"/>
          <w:marTop w:val="0"/>
          <w:marBottom w:val="0"/>
          <w:divBdr>
            <w:top w:val="none" w:sz="0" w:space="0" w:color="auto"/>
            <w:left w:val="none" w:sz="0" w:space="0" w:color="auto"/>
            <w:bottom w:val="none" w:sz="0" w:space="0" w:color="auto"/>
            <w:right w:val="none" w:sz="0" w:space="0" w:color="auto"/>
          </w:divBdr>
        </w:div>
        <w:div w:id="263269244">
          <w:marLeft w:val="0"/>
          <w:marRight w:val="0"/>
          <w:marTop w:val="0"/>
          <w:marBottom w:val="0"/>
          <w:divBdr>
            <w:top w:val="none" w:sz="0" w:space="0" w:color="auto"/>
            <w:left w:val="none" w:sz="0" w:space="0" w:color="auto"/>
            <w:bottom w:val="none" w:sz="0" w:space="0" w:color="auto"/>
            <w:right w:val="none" w:sz="0" w:space="0" w:color="auto"/>
          </w:divBdr>
        </w:div>
        <w:div w:id="1210071089">
          <w:marLeft w:val="0"/>
          <w:marRight w:val="0"/>
          <w:marTop w:val="0"/>
          <w:marBottom w:val="0"/>
          <w:divBdr>
            <w:top w:val="none" w:sz="0" w:space="0" w:color="auto"/>
            <w:left w:val="none" w:sz="0" w:space="0" w:color="auto"/>
            <w:bottom w:val="none" w:sz="0" w:space="0" w:color="auto"/>
            <w:right w:val="none" w:sz="0" w:space="0" w:color="auto"/>
          </w:divBdr>
        </w:div>
        <w:div w:id="1108819020">
          <w:marLeft w:val="0"/>
          <w:marRight w:val="0"/>
          <w:marTop w:val="0"/>
          <w:marBottom w:val="0"/>
          <w:divBdr>
            <w:top w:val="none" w:sz="0" w:space="0" w:color="auto"/>
            <w:left w:val="none" w:sz="0" w:space="0" w:color="auto"/>
            <w:bottom w:val="none" w:sz="0" w:space="0" w:color="auto"/>
            <w:right w:val="none" w:sz="0" w:space="0" w:color="auto"/>
          </w:divBdr>
        </w:div>
        <w:div w:id="940986661">
          <w:marLeft w:val="0"/>
          <w:marRight w:val="0"/>
          <w:marTop w:val="0"/>
          <w:marBottom w:val="0"/>
          <w:divBdr>
            <w:top w:val="none" w:sz="0" w:space="0" w:color="auto"/>
            <w:left w:val="none" w:sz="0" w:space="0" w:color="auto"/>
            <w:bottom w:val="none" w:sz="0" w:space="0" w:color="auto"/>
            <w:right w:val="none" w:sz="0" w:space="0" w:color="auto"/>
          </w:divBdr>
        </w:div>
        <w:div w:id="668799425">
          <w:marLeft w:val="0"/>
          <w:marRight w:val="0"/>
          <w:marTop w:val="0"/>
          <w:marBottom w:val="0"/>
          <w:divBdr>
            <w:top w:val="none" w:sz="0" w:space="0" w:color="auto"/>
            <w:left w:val="none" w:sz="0" w:space="0" w:color="auto"/>
            <w:bottom w:val="none" w:sz="0" w:space="0" w:color="auto"/>
            <w:right w:val="none" w:sz="0" w:space="0" w:color="auto"/>
          </w:divBdr>
        </w:div>
        <w:div w:id="797188878">
          <w:marLeft w:val="0"/>
          <w:marRight w:val="0"/>
          <w:marTop w:val="0"/>
          <w:marBottom w:val="0"/>
          <w:divBdr>
            <w:top w:val="none" w:sz="0" w:space="0" w:color="auto"/>
            <w:left w:val="none" w:sz="0" w:space="0" w:color="auto"/>
            <w:bottom w:val="none" w:sz="0" w:space="0" w:color="auto"/>
            <w:right w:val="none" w:sz="0" w:space="0" w:color="auto"/>
          </w:divBdr>
        </w:div>
        <w:div w:id="1569194424">
          <w:marLeft w:val="0"/>
          <w:marRight w:val="0"/>
          <w:marTop w:val="0"/>
          <w:marBottom w:val="0"/>
          <w:divBdr>
            <w:top w:val="none" w:sz="0" w:space="0" w:color="auto"/>
            <w:left w:val="none" w:sz="0" w:space="0" w:color="auto"/>
            <w:bottom w:val="none" w:sz="0" w:space="0" w:color="auto"/>
            <w:right w:val="none" w:sz="0" w:space="0" w:color="auto"/>
          </w:divBdr>
        </w:div>
        <w:div w:id="1955868040">
          <w:marLeft w:val="0"/>
          <w:marRight w:val="0"/>
          <w:marTop w:val="0"/>
          <w:marBottom w:val="0"/>
          <w:divBdr>
            <w:top w:val="none" w:sz="0" w:space="0" w:color="auto"/>
            <w:left w:val="none" w:sz="0" w:space="0" w:color="auto"/>
            <w:bottom w:val="none" w:sz="0" w:space="0" w:color="auto"/>
            <w:right w:val="none" w:sz="0" w:space="0" w:color="auto"/>
          </w:divBdr>
        </w:div>
        <w:div w:id="1393502135">
          <w:marLeft w:val="0"/>
          <w:marRight w:val="0"/>
          <w:marTop w:val="0"/>
          <w:marBottom w:val="0"/>
          <w:divBdr>
            <w:top w:val="none" w:sz="0" w:space="0" w:color="auto"/>
            <w:left w:val="none" w:sz="0" w:space="0" w:color="auto"/>
            <w:bottom w:val="none" w:sz="0" w:space="0" w:color="auto"/>
            <w:right w:val="none" w:sz="0" w:space="0" w:color="auto"/>
          </w:divBdr>
        </w:div>
        <w:div w:id="625544383">
          <w:marLeft w:val="0"/>
          <w:marRight w:val="0"/>
          <w:marTop w:val="0"/>
          <w:marBottom w:val="0"/>
          <w:divBdr>
            <w:top w:val="none" w:sz="0" w:space="0" w:color="auto"/>
            <w:left w:val="none" w:sz="0" w:space="0" w:color="auto"/>
            <w:bottom w:val="none" w:sz="0" w:space="0" w:color="auto"/>
            <w:right w:val="none" w:sz="0" w:space="0" w:color="auto"/>
          </w:divBdr>
        </w:div>
        <w:div w:id="45182891">
          <w:marLeft w:val="0"/>
          <w:marRight w:val="0"/>
          <w:marTop w:val="0"/>
          <w:marBottom w:val="0"/>
          <w:divBdr>
            <w:top w:val="none" w:sz="0" w:space="0" w:color="auto"/>
            <w:left w:val="none" w:sz="0" w:space="0" w:color="auto"/>
            <w:bottom w:val="none" w:sz="0" w:space="0" w:color="auto"/>
            <w:right w:val="none" w:sz="0" w:space="0" w:color="auto"/>
          </w:divBdr>
        </w:div>
        <w:div w:id="305400080">
          <w:marLeft w:val="0"/>
          <w:marRight w:val="0"/>
          <w:marTop w:val="0"/>
          <w:marBottom w:val="0"/>
          <w:divBdr>
            <w:top w:val="none" w:sz="0" w:space="0" w:color="auto"/>
            <w:left w:val="none" w:sz="0" w:space="0" w:color="auto"/>
            <w:bottom w:val="none" w:sz="0" w:space="0" w:color="auto"/>
            <w:right w:val="none" w:sz="0" w:space="0" w:color="auto"/>
          </w:divBdr>
        </w:div>
        <w:div w:id="911697545">
          <w:marLeft w:val="0"/>
          <w:marRight w:val="0"/>
          <w:marTop w:val="0"/>
          <w:marBottom w:val="0"/>
          <w:divBdr>
            <w:top w:val="none" w:sz="0" w:space="0" w:color="auto"/>
            <w:left w:val="none" w:sz="0" w:space="0" w:color="auto"/>
            <w:bottom w:val="none" w:sz="0" w:space="0" w:color="auto"/>
            <w:right w:val="none" w:sz="0" w:space="0" w:color="auto"/>
          </w:divBdr>
        </w:div>
        <w:div w:id="966398479">
          <w:marLeft w:val="0"/>
          <w:marRight w:val="0"/>
          <w:marTop w:val="0"/>
          <w:marBottom w:val="0"/>
          <w:divBdr>
            <w:top w:val="none" w:sz="0" w:space="0" w:color="auto"/>
            <w:left w:val="none" w:sz="0" w:space="0" w:color="auto"/>
            <w:bottom w:val="none" w:sz="0" w:space="0" w:color="auto"/>
            <w:right w:val="none" w:sz="0" w:space="0" w:color="auto"/>
          </w:divBdr>
        </w:div>
        <w:div w:id="1285842785">
          <w:marLeft w:val="0"/>
          <w:marRight w:val="0"/>
          <w:marTop w:val="0"/>
          <w:marBottom w:val="0"/>
          <w:divBdr>
            <w:top w:val="none" w:sz="0" w:space="0" w:color="auto"/>
            <w:left w:val="none" w:sz="0" w:space="0" w:color="auto"/>
            <w:bottom w:val="none" w:sz="0" w:space="0" w:color="auto"/>
            <w:right w:val="none" w:sz="0" w:space="0" w:color="auto"/>
          </w:divBdr>
        </w:div>
        <w:div w:id="464854059">
          <w:marLeft w:val="0"/>
          <w:marRight w:val="0"/>
          <w:marTop w:val="0"/>
          <w:marBottom w:val="0"/>
          <w:divBdr>
            <w:top w:val="none" w:sz="0" w:space="0" w:color="auto"/>
            <w:left w:val="none" w:sz="0" w:space="0" w:color="auto"/>
            <w:bottom w:val="none" w:sz="0" w:space="0" w:color="auto"/>
            <w:right w:val="none" w:sz="0" w:space="0" w:color="auto"/>
          </w:divBdr>
        </w:div>
        <w:div w:id="450514269">
          <w:marLeft w:val="0"/>
          <w:marRight w:val="0"/>
          <w:marTop w:val="0"/>
          <w:marBottom w:val="0"/>
          <w:divBdr>
            <w:top w:val="none" w:sz="0" w:space="0" w:color="auto"/>
            <w:left w:val="none" w:sz="0" w:space="0" w:color="auto"/>
            <w:bottom w:val="none" w:sz="0" w:space="0" w:color="auto"/>
            <w:right w:val="none" w:sz="0" w:space="0" w:color="auto"/>
          </w:divBdr>
        </w:div>
        <w:div w:id="87577364">
          <w:marLeft w:val="0"/>
          <w:marRight w:val="0"/>
          <w:marTop w:val="0"/>
          <w:marBottom w:val="0"/>
          <w:divBdr>
            <w:top w:val="none" w:sz="0" w:space="0" w:color="auto"/>
            <w:left w:val="none" w:sz="0" w:space="0" w:color="auto"/>
            <w:bottom w:val="none" w:sz="0" w:space="0" w:color="auto"/>
            <w:right w:val="none" w:sz="0" w:space="0" w:color="auto"/>
          </w:divBdr>
        </w:div>
        <w:div w:id="1330523485">
          <w:marLeft w:val="0"/>
          <w:marRight w:val="0"/>
          <w:marTop w:val="0"/>
          <w:marBottom w:val="0"/>
          <w:divBdr>
            <w:top w:val="none" w:sz="0" w:space="0" w:color="auto"/>
            <w:left w:val="none" w:sz="0" w:space="0" w:color="auto"/>
            <w:bottom w:val="none" w:sz="0" w:space="0" w:color="auto"/>
            <w:right w:val="none" w:sz="0" w:space="0" w:color="auto"/>
          </w:divBdr>
        </w:div>
        <w:div w:id="1890603009">
          <w:marLeft w:val="0"/>
          <w:marRight w:val="0"/>
          <w:marTop w:val="0"/>
          <w:marBottom w:val="0"/>
          <w:divBdr>
            <w:top w:val="none" w:sz="0" w:space="0" w:color="auto"/>
            <w:left w:val="none" w:sz="0" w:space="0" w:color="auto"/>
            <w:bottom w:val="none" w:sz="0" w:space="0" w:color="auto"/>
            <w:right w:val="none" w:sz="0" w:space="0" w:color="auto"/>
          </w:divBdr>
        </w:div>
        <w:div w:id="1235818274">
          <w:marLeft w:val="0"/>
          <w:marRight w:val="0"/>
          <w:marTop w:val="0"/>
          <w:marBottom w:val="0"/>
          <w:divBdr>
            <w:top w:val="none" w:sz="0" w:space="0" w:color="auto"/>
            <w:left w:val="none" w:sz="0" w:space="0" w:color="auto"/>
            <w:bottom w:val="none" w:sz="0" w:space="0" w:color="auto"/>
            <w:right w:val="none" w:sz="0" w:space="0" w:color="auto"/>
          </w:divBdr>
        </w:div>
        <w:div w:id="311101260">
          <w:marLeft w:val="0"/>
          <w:marRight w:val="0"/>
          <w:marTop w:val="0"/>
          <w:marBottom w:val="0"/>
          <w:divBdr>
            <w:top w:val="none" w:sz="0" w:space="0" w:color="auto"/>
            <w:left w:val="none" w:sz="0" w:space="0" w:color="auto"/>
            <w:bottom w:val="none" w:sz="0" w:space="0" w:color="auto"/>
            <w:right w:val="none" w:sz="0" w:space="0" w:color="auto"/>
          </w:divBdr>
        </w:div>
        <w:div w:id="1787768037">
          <w:marLeft w:val="0"/>
          <w:marRight w:val="0"/>
          <w:marTop w:val="0"/>
          <w:marBottom w:val="0"/>
          <w:divBdr>
            <w:top w:val="none" w:sz="0" w:space="0" w:color="auto"/>
            <w:left w:val="none" w:sz="0" w:space="0" w:color="auto"/>
            <w:bottom w:val="none" w:sz="0" w:space="0" w:color="auto"/>
            <w:right w:val="none" w:sz="0" w:space="0" w:color="auto"/>
          </w:divBdr>
        </w:div>
        <w:div w:id="1724791637">
          <w:marLeft w:val="0"/>
          <w:marRight w:val="0"/>
          <w:marTop w:val="0"/>
          <w:marBottom w:val="0"/>
          <w:divBdr>
            <w:top w:val="none" w:sz="0" w:space="0" w:color="auto"/>
            <w:left w:val="none" w:sz="0" w:space="0" w:color="auto"/>
            <w:bottom w:val="none" w:sz="0" w:space="0" w:color="auto"/>
            <w:right w:val="none" w:sz="0" w:space="0" w:color="auto"/>
          </w:divBdr>
        </w:div>
        <w:div w:id="1006321434">
          <w:marLeft w:val="0"/>
          <w:marRight w:val="0"/>
          <w:marTop w:val="0"/>
          <w:marBottom w:val="0"/>
          <w:divBdr>
            <w:top w:val="none" w:sz="0" w:space="0" w:color="auto"/>
            <w:left w:val="none" w:sz="0" w:space="0" w:color="auto"/>
            <w:bottom w:val="none" w:sz="0" w:space="0" w:color="auto"/>
            <w:right w:val="none" w:sz="0" w:space="0" w:color="auto"/>
          </w:divBdr>
        </w:div>
        <w:div w:id="1349988535">
          <w:marLeft w:val="0"/>
          <w:marRight w:val="0"/>
          <w:marTop w:val="0"/>
          <w:marBottom w:val="0"/>
          <w:divBdr>
            <w:top w:val="none" w:sz="0" w:space="0" w:color="auto"/>
            <w:left w:val="none" w:sz="0" w:space="0" w:color="auto"/>
            <w:bottom w:val="none" w:sz="0" w:space="0" w:color="auto"/>
            <w:right w:val="none" w:sz="0" w:space="0" w:color="auto"/>
          </w:divBdr>
        </w:div>
        <w:div w:id="7804285">
          <w:marLeft w:val="0"/>
          <w:marRight w:val="0"/>
          <w:marTop w:val="0"/>
          <w:marBottom w:val="0"/>
          <w:divBdr>
            <w:top w:val="none" w:sz="0" w:space="0" w:color="auto"/>
            <w:left w:val="none" w:sz="0" w:space="0" w:color="auto"/>
            <w:bottom w:val="none" w:sz="0" w:space="0" w:color="auto"/>
            <w:right w:val="none" w:sz="0" w:space="0" w:color="auto"/>
          </w:divBdr>
        </w:div>
        <w:div w:id="2009868849">
          <w:marLeft w:val="0"/>
          <w:marRight w:val="0"/>
          <w:marTop w:val="0"/>
          <w:marBottom w:val="0"/>
          <w:divBdr>
            <w:top w:val="none" w:sz="0" w:space="0" w:color="auto"/>
            <w:left w:val="none" w:sz="0" w:space="0" w:color="auto"/>
            <w:bottom w:val="none" w:sz="0" w:space="0" w:color="auto"/>
            <w:right w:val="none" w:sz="0" w:space="0" w:color="auto"/>
          </w:divBdr>
        </w:div>
        <w:div w:id="566111685">
          <w:marLeft w:val="0"/>
          <w:marRight w:val="0"/>
          <w:marTop w:val="0"/>
          <w:marBottom w:val="0"/>
          <w:divBdr>
            <w:top w:val="none" w:sz="0" w:space="0" w:color="auto"/>
            <w:left w:val="none" w:sz="0" w:space="0" w:color="auto"/>
            <w:bottom w:val="none" w:sz="0" w:space="0" w:color="auto"/>
            <w:right w:val="none" w:sz="0" w:space="0" w:color="auto"/>
          </w:divBdr>
        </w:div>
        <w:div w:id="1970161797">
          <w:marLeft w:val="0"/>
          <w:marRight w:val="0"/>
          <w:marTop w:val="0"/>
          <w:marBottom w:val="0"/>
          <w:divBdr>
            <w:top w:val="none" w:sz="0" w:space="0" w:color="auto"/>
            <w:left w:val="none" w:sz="0" w:space="0" w:color="auto"/>
            <w:bottom w:val="none" w:sz="0" w:space="0" w:color="auto"/>
            <w:right w:val="none" w:sz="0" w:space="0" w:color="auto"/>
          </w:divBdr>
        </w:div>
        <w:div w:id="1116172034">
          <w:marLeft w:val="0"/>
          <w:marRight w:val="0"/>
          <w:marTop w:val="0"/>
          <w:marBottom w:val="0"/>
          <w:divBdr>
            <w:top w:val="none" w:sz="0" w:space="0" w:color="auto"/>
            <w:left w:val="none" w:sz="0" w:space="0" w:color="auto"/>
            <w:bottom w:val="none" w:sz="0" w:space="0" w:color="auto"/>
            <w:right w:val="none" w:sz="0" w:space="0" w:color="auto"/>
          </w:divBdr>
        </w:div>
        <w:div w:id="1259295285">
          <w:marLeft w:val="0"/>
          <w:marRight w:val="0"/>
          <w:marTop w:val="0"/>
          <w:marBottom w:val="0"/>
          <w:divBdr>
            <w:top w:val="none" w:sz="0" w:space="0" w:color="auto"/>
            <w:left w:val="none" w:sz="0" w:space="0" w:color="auto"/>
            <w:bottom w:val="none" w:sz="0" w:space="0" w:color="auto"/>
            <w:right w:val="none" w:sz="0" w:space="0" w:color="auto"/>
          </w:divBdr>
        </w:div>
        <w:div w:id="1681738570">
          <w:marLeft w:val="0"/>
          <w:marRight w:val="0"/>
          <w:marTop w:val="0"/>
          <w:marBottom w:val="0"/>
          <w:divBdr>
            <w:top w:val="none" w:sz="0" w:space="0" w:color="auto"/>
            <w:left w:val="none" w:sz="0" w:space="0" w:color="auto"/>
            <w:bottom w:val="none" w:sz="0" w:space="0" w:color="auto"/>
            <w:right w:val="none" w:sz="0" w:space="0" w:color="auto"/>
          </w:divBdr>
        </w:div>
        <w:div w:id="1791432127">
          <w:marLeft w:val="0"/>
          <w:marRight w:val="0"/>
          <w:marTop w:val="0"/>
          <w:marBottom w:val="0"/>
          <w:divBdr>
            <w:top w:val="none" w:sz="0" w:space="0" w:color="auto"/>
            <w:left w:val="none" w:sz="0" w:space="0" w:color="auto"/>
            <w:bottom w:val="none" w:sz="0" w:space="0" w:color="auto"/>
            <w:right w:val="none" w:sz="0" w:space="0" w:color="auto"/>
          </w:divBdr>
        </w:div>
        <w:div w:id="1005519366">
          <w:marLeft w:val="0"/>
          <w:marRight w:val="0"/>
          <w:marTop w:val="0"/>
          <w:marBottom w:val="0"/>
          <w:divBdr>
            <w:top w:val="none" w:sz="0" w:space="0" w:color="auto"/>
            <w:left w:val="none" w:sz="0" w:space="0" w:color="auto"/>
            <w:bottom w:val="none" w:sz="0" w:space="0" w:color="auto"/>
            <w:right w:val="none" w:sz="0" w:space="0" w:color="auto"/>
          </w:divBdr>
        </w:div>
        <w:div w:id="835262920">
          <w:marLeft w:val="0"/>
          <w:marRight w:val="0"/>
          <w:marTop w:val="0"/>
          <w:marBottom w:val="0"/>
          <w:divBdr>
            <w:top w:val="none" w:sz="0" w:space="0" w:color="auto"/>
            <w:left w:val="none" w:sz="0" w:space="0" w:color="auto"/>
            <w:bottom w:val="none" w:sz="0" w:space="0" w:color="auto"/>
            <w:right w:val="none" w:sz="0" w:space="0" w:color="auto"/>
          </w:divBdr>
        </w:div>
        <w:div w:id="507717969">
          <w:marLeft w:val="0"/>
          <w:marRight w:val="0"/>
          <w:marTop w:val="0"/>
          <w:marBottom w:val="0"/>
          <w:divBdr>
            <w:top w:val="none" w:sz="0" w:space="0" w:color="auto"/>
            <w:left w:val="none" w:sz="0" w:space="0" w:color="auto"/>
            <w:bottom w:val="none" w:sz="0" w:space="0" w:color="auto"/>
            <w:right w:val="none" w:sz="0" w:space="0" w:color="auto"/>
          </w:divBdr>
        </w:div>
        <w:div w:id="243150320">
          <w:marLeft w:val="0"/>
          <w:marRight w:val="0"/>
          <w:marTop w:val="0"/>
          <w:marBottom w:val="0"/>
          <w:divBdr>
            <w:top w:val="none" w:sz="0" w:space="0" w:color="auto"/>
            <w:left w:val="none" w:sz="0" w:space="0" w:color="auto"/>
            <w:bottom w:val="none" w:sz="0" w:space="0" w:color="auto"/>
            <w:right w:val="none" w:sz="0" w:space="0" w:color="auto"/>
          </w:divBdr>
        </w:div>
        <w:div w:id="1840846881">
          <w:marLeft w:val="0"/>
          <w:marRight w:val="0"/>
          <w:marTop w:val="0"/>
          <w:marBottom w:val="0"/>
          <w:divBdr>
            <w:top w:val="none" w:sz="0" w:space="0" w:color="auto"/>
            <w:left w:val="none" w:sz="0" w:space="0" w:color="auto"/>
            <w:bottom w:val="none" w:sz="0" w:space="0" w:color="auto"/>
            <w:right w:val="none" w:sz="0" w:space="0" w:color="auto"/>
          </w:divBdr>
        </w:div>
        <w:div w:id="724598223">
          <w:marLeft w:val="0"/>
          <w:marRight w:val="0"/>
          <w:marTop w:val="0"/>
          <w:marBottom w:val="0"/>
          <w:divBdr>
            <w:top w:val="none" w:sz="0" w:space="0" w:color="auto"/>
            <w:left w:val="none" w:sz="0" w:space="0" w:color="auto"/>
            <w:bottom w:val="none" w:sz="0" w:space="0" w:color="auto"/>
            <w:right w:val="none" w:sz="0" w:space="0" w:color="auto"/>
          </w:divBdr>
        </w:div>
        <w:div w:id="429084136">
          <w:marLeft w:val="0"/>
          <w:marRight w:val="0"/>
          <w:marTop w:val="0"/>
          <w:marBottom w:val="0"/>
          <w:divBdr>
            <w:top w:val="none" w:sz="0" w:space="0" w:color="auto"/>
            <w:left w:val="none" w:sz="0" w:space="0" w:color="auto"/>
            <w:bottom w:val="none" w:sz="0" w:space="0" w:color="auto"/>
            <w:right w:val="none" w:sz="0" w:space="0" w:color="auto"/>
          </w:divBdr>
        </w:div>
        <w:div w:id="1751268761">
          <w:marLeft w:val="0"/>
          <w:marRight w:val="0"/>
          <w:marTop w:val="0"/>
          <w:marBottom w:val="0"/>
          <w:divBdr>
            <w:top w:val="none" w:sz="0" w:space="0" w:color="auto"/>
            <w:left w:val="none" w:sz="0" w:space="0" w:color="auto"/>
            <w:bottom w:val="none" w:sz="0" w:space="0" w:color="auto"/>
            <w:right w:val="none" w:sz="0" w:space="0" w:color="auto"/>
          </w:divBdr>
        </w:div>
        <w:div w:id="1116412381">
          <w:marLeft w:val="0"/>
          <w:marRight w:val="0"/>
          <w:marTop w:val="0"/>
          <w:marBottom w:val="0"/>
          <w:divBdr>
            <w:top w:val="none" w:sz="0" w:space="0" w:color="auto"/>
            <w:left w:val="none" w:sz="0" w:space="0" w:color="auto"/>
            <w:bottom w:val="none" w:sz="0" w:space="0" w:color="auto"/>
            <w:right w:val="none" w:sz="0" w:space="0" w:color="auto"/>
          </w:divBdr>
        </w:div>
        <w:div w:id="818960233">
          <w:marLeft w:val="0"/>
          <w:marRight w:val="0"/>
          <w:marTop w:val="0"/>
          <w:marBottom w:val="0"/>
          <w:divBdr>
            <w:top w:val="none" w:sz="0" w:space="0" w:color="auto"/>
            <w:left w:val="none" w:sz="0" w:space="0" w:color="auto"/>
            <w:bottom w:val="none" w:sz="0" w:space="0" w:color="auto"/>
            <w:right w:val="none" w:sz="0" w:space="0" w:color="auto"/>
          </w:divBdr>
        </w:div>
        <w:div w:id="144784474">
          <w:marLeft w:val="0"/>
          <w:marRight w:val="0"/>
          <w:marTop w:val="0"/>
          <w:marBottom w:val="0"/>
          <w:divBdr>
            <w:top w:val="none" w:sz="0" w:space="0" w:color="auto"/>
            <w:left w:val="none" w:sz="0" w:space="0" w:color="auto"/>
            <w:bottom w:val="none" w:sz="0" w:space="0" w:color="auto"/>
            <w:right w:val="none" w:sz="0" w:space="0" w:color="auto"/>
          </w:divBdr>
        </w:div>
        <w:div w:id="1821724507">
          <w:marLeft w:val="0"/>
          <w:marRight w:val="0"/>
          <w:marTop w:val="0"/>
          <w:marBottom w:val="0"/>
          <w:divBdr>
            <w:top w:val="none" w:sz="0" w:space="0" w:color="auto"/>
            <w:left w:val="none" w:sz="0" w:space="0" w:color="auto"/>
            <w:bottom w:val="none" w:sz="0" w:space="0" w:color="auto"/>
            <w:right w:val="none" w:sz="0" w:space="0" w:color="auto"/>
          </w:divBdr>
        </w:div>
        <w:div w:id="1678078554">
          <w:marLeft w:val="0"/>
          <w:marRight w:val="0"/>
          <w:marTop w:val="0"/>
          <w:marBottom w:val="0"/>
          <w:divBdr>
            <w:top w:val="none" w:sz="0" w:space="0" w:color="auto"/>
            <w:left w:val="none" w:sz="0" w:space="0" w:color="auto"/>
            <w:bottom w:val="none" w:sz="0" w:space="0" w:color="auto"/>
            <w:right w:val="none" w:sz="0" w:space="0" w:color="auto"/>
          </w:divBdr>
        </w:div>
        <w:div w:id="600069182">
          <w:marLeft w:val="0"/>
          <w:marRight w:val="0"/>
          <w:marTop w:val="0"/>
          <w:marBottom w:val="0"/>
          <w:divBdr>
            <w:top w:val="none" w:sz="0" w:space="0" w:color="auto"/>
            <w:left w:val="none" w:sz="0" w:space="0" w:color="auto"/>
            <w:bottom w:val="none" w:sz="0" w:space="0" w:color="auto"/>
            <w:right w:val="none" w:sz="0" w:space="0" w:color="auto"/>
          </w:divBdr>
        </w:div>
        <w:div w:id="7145334">
          <w:marLeft w:val="0"/>
          <w:marRight w:val="0"/>
          <w:marTop w:val="0"/>
          <w:marBottom w:val="0"/>
          <w:divBdr>
            <w:top w:val="none" w:sz="0" w:space="0" w:color="auto"/>
            <w:left w:val="none" w:sz="0" w:space="0" w:color="auto"/>
            <w:bottom w:val="none" w:sz="0" w:space="0" w:color="auto"/>
            <w:right w:val="none" w:sz="0" w:space="0" w:color="auto"/>
          </w:divBdr>
        </w:div>
        <w:div w:id="1353149172">
          <w:marLeft w:val="0"/>
          <w:marRight w:val="0"/>
          <w:marTop w:val="0"/>
          <w:marBottom w:val="0"/>
          <w:divBdr>
            <w:top w:val="none" w:sz="0" w:space="0" w:color="auto"/>
            <w:left w:val="none" w:sz="0" w:space="0" w:color="auto"/>
            <w:bottom w:val="none" w:sz="0" w:space="0" w:color="auto"/>
            <w:right w:val="none" w:sz="0" w:space="0" w:color="auto"/>
          </w:divBdr>
        </w:div>
        <w:div w:id="763112365">
          <w:marLeft w:val="0"/>
          <w:marRight w:val="0"/>
          <w:marTop w:val="0"/>
          <w:marBottom w:val="0"/>
          <w:divBdr>
            <w:top w:val="none" w:sz="0" w:space="0" w:color="auto"/>
            <w:left w:val="none" w:sz="0" w:space="0" w:color="auto"/>
            <w:bottom w:val="none" w:sz="0" w:space="0" w:color="auto"/>
            <w:right w:val="none" w:sz="0" w:space="0" w:color="auto"/>
          </w:divBdr>
        </w:div>
        <w:div w:id="594632236">
          <w:marLeft w:val="0"/>
          <w:marRight w:val="0"/>
          <w:marTop w:val="0"/>
          <w:marBottom w:val="0"/>
          <w:divBdr>
            <w:top w:val="none" w:sz="0" w:space="0" w:color="auto"/>
            <w:left w:val="none" w:sz="0" w:space="0" w:color="auto"/>
            <w:bottom w:val="none" w:sz="0" w:space="0" w:color="auto"/>
            <w:right w:val="none" w:sz="0" w:space="0" w:color="auto"/>
          </w:divBdr>
        </w:div>
        <w:div w:id="1452434667">
          <w:marLeft w:val="0"/>
          <w:marRight w:val="0"/>
          <w:marTop w:val="0"/>
          <w:marBottom w:val="0"/>
          <w:divBdr>
            <w:top w:val="none" w:sz="0" w:space="0" w:color="auto"/>
            <w:left w:val="none" w:sz="0" w:space="0" w:color="auto"/>
            <w:bottom w:val="none" w:sz="0" w:space="0" w:color="auto"/>
            <w:right w:val="none" w:sz="0" w:space="0" w:color="auto"/>
          </w:divBdr>
        </w:div>
        <w:div w:id="1071923707">
          <w:marLeft w:val="0"/>
          <w:marRight w:val="0"/>
          <w:marTop w:val="0"/>
          <w:marBottom w:val="0"/>
          <w:divBdr>
            <w:top w:val="none" w:sz="0" w:space="0" w:color="auto"/>
            <w:left w:val="none" w:sz="0" w:space="0" w:color="auto"/>
            <w:bottom w:val="none" w:sz="0" w:space="0" w:color="auto"/>
            <w:right w:val="none" w:sz="0" w:space="0" w:color="auto"/>
          </w:divBdr>
        </w:div>
        <w:div w:id="1184856708">
          <w:marLeft w:val="0"/>
          <w:marRight w:val="0"/>
          <w:marTop w:val="0"/>
          <w:marBottom w:val="0"/>
          <w:divBdr>
            <w:top w:val="none" w:sz="0" w:space="0" w:color="auto"/>
            <w:left w:val="none" w:sz="0" w:space="0" w:color="auto"/>
            <w:bottom w:val="none" w:sz="0" w:space="0" w:color="auto"/>
            <w:right w:val="none" w:sz="0" w:space="0" w:color="auto"/>
          </w:divBdr>
        </w:div>
        <w:div w:id="1275357151">
          <w:marLeft w:val="0"/>
          <w:marRight w:val="0"/>
          <w:marTop w:val="0"/>
          <w:marBottom w:val="0"/>
          <w:divBdr>
            <w:top w:val="none" w:sz="0" w:space="0" w:color="auto"/>
            <w:left w:val="none" w:sz="0" w:space="0" w:color="auto"/>
            <w:bottom w:val="none" w:sz="0" w:space="0" w:color="auto"/>
            <w:right w:val="none" w:sz="0" w:space="0" w:color="auto"/>
          </w:divBdr>
        </w:div>
        <w:div w:id="1799104176">
          <w:marLeft w:val="0"/>
          <w:marRight w:val="0"/>
          <w:marTop w:val="0"/>
          <w:marBottom w:val="0"/>
          <w:divBdr>
            <w:top w:val="none" w:sz="0" w:space="0" w:color="auto"/>
            <w:left w:val="none" w:sz="0" w:space="0" w:color="auto"/>
            <w:bottom w:val="none" w:sz="0" w:space="0" w:color="auto"/>
            <w:right w:val="none" w:sz="0" w:space="0" w:color="auto"/>
          </w:divBdr>
        </w:div>
        <w:div w:id="944922983">
          <w:marLeft w:val="0"/>
          <w:marRight w:val="0"/>
          <w:marTop w:val="0"/>
          <w:marBottom w:val="0"/>
          <w:divBdr>
            <w:top w:val="none" w:sz="0" w:space="0" w:color="auto"/>
            <w:left w:val="none" w:sz="0" w:space="0" w:color="auto"/>
            <w:bottom w:val="none" w:sz="0" w:space="0" w:color="auto"/>
            <w:right w:val="none" w:sz="0" w:space="0" w:color="auto"/>
          </w:divBdr>
        </w:div>
        <w:div w:id="1385562853">
          <w:marLeft w:val="0"/>
          <w:marRight w:val="0"/>
          <w:marTop w:val="0"/>
          <w:marBottom w:val="0"/>
          <w:divBdr>
            <w:top w:val="none" w:sz="0" w:space="0" w:color="auto"/>
            <w:left w:val="none" w:sz="0" w:space="0" w:color="auto"/>
            <w:bottom w:val="none" w:sz="0" w:space="0" w:color="auto"/>
            <w:right w:val="none" w:sz="0" w:space="0" w:color="auto"/>
          </w:divBdr>
        </w:div>
        <w:div w:id="55787760">
          <w:marLeft w:val="0"/>
          <w:marRight w:val="0"/>
          <w:marTop w:val="0"/>
          <w:marBottom w:val="0"/>
          <w:divBdr>
            <w:top w:val="none" w:sz="0" w:space="0" w:color="auto"/>
            <w:left w:val="none" w:sz="0" w:space="0" w:color="auto"/>
            <w:bottom w:val="none" w:sz="0" w:space="0" w:color="auto"/>
            <w:right w:val="none" w:sz="0" w:space="0" w:color="auto"/>
          </w:divBdr>
        </w:div>
        <w:div w:id="1316764281">
          <w:marLeft w:val="0"/>
          <w:marRight w:val="0"/>
          <w:marTop w:val="0"/>
          <w:marBottom w:val="0"/>
          <w:divBdr>
            <w:top w:val="none" w:sz="0" w:space="0" w:color="auto"/>
            <w:left w:val="none" w:sz="0" w:space="0" w:color="auto"/>
            <w:bottom w:val="none" w:sz="0" w:space="0" w:color="auto"/>
            <w:right w:val="none" w:sz="0" w:space="0" w:color="auto"/>
          </w:divBdr>
        </w:div>
        <w:div w:id="1411199145">
          <w:marLeft w:val="0"/>
          <w:marRight w:val="0"/>
          <w:marTop w:val="0"/>
          <w:marBottom w:val="0"/>
          <w:divBdr>
            <w:top w:val="none" w:sz="0" w:space="0" w:color="auto"/>
            <w:left w:val="none" w:sz="0" w:space="0" w:color="auto"/>
            <w:bottom w:val="none" w:sz="0" w:space="0" w:color="auto"/>
            <w:right w:val="none" w:sz="0" w:space="0" w:color="auto"/>
          </w:divBdr>
        </w:div>
        <w:div w:id="1612931292">
          <w:marLeft w:val="0"/>
          <w:marRight w:val="0"/>
          <w:marTop w:val="0"/>
          <w:marBottom w:val="0"/>
          <w:divBdr>
            <w:top w:val="none" w:sz="0" w:space="0" w:color="auto"/>
            <w:left w:val="none" w:sz="0" w:space="0" w:color="auto"/>
            <w:bottom w:val="none" w:sz="0" w:space="0" w:color="auto"/>
            <w:right w:val="none" w:sz="0" w:space="0" w:color="auto"/>
          </w:divBdr>
        </w:div>
        <w:div w:id="2008050506">
          <w:marLeft w:val="0"/>
          <w:marRight w:val="0"/>
          <w:marTop w:val="0"/>
          <w:marBottom w:val="0"/>
          <w:divBdr>
            <w:top w:val="none" w:sz="0" w:space="0" w:color="auto"/>
            <w:left w:val="none" w:sz="0" w:space="0" w:color="auto"/>
            <w:bottom w:val="none" w:sz="0" w:space="0" w:color="auto"/>
            <w:right w:val="none" w:sz="0" w:space="0" w:color="auto"/>
          </w:divBdr>
        </w:div>
        <w:div w:id="485821466">
          <w:marLeft w:val="0"/>
          <w:marRight w:val="0"/>
          <w:marTop w:val="0"/>
          <w:marBottom w:val="0"/>
          <w:divBdr>
            <w:top w:val="none" w:sz="0" w:space="0" w:color="auto"/>
            <w:left w:val="none" w:sz="0" w:space="0" w:color="auto"/>
            <w:bottom w:val="none" w:sz="0" w:space="0" w:color="auto"/>
            <w:right w:val="none" w:sz="0" w:space="0" w:color="auto"/>
          </w:divBdr>
        </w:div>
        <w:div w:id="1144784731">
          <w:marLeft w:val="0"/>
          <w:marRight w:val="0"/>
          <w:marTop w:val="0"/>
          <w:marBottom w:val="0"/>
          <w:divBdr>
            <w:top w:val="none" w:sz="0" w:space="0" w:color="auto"/>
            <w:left w:val="none" w:sz="0" w:space="0" w:color="auto"/>
            <w:bottom w:val="none" w:sz="0" w:space="0" w:color="auto"/>
            <w:right w:val="none" w:sz="0" w:space="0" w:color="auto"/>
          </w:divBdr>
        </w:div>
        <w:div w:id="751900201">
          <w:marLeft w:val="0"/>
          <w:marRight w:val="0"/>
          <w:marTop w:val="0"/>
          <w:marBottom w:val="0"/>
          <w:divBdr>
            <w:top w:val="none" w:sz="0" w:space="0" w:color="auto"/>
            <w:left w:val="none" w:sz="0" w:space="0" w:color="auto"/>
            <w:bottom w:val="none" w:sz="0" w:space="0" w:color="auto"/>
            <w:right w:val="none" w:sz="0" w:space="0" w:color="auto"/>
          </w:divBdr>
        </w:div>
        <w:div w:id="935677336">
          <w:marLeft w:val="0"/>
          <w:marRight w:val="0"/>
          <w:marTop w:val="0"/>
          <w:marBottom w:val="0"/>
          <w:divBdr>
            <w:top w:val="none" w:sz="0" w:space="0" w:color="auto"/>
            <w:left w:val="none" w:sz="0" w:space="0" w:color="auto"/>
            <w:bottom w:val="none" w:sz="0" w:space="0" w:color="auto"/>
            <w:right w:val="none" w:sz="0" w:space="0" w:color="auto"/>
          </w:divBdr>
        </w:div>
        <w:div w:id="1394740733">
          <w:marLeft w:val="0"/>
          <w:marRight w:val="0"/>
          <w:marTop w:val="0"/>
          <w:marBottom w:val="0"/>
          <w:divBdr>
            <w:top w:val="none" w:sz="0" w:space="0" w:color="auto"/>
            <w:left w:val="none" w:sz="0" w:space="0" w:color="auto"/>
            <w:bottom w:val="none" w:sz="0" w:space="0" w:color="auto"/>
            <w:right w:val="none" w:sz="0" w:space="0" w:color="auto"/>
          </w:divBdr>
        </w:div>
        <w:div w:id="984967719">
          <w:marLeft w:val="0"/>
          <w:marRight w:val="0"/>
          <w:marTop w:val="0"/>
          <w:marBottom w:val="0"/>
          <w:divBdr>
            <w:top w:val="none" w:sz="0" w:space="0" w:color="auto"/>
            <w:left w:val="none" w:sz="0" w:space="0" w:color="auto"/>
            <w:bottom w:val="none" w:sz="0" w:space="0" w:color="auto"/>
            <w:right w:val="none" w:sz="0" w:space="0" w:color="auto"/>
          </w:divBdr>
        </w:div>
        <w:div w:id="2076969168">
          <w:marLeft w:val="0"/>
          <w:marRight w:val="0"/>
          <w:marTop w:val="0"/>
          <w:marBottom w:val="0"/>
          <w:divBdr>
            <w:top w:val="none" w:sz="0" w:space="0" w:color="auto"/>
            <w:left w:val="none" w:sz="0" w:space="0" w:color="auto"/>
            <w:bottom w:val="none" w:sz="0" w:space="0" w:color="auto"/>
            <w:right w:val="none" w:sz="0" w:space="0" w:color="auto"/>
          </w:divBdr>
        </w:div>
        <w:div w:id="719478469">
          <w:marLeft w:val="0"/>
          <w:marRight w:val="0"/>
          <w:marTop w:val="0"/>
          <w:marBottom w:val="0"/>
          <w:divBdr>
            <w:top w:val="none" w:sz="0" w:space="0" w:color="auto"/>
            <w:left w:val="none" w:sz="0" w:space="0" w:color="auto"/>
            <w:bottom w:val="none" w:sz="0" w:space="0" w:color="auto"/>
            <w:right w:val="none" w:sz="0" w:space="0" w:color="auto"/>
          </w:divBdr>
        </w:div>
        <w:div w:id="1079138914">
          <w:marLeft w:val="0"/>
          <w:marRight w:val="0"/>
          <w:marTop w:val="0"/>
          <w:marBottom w:val="0"/>
          <w:divBdr>
            <w:top w:val="none" w:sz="0" w:space="0" w:color="auto"/>
            <w:left w:val="none" w:sz="0" w:space="0" w:color="auto"/>
            <w:bottom w:val="none" w:sz="0" w:space="0" w:color="auto"/>
            <w:right w:val="none" w:sz="0" w:space="0" w:color="auto"/>
          </w:divBdr>
        </w:div>
        <w:div w:id="1935748098">
          <w:marLeft w:val="0"/>
          <w:marRight w:val="0"/>
          <w:marTop w:val="0"/>
          <w:marBottom w:val="0"/>
          <w:divBdr>
            <w:top w:val="none" w:sz="0" w:space="0" w:color="auto"/>
            <w:left w:val="none" w:sz="0" w:space="0" w:color="auto"/>
            <w:bottom w:val="none" w:sz="0" w:space="0" w:color="auto"/>
            <w:right w:val="none" w:sz="0" w:space="0" w:color="auto"/>
          </w:divBdr>
        </w:div>
        <w:div w:id="1811633095">
          <w:marLeft w:val="0"/>
          <w:marRight w:val="0"/>
          <w:marTop w:val="0"/>
          <w:marBottom w:val="0"/>
          <w:divBdr>
            <w:top w:val="none" w:sz="0" w:space="0" w:color="auto"/>
            <w:left w:val="none" w:sz="0" w:space="0" w:color="auto"/>
            <w:bottom w:val="none" w:sz="0" w:space="0" w:color="auto"/>
            <w:right w:val="none" w:sz="0" w:space="0" w:color="auto"/>
          </w:divBdr>
        </w:div>
        <w:div w:id="372732408">
          <w:marLeft w:val="0"/>
          <w:marRight w:val="0"/>
          <w:marTop w:val="0"/>
          <w:marBottom w:val="0"/>
          <w:divBdr>
            <w:top w:val="none" w:sz="0" w:space="0" w:color="auto"/>
            <w:left w:val="none" w:sz="0" w:space="0" w:color="auto"/>
            <w:bottom w:val="none" w:sz="0" w:space="0" w:color="auto"/>
            <w:right w:val="none" w:sz="0" w:space="0" w:color="auto"/>
          </w:divBdr>
        </w:div>
        <w:div w:id="1474132823">
          <w:marLeft w:val="0"/>
          <w:marRight w:val="0"/>
          <w:marTop w:val="0"/>
          <w:marBottom w:val="0"/>
          <w:divBdr>
            <w:top w:val="none" w:sz="0" w:space="0" w:color="auto"/>
            <w:left w:val="none" w:sz="0" w:space="0" w:color="auto"/>
            <w:bottom w:val="none" w:sz="0" w:space="0" w:color="auto"/>
            <w:right w:val="none" w:sz="0" w:space="0" w:color="auto"/>
          </w:divBdr>
        </w:div>
        <w:div w:id="1565137961">
          <w:marLeft w:val="0"/>
          <w:marRight w:val="0"/>
          <w:marTop w:val="0"/>
          <w:marBottom w:val="0"/>
          <w:divBdr>
            <w:top w:val="none" w:sz="0" w:space="0" w:color="auto"/>
            <w:left w:val="none" w:sz="0" w:space="0" w:color="auto"/>
            <w:bottom w:val="none" w:sz="0" w:space="0" w:color="auto"/>
            <w:right w:val="none" w:sz="0" w:space="0" w:color="auto"/>
          </w:divBdr>
        </w:div>
        <w:div w:id="1932276347">
          <w:marLeft w:val="0"/>
          <w:marRight w:val="0"/>
          <w:marTop w:val="0"/>
          <w:marBottom w:val="0"/>
          <w:divBdr>
            <w:top w:val="none" w:sz="0" w:space="0" w:color="auto"/>
            <w:left w:val="none" w:sz="0" w:space="0" w:color="auto"/>
            <w:bottom w:val="none" w:sz="0" w:space="0" w:color="auto"/>
            <w:right w:val="none" w:sz="0" w:space="0" w:color="auto"/>
          </w:divBdr>
        </w:div>
        <w:div w:id="936792045">
          <w:marLeft w:val="0"/>
          <w:marRight w:val="0"/>
          <w:marTop w:val="0"/>
          <w:marBottom w:val="0"/>
          <w:divBdr>
            <w:top w:val="none" w:sz="0" w:space="0" w:color="auto"/>
            <w:left w:val="none" w:sz="0" w:space="0" w:color="auto"/>
            <w:bottom w:val="none" w:sz="0" w:space="0" w:color="auto"/>
            <w:right w:val="none" w:sz="0" w:space="0" w:color="auto"/>
          </w:divBdr>
        </w:div>
        <w:div w:id="1546873662">
          <w:marLeft w:val="0"/>
          <w:marRight w:val="0"/>
          <w:marTop w:val="0"/>
          <w:marBottom w:val="0"/>
          <w:divBdr>
            <w:top w:val="none" w:sz="0" w:space="0" w:color="auto"/>
            <w:left w:val="none" w:sz="0" w:space="0" w:color="auto"/>
            <w:bottom w:val="none" w:sz="0" w:space="0" w:color="auto"/>
            <w:right w:val="none" w:sz="0" w:space="0" w:color="auto"/>
          </w:divBdr>
        </w:div>
        <w:div w:id="1319457242">
          <w:marLeft w:val="0"/>
          <w:marRight w:val="0"/>
          <w:marTop w:val="0"/>
          <w:marBottom w:val="0"/>
          <w:divBdr>
            <w:top w:val="none" w:sz="0" w:space="0" w:color="auto"/>
            <w:left w:val="none" w:sz="0" w:space="0" w:color="auto"/>
            <w:bottom w:val="none" w:sz="0" w:space="0" w:color="auto"/>
            <w:right w:val="none" w:sz="0" w:space="0" w:color="auto"/>
          </w:divBdr>
        </w:div>
        <w:div w:id="1180779566">
          <w:marLeft w:val="0"/>
          <w:marRight w:val="0"/>
          <w:marTop w:val="0"/>
          <w:marBottom w:val="0"/>
          <w:divBdr>
            <w:top w:val="none" w:sz="0" w:space="0" w:color="auto"/>
            <w:left w:val="none" w:sz="0" w:space="0" w:color="auto"/>
            <w:bottom w:val="none" w:sz="0" w:space="0" w:color="auto"/>
            <w:right w:val="none" w:sz="0" w:space="0" w:color="auto"/>
          </w:divBdr>
        </w:div>
        <w:div w:id="1559978541">
          <w:marLeft w:val="0"/>
          <w:marRight w:val="0"/>
          <w:marTop w:val="0"/>
          <w:marBottom w:val="0"/>
          <w:divBdr>
            <w:top w:val="none" w:sz="0" w:space="0" w:color="auto"/>
            <w:left w:val="none" w:sz="0" w:space="0" w:color="auto"/>
            <w:bottom w:val="none" w:sz="0" w:space="0" w:color="auto"/>
            <w:right w:val="none" w:sz="0" w:space="0" w:color="auto"/>
          </w:divBdr>
        </w:div>
        <w:div w:id="69621987">
          <w:marLeft w:val="0"/>
          <w:marRight w:val="0"/>
          <w:marTop w:val="0"/>
          <w:marBottom w:val="0"/>
          <w:divBdr>
            <w:top w:val="none" w:sz="0" w:space="0" w:color="auto"/>
            <w:left w:val="none" w:sz="0" w:space="0" w:color="auto"/>
            <w:bottom w:val="none" w:sz="0" w:space="0" w:color="auto"/>
            <w:right w:val="none" w:sz="0" w:space="0" w:color="auto"/>
          </w:divBdr>
        </w:div>
        <w:div w:id="692925638">
          <w:marLeft w:val="0"/>
          <w:marRight w:val="0"/>
          <w:marTop w:val="0"/>
          <w:marBottom w:val="0"/>
          <w:divBdr>
            <w:top w:val="none" w:sz="0" w:space="0" w:color="auto"/>
            <w:left w:val="none" w:sz="0" w:space="0" w:color="auto"/>
            <w:bottom w:val="none" w:sz="0" w:space="0" w:color="auto"/>
            <w:right w:val="none" w:sz="0" w:space="0" w:color="auto"/>
          </w:divBdr>
        </w:div>
        <w:div w:id="710034085">
          <w:marLeft w:val="0"/>
          <w:marRight w:val="0"/>
          <w:marTop w:val="0"/>
          <w:marBottom w:val="0"/>
          <w:divBdr>
            <w:top w:val="none" w:sz="0" w:space="0" w:color="auto"/>
            <w:left w:val="none" w:sz="0" w:space="0" w:color="auto"/>
            <w:bottom w:val="none" w:sz="0" w:space="0" w:color="auto"/>
            <w:right w:val="none" w:sz="0" w:space="0" w:color="auto"/>
          </w:divBdr>
        </w:div>
        <w:div w:id="1038969231">
          <w:marLeft w:val="0"/>
          <w:marRight w:val="0"/>
          <w:marTop w:val="0"/>
          <w:marBottom w:val="0"/>
          <w:divBdr>
            <w:top w:val="none" w:sz="0" w:space="0" w:color="auto"/>
            <w:left w:val="none" w:sz="0" w:space="0" w:color="auto"/>
            <w:bottom w:val="none" w:sz="0" w:space="0" w:color="auto"/>
            <w:right w:val="none" w:sz="0" w:space="0" w:color="auto"/>
          </w:divBdr>
        </w:div>
        <w:div w:id="921834957">
          <w:marLeft w:val="0"/>
          <w:marRight w:val="0"/>
          <w:marTop w:val="0"/>
          <w:marBottom w:val="0"/>
          <w:divBdr>
            <w:top w:val="none" w:sz="0" w:space="0" w:color="auto"/>
            <w:left w:val="none" w:sz="0" w:space="0" w:color="auto"/>
            <w:bottom w:val="none" w:sz="0" w:space="0" w:color="auto"/>
            <w:right w:val="none" w:sz="0" w:space="0" w:color="auto"/>
          </w:divBdr>
        </w:div>
        <w:div w:id="1933124392">
          <w:marLeft w:val="0"/>
          <w:marRight w:val="0"/>
          <w:marTop w:val="0"/>
          <w:marBottom w:val="0"/>
          <w:divBdr>
            <w:top w:val="none" w:sz="0" w:space="0" w:color="auto"/>
            <w:left w:val="none" w:sz="0" w:space="0" w:color="auto"/>
            <w:bottom w:val="none" w:sz="0" w:space="0" w:color="auto"/>
            <w:right w:val="none" w:sz="0" w:space="0" w:color="auto"/>
          </w:divBdr>
        </w:div>
        <w:div w:id="1140733404">
          <w:marLeft w:val="0"/>
          <w:marRight w:val="0"/>
          <w:marTop w:val="0"/>
          <w:marBottom w:val="0"/>
          <w:divBdr>
            <w:top w:val="none" w:sz="0" w:space="0" w:color="auto"/>
            <w:left w:val="none" w:sz="0" w:space="0" w:color="auto"/>
            <w:bottom w:val="none" w:sz="0" w:space="0" w:color="auto"/>
            <w:right w:val="none" w:sz="0" w:space="0" w:color="auto"/>
          </w:divBdr>
        </w:div>
        <w:div w:id="1201016849">
          <w:marLeft w:val="0"/>
          <w:marRight w:val="0"/>
          <w:marTop w:val="0"/>
          <w:marBottom w:val="0"/>
          <w:divBdr>
            <w:top w:val="none" w:sz="0" w:space="0" w:color="auto"/>
            <w:left w:val="none" w:sz="0" w:space="0" w:color="auto"/>
            <w:bottom w:val="none" w:sz="0" w:space="0" w:color="auto"/>
            <w:right w:val="none" w:sz="0" w:space="0" w:color="auto"/>
          </w:divBdr>
        </w:div>
        <w:div w:id="1907492282">
          <w:marLeft w:val="0"/>
          <w:marRight w:val="0"/>
          <w:marTop w:val="0"/>
          <w:marBottom w:val="0"/>
          <w:divBdr>
            <w:top w:val="none" w:sz="0" w:space="0" w:color="auto"/>
            <w:left w:val="none" w:sz="0" w:space="0" w:color="auto"/>
            <w:bottom w:val="none" w:sz="0" w:space="0" w:color="auto"/>
            <w:right w:val="none" w:sz="0" w:space="0" w:color="auto"/>
          </w:divBdr>
        </w:div>
        <w:div w:id="893588397">
          <w:marLeft w:val="0"/>
          <w:marRight w:val="0"/>
          <w:marTop w:val="0"/>
          <w:marBottom w:val="0"/>
          <w:divBdr>
            <w:top w:val="none" w:sz="0" w:space="0" w:color="auto"/>
            <w:left w:val="none" w:sz="0" w:space="0" w:color="auto"/>
            <w:bottom w:val="none" w:sz="0" w:space="0" w:color="auto"/>
            <w:right w:val="none" w:sz="0" w:space="0" w:color="auto"/>
          </w:divBdr>
        </w:div>
        <w:div w:id="1810709950">
          <w:marLeft w:val="0"/>
          <w:marRight w:val="0"/>
          <w:marTop w:val="0"/>
          <w:marBottom w:val="0"/>
          <w:divBdr>
            <w:top w:val="none" w:sz="0" w:space="0" w:color="auto"/>
            <w:left w:val="none" w:sz="0" w:space="0" w:color="auto"/>
            <w:bottom w:val="none" w:sz="0" w:space="0" w:color="auto"/>
            <w:right w:val="none" w:sz="0" w:space="0" w:color="auto"/>
          </w:divBdr>
        </w:div>
        <w:div w:id="853572739">
          <w:marLeft w:val="0"/>
          <w:marRight w:val="0"/>
          <w:marTop w:val="0"/>
          <w:marBottom w:val="0"/>
          <w:divBdr>
            <w:top w:val="none" w:sz="0" w:space="0" w:color="auto"/>
            <w:left w:val="none" w:sz="0" w:space="0" w:color="auto"/>
            <w:bottom w:val="none" w:sz="0" w:space="0" w:color="auto"/>
            <w:right w:val="none" w:sz="0" w:space="0" w:color="auto"/>
          </w:divBdr>
        </w:div>
        <w:div w:id="1684041744">
          <w:marLeft w:val="0"/>
          <w:marRight w:val="0"/>
          <w:marTop w:val="0"/>
          <w:marBottom w:val="0"/>
          <w:divBdr>
            <w:top w:val="none" w:sz="0" w:space="0" w:color="auto"/>
            <w:left w:val="none" w:sz="0" w:space="0" w:color="auto"/>
            <w:bottom w:val="none" w:sz="0" w:space="0" w:color="auto"/>
            <w:right w:val="none" w:sz="0" w:space="0" w:color="auto"/>
          </w:divBdr>
        </w:div>
        <w:div w:id="1264144808">
          <w:marLeft w:val="0"/>
          <w:marRight w:val="0"/>
          <w:marTop w:val="0"/>
          <w:marBottom w:val="0"/>
          <w:divBdr>
            <w:top w:val="none" w:sz="0" w:space="0" w:color="auto"/>
            <w:left w:val="none" w:sz="0" w:space="0" w:color="auto"/>
            <w:bottom w:val="none" w:sz="0" w:space="0" w:color="auto"/>
            <w:right w:val="none" w:sz="0" w:space="0" w:color="auto"/>
          </w:divBdr>
        </w:div>
        <w:div w:id="885797292">
          <w:marLeft w:val="0"/>
          <w:marRight w:val="0"/>
          <w:marTop w:val="0"/>
          <w:marBottom w:val="0"/>
          <w:divBdr>
            <w:top w:val="none" w:sz="0" w:space="0" w:color="auto"/>
            <w:left w:val="none" w:sz="0" w:space="0" w:color="auto"/>
            <w:bottom w:val="none" w:sz="0" w:space="0" w:color="auto"/>
            <w:right w:val="none" w:sz="0" w:space="0" w:color="auto"/>
          </w:divBdr>
        </w:div>
        <w:div w:id="795373206">
          <w:marLeft w:val="0"/>
          <w:marRight w:val="0"/>
          <w:marTop w:val="0"/>
          <w:marBottom w:val="0"/>
          <w:divBdr>
            <w:top w:val="none" w:sz="0" w:space="0" w:color="auto"/>
            <w:left w:val="none" w:sz="0" w:space="0" w:color="auto"/>
            <w:bottom w:val="none" w:sz="0" w:space="0" w:color="auto"/>
            <w:right w:val="none" w:sz="0" w:space="0" w:color="auto"/>
          </w:divBdr>
        </w:div>
        <w:div w:id="462234421">
          <w:marLeft w:val="0"/>
          <w:marRight w:val="0"/>
          <w:marTop w:val="0"/>
          <w:marBottom w:val="0"/>
          <w:divBdr>
            <w:top w:val="none" w:sz="0" w:space="0" w:color="auto"/>
            <w:left w:val="none" w:sz="0" w:space="0" w:color="auto"/>
            <w:bottom w:val="none" w:sz="0" w:space="0" w:color="auto"/>
            <w:right w:val="none" w:sz="0" w:space="0" w:color="auto"/>
          </w:divBdr>
        </w:div>
        <w:div w:id="989022665">
          <w:marLeft w:val="0"/>
          <w:marRight w:val="0"/>
          <w:marTop w:val="0"/>
          <w:marBottom w:val="0"/>
          <w:divBdr>
            <w:top w:val="none" w:sz="0" w:space="0" w:color="auto"/>
            <w:left w:val="none" w:sz="0" w:space="0" w:color="auto"/>
            <w:bottom w:val="none" w:sz="0" w:space="0" w:color="auto"/>
            <w:right w:val="none" w:sz="0" w:space="0" w:color="auto"/>
          </w:divBdr>
        </w:div>
        <w:div w:id="1297301319">
          <w:marLeft w:val="0"/>
          <w:marRight w:val="0"/>
          <w:marTop w:val="0"/>
          <w:marBottom w:val="0"/>
          <w:divBdr>
            <w:top w:val="none" w:sz="0" w:space="0" w:color="auto"/>
            <w:left w:val="none" w:sz="0" w:space="0" w:color="auto"/>
            <w:bottom w:val="none" w:sz="0" w:space="0" w:color="auto"/>
            <w:right w:val="none" w:sz="0" w:space="0" w:color="auto"/>
          </w:divBdr>
        </w:div>
        <w:div w:id="357437650">
          <w:marLeft w:val="0"/>
          <w:marRight w:val="0"/>
          <w:marTop w:val="0"/>
          <w:marBottom w:val="0"/>
          <w:divBdr>
            <w:top w:val="none" w:sz="0" w:space="0" w:color="auto"/>
            <w:left w:val="none" w:sz="0" w:space="0" w:color="auto"/>
            <w:bottom w:val="none" w:sz="0" w:space="0" w:color="auto"/>
            <w:right w:val="none" w:sz="0" w:space="0" w:color="auto"/>
          </w:divBdr>
        </w:div>
        <w:div w:id="1694720713">
          <w:marLeft w:val="0"/>
          <w:marRight w:val="0"/>
          <w:marTop w:val="0"/>
          <w:marBottom w:val="0"/>
          <w:divBdr>
            <w:top w:val="none" w:sz="0" w:space="0" w:color="auto"/>
            <w:left w:val="none" w:sz="0" w:space="0" w:color="auto"/>
            <w:bottom w:val="none" w:sz="0" w:space="0" w:color="auto"/>
            <w:right w:val="none" w:sz="0" w:space="0" w:color="auto"/>
          </w:divBdr>
        </w:div>
        <w:div w:id="1833984467">
          <w:marLeft w:val="0"/>
          <w:marRight w:val="0"/>
          <w:marTop w:val="0"/>
          <w:marBottom w:val="0"/>
          <w:divBdr>
            <w:top w:val="none" w:sz="0" w:space="0" w:color="auto"/>
            <w:left w:val="none" w:sz="0" w:space="0" w:color="auto"/>
            <w:bottom w:val="none" w:sz="0" w:space="0" w:color="auto"/>
            <w:right w:val="none" w:sz="0" w:space="0" w:color="auto"/>
          </w:divBdr>
        </w:div>
        <w:div w:id="2097360262">
          <w:marLeft w:val="0"/>
          <w:marRight w:val="0"/>
          <w:marTop w:val="0"/>
          <w:marBottom w:val="0"/>
          <w:divBdr>
            <w:top w:val="none" w:sz="0" w:space="0" w:color="auto"/>
            <w:left w:val="none" w:sz="0" w:space="0" w:color="auto"/>
            <w:bottom w:val="none" w:sz="0" w:space="0" w:color="auto"/>
            <w:right w:val="none" w:sz="0" w:space="0" w:color="auto"/>
          </w:divBdr>
        </w:div>
        <w:div w:id="1929463816">
          <w:marLeft w:val="0"/>
          <w:marRight w:val="0"/>
          <w:marTop w:val="0"/>
          <w:marBottom w:val="0"/>
          <w:divBdr>
            <w:top w:val="none" w:sz="0" w:space="0" w:color="auto"/>
            <w:left w:val="none" w:sz="0" w:space="0" w:color="auto"/>
            <w:bottom w:val="none" w:sz="0" w:space="0" w:color="auto"/>
            <w:right w:val="none" w:sz="0" w:space="0" w:color="auto"/>
          </w:divBdr>
        </w:div>
        <w:div w:id="2131168893">
          <w:marLeft w:val="0"/>
          <w:marRight w:val="0"/>
          <w:marTop w:val="0"/>
          <w:marBottom w:val="0"/>
          <w:divBdr>
            <w:top w:val="none" w:sz="0" w:space="0" w:color="auto"/>
            <w:left w:val="none" w:sz="0" w:space="0" w:color="auto"/>
            <w:bottom w:val="none" w:sz="0" w:space="0" w:color="auto"/>
            <w:right w:val="none" w:sz="0" w:space="0" w:color="auto"/>
          </w:divBdr>
        </w:div>
        <w:div w:id="1849975702">
          <w:marLeft w:val="0"/>
          <w:marRight w:val="0"/>
          <w:marTop w:val="0"/>
          <w:marBottom w:val="0"/>
          <w:divBdr>
            <w:top w:val="none" w:sz="0" w:space="0" w:color="auto"/>
            <w:left w:val="none" w:sz="0" w:space="0" w:color="auto"/>
            <w:bottom w:val="none" w:sz="0" w:space="0" w:color="auto"/>
            <w:right w:val="none" w:sz="0" w:space="0" w:color="auto"/>
          </w:divBdr>
        </w:div>
        <w:div w:id="648561865">
          <w:marLeft w:val="0"/>
          <w:marRight w:val="0"/>
          <w:marTop w:val="0"/>
          <w:marBottom w:val="0"/>
          <w:divBdr>
            <w:top w:val="none" w:sz="0" w:space="0" w:color="auto"/>
            <w:left w:val="none" w:sz="0" w:space="0" w:color="auto"/>
            <w:bottom w:val="none" w:sz="0" w:space="0" w:color="auto"/>
            <w:right w:val="none" w:sz="0" w:space="0" w:color="auto"/>
          </w:divBdr>
        </w:div>
        <w:div w:id="1835679125">
          <w:marLeft w:val="0"/>
          <w:marRight w:val="0"/>
          <w:marTop w:val="0"/>
          <w:marBottom w:val="0"/>
          <w:divBdr>
            <w:top w:val="none" w:sz="0" w:space="0" w:color="auto"/>
            <w:left w:val="none" w:sz="0" w:space="0" w:color="auto"/>
            <w:bottom w:val="none" w:sz="0" w:space="0" w:color="auto"/>
            <w:right w:val="none" w:sz="0" w:space="0" w:color="auto"/>
          </w:divBdr>
        </w:div>
        <w:div w:id="614405482">
          <w:marLeft w:val="0"/>
          <w:marRight w:val="0"/>
          <w:marTop w:val="0"/>
          <w:marBottom w:val="0"/>
          <w:divBdr>
            <w:top w:val="none" w:sz="0" w:space="0" w:color="auto"/>
            <w:left w:val="none" w:sz="0" w:space="0" w:color="auto"/>
            <w:bottom w:val="none" w:sz="0" w:space="0" w:color="auto"/>
            <w:right w:val="none" w:sz="0" w:space="0" w:color="auto"/>
          </w:divBdr>
        </w:div>
        <w:div w:id="339507738">
          <w:marLeft w:val="0"/>
          <w:marRight w:val="0"/>
          <w:marTop w:val="0"/>
          <w:marBottom w:val="0"/>
          <w:divBdr>
            <w:top w:val="none" w:sz="0" w:space="0" w:color="auto"/>
            <w:left w:val="none" w:sz="0" w:space="0" w:color="auto"/>
            <w:bottom w:val="none" w:sz="0" w:space="0" w:color="auto"/>
            <w:right w:val="none" w:sz="0" w:space="0" w:color="auto"/>
          </w:divBdr>
        </w:div>
        <w:div w:id="191963125">
          <w:marLeft w:val="0"/>
          <w:marRight w:val="0"/>
          <w:marTop w:val="0"/>
          <w:marBottom w:val="0"/>
          <w:divBdr>
            <w:top w:val="none" w:sz="0" w:space="0" w:color="auto"/>
            <w:left w:val="none" w:sz="0" w:space="0" w:color="auto"/>
            <w:bottom w:val="none" w:sz="0" w:space="0" w:color="auto"/>
            <w:right w:val="none" w:sz="0" w:space="0" w:color="auto"/>
          </w:divBdr>
        </w:div>
        <w:div w:id="501504530">
          <w:marLeft w:val="0"/>
          <w:marRight w:val="0"/>
          <w:marTop w:val="0"/>
          <w:marBottom w:val="0"/>
          <w:divBdr>
            <w:top w:val="none" w:sz="0" w:space="0" w:color="auto"/>
            <w:left w:val="none" w:sz="0" w:space="0" w:color="auto"/>
            <w:bottom w:val="none" w:sz="0" w:space="0" w:color="auto"/>
            <w:right w:val="none" w:sz="0" w:space="0" w:color="auto"/>
          </w:divBdr>
        </w:div>
        <w:div w:id="2081322654">
          <w:marLeft w:val="0"/>
          <w:marRight w:val="0"/>
          <w:marTop w:val="0"/>
          <w:marBottom w:val="0"/>
          <w:divBdr>
            <w:top w:val="none" w:sz="0" w:space="0" w:color="auto"/>
            <w:left w:val="none" w:sz="0" w:space="0" w:color="auto"/>
            <w:bottom w:val="none" w:sz="0" w:space="0" w:color="auto"/>
            <w:right w:val="none" w:sz="0" w:space="0" w:color="auto"/>
          </w:divBdr>
        </w:div>
        <w:div w:id="604846666">
          <w:marLeft w:val="0"/>
          <w:marRight w:val="0"/>
          <w:marTop w:val="0"/>
          <w:marBottom w:val="0"/>
          <w:divBdr>
            <w:top w:val="none" w:sz="0" w:space="0" w:color="auto"/>
            <w:left w:val="none" w:sz="0" w:space="0" w:color="auto"/>
            <w:bottom w:val="none" w:sz="0" w:space="0" w:color="auto"/>
            <w:right w:val="none" w:sz="0" w:space="0" w:color="auto"/>
          </w:divBdr>
        </w:div>
        <w:div w:id="992561229">
          <w:marLeft w:val="0"/>
          <w:marRight w:val="0"/>
          <w:marTop w:val="0"/>
          <w:marBottom w:val="0"/>
          <w:divBdr>
            <w:top w:val="none" w:sz="0" w:space="0" w:color="auto"/>
            <w:left w:val="none" w:sz="0" w:space="0" w:color="auto"/>
            <w:bottom w:val="none" w:sz="0" w:space="0" w:color="auto"/>
            <w:right w:val="none" w:sz="0" w:space="0" w:color="auto"/>
          </w:divBdr>
        </w:div>
        <w:div w:id="1087926811">
          <w:marLeft w:val="0"/>
          <w:marRight w:val="0"/>
          <w:marTop w:val="0"/>
          <w:marBottom w:val="0"/>
          <w:divBdr>
            <w:top w:val="none" w:sz="0" w:space="0" w:color="auto"/>
            <w:left w:val="none" w:sz="0" w:space="0" w:color="auto"/>
            <w:bottom w:val="none" w:sz="0" w:space="0" w:color="auto"/>
            <w:right w:val="none" w:sz="0" w:space="0" w:color="auto"/>
          </w:divBdr>
        </w:div>
        <w:div w:id="344282182">
          <w:marLeft w:val="0"/>
          <w:marRight w:val="0"/>
          <w:marTop w:val="0"/>
          <w:marBottom w:val="0"/>
          <w:divBdr>
            <w:top w:val="none" w:sz="0" w:space="0" w:color="auto"/>
            <w:left w:val="none" w:sz="0" w:space="0" w:color="auto"/>
            <w:bottom w:val="none" w:sz="0" w:space="0" w:color="auto"/>
            <w:right w:val="none" w:sz="0" w:space="0" w:color="auto"/>
          </w:divBdr>
        </w:div>
        <w:div w:id="586889473">
          <w:marLeft w:val="0"/>
          <w:marRight w:val="0"/>
          <w:marTop w:val="0"/>
          <w:marBottom w:val="0"/>
          <w:divBdr>
            <w:top w:val="none" w:sz="0" w:space="0" w:color="auto"/>
            <w:left w:val="none" w:sz="0" w:space="0" w:color="auto"/>
            <w:bottom w:val="none" w:sz="0" w:space="0" w:color="auto"/>
            <w:right w:val="none" w:sz="0" w:space="0" w:color="auto"/>
          </w:divBdr>
        </w:div>
        <w:div w:id="1785423149">
          <w:marLeft w:val="0"/>
          <w:marRight w:val="0"/>
          <w:marTop w:val="0"/>
          <w:marBottom w:val="0"/>
          <w:divBdr>
            <w:top w:val="none" w:sz="0" w:space="0" w:color="auto"/>
            <w:left w:val="none" w:sz="0" w:space="0" w:color="auto"/>
            <w:bottom w:val="none" w:sz="0" w:space="0" w:color="auto"/>
            <w:right w:val="none" w:sz="0" w:space="0" w:color="auto"/>
          </w:divBdr>
        </w:div>
        <w:div w:id="125317889">
          <w:marLeft w:val="0"/>
          <w:marRight w:val="0"/>
          <w:marTop w:val="0"/>
          <w:marBottom w:val="0"/>
          <w:divBdr>
            <w:top w:val="none" w:sz="0" w:space="0" w:color="auto"/>
            <w:left w:val="none" w:sz="0" w:space="0" w:color="auto"/>
            <w:bottom w:val="none" w:sz="0" w:space="0" w:color="auto"/>
            <w:right w:val="none" w:sz="0" w:space="0" w:color="auto"/>
          </w:divBdr>
        </w:div>
        <w:div w:id="1023944932">
          <w:marLeft w:val="0"/>
          <w:marRight w:val="0"/>
          <w:marTop w:val="0"/>
          <w:marBottom w:val="0"/>
          <w:divBdr>
            <w:top w:val="none" w:sz="0" w:space="0" w:color="auto"/>
            <w:left w:val="none" w:sz="0" w:space="0" w:color="auto"/>
            <w:bottom w:val="none" w:sz="0" w:space="0" w:color="auto"/>
            <w:right w:val="none" w:sz="0" w:space="0" w:color="auto"/>
          </w:divBdr>
        </w:div>
        <w:div w:id="1333339505">
          <w:marLeft w:val="0"/>
          <w:marRight w:val="0"/>
          <w:marTop w:val="0"/>
          <w:marBottom w:val="0"/>
          <w:divBdr>
            <w:top w:val="none" w:sz="0" w:space="0" w:color="auto"/>
            <w:left w:val="none" w:sz="0" w:space="0" w:color="auto"/>
            <w:bottom w:val="none" w:sz="0" w:space="0" w:color="auto"/>
            <w:right w:val="none" w:sz="0" w:space="0" w:color="auto"/>
          </w:divBdr>
        </w:div>
        <w:div w:id="1986615557">
          <w:marLeft w:val="0"/>
          <w:marRight w:val="0"/>
          <w:marTop w:val="0"/>
          <w:marBottom w:val="0"/>
          <w:divBdr>
            <w:top w:val="none" w:sz="0" w:space="0" w:color="auto"/>
            <w:left w:val="none" w:sz="0" w:space="0" w:color="auto"/>
            <w:bottom w:val="none" w:sz="0" w:space="0" w:color="auto"/>
            <w:right w:val="none" w:sz="0" w:space="0" w:color="auto"/>
          </w:divBdr>
        </w:div>
        <w:div w:id="1154687035">
          <w:marLeft w:val="0"/>
          <w:marRight w:val="0"/>
          <w:marTop w:val="0"/>
          <w:marBottom w:val="0"/>
          <w:divBdr>
            <w:top w:val="none" w:sz="0" w:space="0" w:color="auto"/>
            <w:left w:val="none" w:sz="0" w:space="0" w:color="auto"/>
            <w:bottom w:val="none" w:sz="0" w:space="0" w:color="auto"/>
            <w:right w:val="none" w:sz="0" w:space="0" w:color="auto"/>
          </w:divBdr>
        </w:div>
        <w:div w:id="68620344">
          <w:marLeft w:val="0"/>
          <w:marRight w:val="0"/>
          <w:marTop w:val="0"/>
          <w:marBottom w:val="0"/>
          <w:divBdr>
            <w:top w:val="none" w:sz="0" w:space="0" w:color="auto"/>
            <w:left w:val="none" w:sz="0" w:space="0" w:color="auto"/>
            <w:bottom w:val="none" w:sz="0" w:space="0" w:color="auto"/>
            <w:right w:val="none" w:sz="0" w:space="0" w:color="auto"/>
          </w:divBdr>
        </w:div>
        <w:div w:id="842429129">
          <w:marLeft w:val="0"/>
          <w:marRight w:val="0"/>
          <w:marTop w:val="0"/>
          <w:marBottom w:val="0"/>
          <w:divBdr>
            <w:top w:val="none" w:sz="0" w:space="0" w:color="auto"/>
            <w:left w:val="none" w:sz="0" w:space="0" w:color="auto"/>
            <w:bottom w:val="none" w:sz="0" w:space="0" w:color="auto"/>
            <w:right w:val="none" w:sz="0" w:space="0" w:color="auto"/>
          </w:divBdr>
        </w:div>
        <w:div w:id="784543036">
          <w:marLeft w:val="0"/>
          <w:marRight w:val="0"/>
          <w:marTop w:val="0"/>
          <w:marBottom w:val="0"/>
          <w:divBdr>
            <w:top w:val="none" w:sz="0" w:space="0" w:color="auto"/>
            <w:left w:val="none" w:sz="0" w:space="0" w:color="auto"/>
            <w:bottom w:val="none" w:sz="0" w:space="0" w:color="auto"/>
            <w:right w:val="none" w:sz="0" w:space="0" w:color="auto"/>
          </w:divBdr>
        </w:div>
        <w:div w:id="1571387711">
          <w:marLeft w:val="0"/>
          <w:marRight w:val="0"/>
          <w:marTop w:val="0"/>
          <w:marBottom w:val="0"/>
          <w:divBdr>
            <w:top w:val="none" w:sz="0" w:space="0" w:color="auto"/>
            <w:left w:val="none" w:sz="0" w:space="0" w:color="auto"/>
            <w:bottom w:val="none" w:sz="0" w:space="0" w:color="auto"/>
            <w:right w:val="none" w:sz="0" w:space="0" w:color="auto"/>
          </w:divBdr>
        </w:div>
        <w:div w:id="158082539">
          <w:marLeft w:val="0"/>
          <w:marRight w:val="0"/>
          <w:marTop w:val="0"/>
          <w:marBottom w:val="0"/>
          <w:divBdr>
            <w:top w:val="none" w:sz="0" w:space="0" w:color="auto"/>
            <w:left w:val="none" w:sz="0" w:space="0" w:color="auto"/>
            <w:bottom w:val="none" w:sz="0" w:space="0" w:color="auto"/>
            <w:right w:val="none" w:sz="0" w:space="0" w:color="auto"/>
          </w:divBdr>
        </w:div>
        <w:div w:id="1200439604">
          <w:marLeft w:val="0"/>
          <w:marRight w:val="0"/>
          <w:marTop w:val="0"/>
          <w:marBottom w:val="0"/>
          <w:divBdr>
            <w:top w:val="none" w:sz="0" w:space="0" w:color="auto"/>
            <w:left w:val="none" w:sz="0" w:space="0" w:color="auto"/>
            <w:bottom w:val="none" w:sz="0" w:space="0" w:color="auto"/>
            <w:right w:val="none" w:sz="0" w:space="0" w:color="auto"/>
          </w:divBdr>
        </w:div>
        <w:div w:id="2038776448">
          <w:marLeft w:val="0"/>
          <w:marRight w:val="0"/>
          <w:marTop w:val="0"/>
          <w:marBottom w:val="0"/>
          <w:divBdr>
            <w:top w:val="none" w:sz="0" w:space="0" w:color="auto"/>
            <w:left w:val="none" w:sz="0" w:space="0" w:color="auto"/>
            <w:bottom w:val="none" w:sz="0" w:space="0" w:color="auto"/>
            <w:right w:val="none" w:sz="0" w:space="0" w:color="auto"/>
          </w:divBdr>
        </w:div>
        <w:div w:id="826477157">
          <w:marLeft w:val="0"/>
          <w:marRight w:val="0"/>
          <w:marTop w:val="0"/>
          <w:marBottom w:val="0"/>
          <w:divBdr>
            <w:top w:val="none" w:sz="0" w:space="0" w:color="auto"/>
            <w:left w:val="none" w:sz="0" w:space="0" w:color="auto"/>
            <w:bottom w:val="none" w:sz="0" w:space="0" w:color="auto"/>
            <w:right w:val="none" w:sz="0" w:space="0" w:color="auto"/>
          </w:divBdr>
        </w:div>
        <w:div w:id="1054739233">
          <w:marLeft w:val="0"/>
          <w:marRight w:val="0"/>
          <w:marTop w:val="0"/>
          <w:marBottom w:val="0"/>
          <w:divBdr>
            <w:top w:val="none" w:sz="0" w:space="0" w:color="auto"/>
            <w:left w:val="none" w:sz="0" w:space="0" w:color="auto"/>
            <w:bottom w:val="none" w:sz="0" w:space="0" w:color="auto"/>
            <w:right w:val="none" w:sz="0" w:space="0" w:color="auto"/>
          </w:divBdr>
        </w:div>
        <w:div w:id="1805927825">
          <w:marLeft w:val="0"/>
          <w:marRight w:val="0"/>
          <w:marTop w:val="0"/>
          <w:marBottom w:val="0"/>
          <w:divBdr>
            <w:top w:val="none" w:sz="0" w:space="0" w:color="auto"/>
            <w:left w:val="none" w:sz="0" w:space="0" w:color="auto"/>
            <w:bottom w:val="none" w:sz="0" w:space="0" w:color="auto"/>
            <w:right w:val="none" w:sz="0" w:space="0" w:color="auto"/>
          </w:divBdr>
        </w:div>
        <w:div w:id="2046053286">
          <w:marLeft w:val="0"/>
          <w:marRight w:val="0"/>
          <w:marTop w:val="0"/>
          <w:marBottom w:val="0"/>
          <w:divBdr>
            <w:top w:val="none" w:sz="0" w:space="0" w:color="auto"/>
            <w:left w:val="none" w:sz="0" w:space="0" w:color="auto"/>
            <w:bottom w:val="none" w:sz="0" w:space="0" w:color="auto"/>
            <w:right w:val="none" w:sz="0" w:space="0" w:color="auto"/>
          </w:divBdr>
        </w:div>
        <w:div w:id="1031301367">
          <w:marLeft w:val="0"/>
          <w:marRight w:val="0"/>
          <w:marTop w:val="0"/>
          <w:marBottom w:val="0"/>
          <w:divBdr>
            <w:top w:val="none" w:sz="0" w:space="0" w:color="auto"/>
            <w:left w:val="none" w:sz="0" w:space="0" w:color="auto"/>
            <w:bottom w:val="none" w:sz="0" w:space="0" w:color="auto"/>
            <w:right w:val="none" w:sz="0" w:space="0" w:color="auto"/>
          </w:divBdr>
        </w:div>
        <w:div w:id="2133353817">
          <w:marLeft w:val="0"/>
          <w:marRight w:val="0"/>
          <w:marTop w:val="0"/>
          <w:marBottom w:val="0"/>
          <w:divBdr>
            <w:top w:val="none" w:sz="0" w:space="0" w:color="auto"/>
            <w:left w:val="none" w:sz="0" w:space="0" w:color="auto"/>
            <w:bottom w:val="none" w:sz="0" w:space="0" w:color="auto"/>
            <w:right w:val="none" w:sz="0" w:space="0" w:color="auto"/>
          </w:divBdr>
        </w:div>
        <w:div w:id="459761035">
          <w:marLeft w:val="0"/>
          <w:marRight w:val="0"/>
          <w:marTop w:val="0"/>
          <w:marBottom w:val="0"/>
          <w:divBdr>
            <w:top w:val="none" w:sz="0" w:space="0" w:color="auto"/>
            <w:left w:val="none" w:sz="0" w:space="0" w:color="auto"/>
            <w:bottom w:val="none" w:sz="0" w:space="0" w:color="auto"/>
            <w:right w:val="none" w:sz="0" w:space="0" w:color="auto"/>
          </w:divBdr>
        </w:div>
        <w:div w:id="818418995">
          <w:marLeft w:val="0"/>
          <w:marRight w:val="0"/>
          <w:marTop w:val="0"/>
          <w:marBottom w:val="0"/>
          <w:divBdr>
            <w:top w:val="none" w:sz="0" w:space="0" w:color="auto"/>
            <w:left w:val="none" w:sz="0" w:space="0" w:color="auto"/>
            <w:bottom w:val="none" w:sz="0" w:space="0" w:color="auto"/>
            <w:right w:val="none" w:sz="0" w:space="0" w:color="auto"/>
          </w:divBdr>
        </w:div>
        <w:div w:id="1195118298">
          <w:marLeft w:val="0"/>
          <w:marRight w:val="0"/>
          <w:marTop w:val="0"/>
          <w:marBottom w:val="0"/>
          <w:divBdr>
            <w:top w:val="none" w:sz="0" w:space="0" w:color="auto"/>
            <w:left w:val="none" w:sz="0" w:space="0" w:color="auto"/>
            <w:bottom w:val="none" w:sz="0" w:space="0" w:color="auto"/>
            <w:right w:val="none" w:sz="0" w:space="0" w:color="auto"/>
          </w:divBdr>
        </w:div>
        <w:div w:id="1184441802">
          <w:marLeft w:val="0"/>
          <w:marRight w:val="0"/>
          <w:marTop w:val="0"/>
          <w:marBottom w:val="0"/>
          <w:divBdr>
            <w:top w:val="none" w:sz="0" w:space="0" w:color="auto"/>
            <w:left w:val="none" w:sz="0" w:space="0" w:color="auto"/>
            <w:bottom w:val="none" w:sz="0" w:space="0" w:color="auto"/>
            <w:right w:val="none" w:sz="0" w:space="0" w:color="auto"/>
          </w:divBdr>
        </w:div>
        <w:div w:id="1499611838">
          <w:marLeft w:val="0"/>
          <w:marRight w:val="0"/>
          <w:marTop w:val="0"/>
          <w:marBottom w:val="0"/>
          <w:divBdr>
            <w:top w:val="none" w:sz="0" w:space="0" w:color="auto"/>
            <w:left w:val="none" w:sz="0" w:space="0" w:color="auto"/>
            <w:bottom w:val="none" w:sz="0" w:space="0" w:color="auto"/>
            <w:right w:val="none" w:sz="0" w:space="0" w:color="auto"/>
          </w:divBdr>
        </w:div>
        <w:div w:id="396027">
          <w:marLeft w:val="0"/>
          <w:marRight w:val="0"/>
          <w:marTop w:val="0"/>
          <w:marBottom w:val="0"/>
          <w:divBdr>
            <w:top w:val="none" w:sz="0" w:space="0" w:color="auto"/>
            <w:left w:val="none" w:sz="0" w:space="0" w:color="auto"/>
            <w:bottom w:val="none" w:sz="0" w:space="0" w:color="auto"/>
            <w:right w:val="none" w:sz="0" w:space="0" w:color="auto"/>
          </w:divBdr>
        </w:div>
        <w:div w:id="1082294009">
          <w:marLeft w:val="0"/>
          <w:marRight w:val="0"/>
          <w:marTop w:val="0"/>
          <w:marBottom w:val="0"/>
          <w:divBdr>
            <w:top w:val="none" w:sz="0" w:space="0" w:color="auto"/>
            <w:left w:val="none" w:sz="0" w:space="0" w:color="auto"/>
            <w:bottom w:val="none" w:sz="0" w:space="0" w:color="auto"/>
            <w:right w:val="none" w:sz="0" w:space="0" w:color="auto"/>
          </w:divBdr>
        </w:div>
        <w:div w:id="1307082511">
          <w:marLeft w:val="0"/>
          <w:marRight w:val="0"/>
          <w:marTop w:val="0"/>
          <w:marBottom w:val="0"/>
          <w:divBdr>
            <w:top w:val="none" w:sz="0" w:space="0" w:color="auto"/>
            <w:left w:val="none" w:sz="0" w:space="0" w:color="auto"/>
            <w:bottom w:val="none" w:sz="0" w:space="0" w:color="auto"/>
            <w:right w:val="none" w:sz="0" w:space="0" w:color="auto"/>
          </w:divBdr>
        </w:div>
        <w:div w:id="285938459">
          <w:marLeft w:val="0"/>
          <w:marRight w:val="0"/>
          <w:marTop w:val="0"/>
          <w:marBottom w:val="0"/>
          <w:divBdr>
            <w:top w:val="none" w:sz="0" w:space="0" w:color="auto"/>
            <w:left w:val="none" w:sz="0" w:space="0" w:color="auto"/>
            <w:bottom w:val="none" w:sz="0" w:space="0" w:color="auto"/>
            <w:right w:val="none" w:sz="0" w:space="0" w:color="auto"/>
          </w:divBdr>
        </w:div>
        <w:div w:id="1843273827">
          <w:marLeft w:val="0"/>
          <w:marRight w:val="0"/>
          <w:marTop w:val="0"/>
          <w:marBottom w:val="0"/>
          <w:divBdr>
            <w:top w:val="none" w:sz="0" w:space="0" w:color="auto"/>
            <w:left w:val="none" w:sz="0" w:space="0" w:color="auto"/>
            <w:bottom w:val="none" w:sz="0" w:space="0" w:color="auto"/>
            <w:right w:val="none" w:sz="0" w:space="0" w:color="auto"/>
          </w:divBdr>
        </w:div>
        <w:div w:id="191462570">
          <w:marLeft w:val="0"/>
          <w:marRight w:val="0"/>
          <w:marTop w:val="0"/>
          <w:marBottom w:val="0"/>
          <w:divBdr>
            <w:top w:val="none" w:sz="0" w:space="0" w:color="auto"/>
            <w:left w:val="none" w:sz="0" w:space="0" w:color="auto"/>
            <w:bottom w:val="none" w:sz="0" w:space="0" w:color="auto"/>
            <w:right w:val="none" w:sz="0" w:space="0" w:color="auto"/>
          </w:divBdr>
        </w:div>
        <w:div w:id="830634911">
          <w:marLeft w:val="0"/>
          <w:marRight w:val="0"/>
          <w:marTop w:val="0"/>
          <w:marBottom w:val="0"/>
          <w:divBdr>
            <w:top w:val="none" w:sz="0" w:space="0" w:color="auto"/>
            <w:left w:val="none" w:sz="0" w:space="0" w:color="auto"/>
            <w:bottom w:val="none" w:sz="0" w:space="0" w:color="auto"/>
            <w:right w:val="none" w:sz="0" w:space="0" w:color="auto"/>
          </w:divBdr>
        </w:div>
        <w:div w:id="749810199">
          <w:marLeft w:val="0"/>
          <w:marRight w:val="0"/>
          <w:marTop w:val="0"/>
          <w:marBottom w:val="0"/>
          <w:divBdr>
            <w:top w:val="none" w:sz="0" w:space="0" w:color="auto"/>
            <w:left w:val="none" w:sz="0" w:space="0" w:color="auto"/>
            <w:bottom w:val="none" w:sz="0" w:space="0" w:color="auto"/>
            <w:right w:val="none" w:sz="0" w:space="0" w:color="auto"/>
          </w:divBdr>
        </w:div>
        <w:div w:id="922225746">
          <w:marLeft w:val="0"/>
          <w:marRight w:val="0"/>
          <w:marTop w:val="0"/>
          <w:marBottom w:val="0"/>
          <w:divBdr>
            <w:top w:val="none" w:sz="0" w:space="0" w:color="auto"/>
            <w:left w:val="none" w:sz="0" w:space="0" w:color="auto"/>
            <w:bottom w:val="none" w:sz="0" w:space="0" w:color="auto"/>
            <w:right w:val="none" w:sz="0" w:space="0" w:color="auto"/>
          </w:divBdr>
        </w:div>
        <w:div w:id="731847494">
          <w:marLeft w:val="0"/>
          <w:marRight w:val="0"/>
          <w:marTop w:val="0"/>
          <w:marBottom w:val="0"/>
          <w:divBdr>
            <w:top w:val="none" w:sz="0" w:space="0" w:color="auto"/>
            <w:left w:val="none" w:sz="0" w:space="0" w:color="auto"/>
            <w:bottom w:val="none" w:sz="0" w:space="0" w:color="auto"/>
            <w:right w:val="none" w:sz="0" w:space="0" w:color="auto"/>
          </w:divBdr>
        </w:div>
        <w:div w:id="1567958885">
          <w:marLeft w:val="0"/>
          <w:marRight w:val="0"/>
          <w:marTop w:val="0"/>
          <w:marBottom w:val="0"/>
          <w:divBdr>
            <w:top w:val="none" w:sz="0" w:space="0" w:color="auto"/>
            <w:left w:val="none" w:sz="0" w:space="0" w:color="auto"/>
            <w:bottom w:val="none" w:sz="0" w:space="0" w:color="auto"/>
            <w:right w:val="none" w:sz="0" w:space="0" w:color="auto"/>
          </w:divBdr>
        </w:div>
        <w:div w:id="1592857544">
          <w:marLeft w:val="0"/>
          <w:marRight w:val="0"/>
          <w:marTop w:val="0"/>
          <w:marBottom w:val="0"/>
          <w:divBdr>
            <w:top w:val="none" w:sz="0" w:space="0" w:color="auto"/>
            <w:left w:val="none" w:sz="0" w:space="0" w:color="auto"/>
            <w:bottom w:val="none" w:sz="0" w:space="0" w:color="auto"/>
            <w:right w:val="none" w:sz="0" w:space="0" w:color="auto"/>
          </w:divBdr>
        </w:div>
        <w:div w:id="1651599205">
          <w:marLeft w:val="0"/>
          <w:marRight w:val="0"/>
          <w:marTop w:val="0"/>
          <w:marBottom w:val="0"/>
          <w:divBdr>
            <w:top w:val="none" w:sz="0" w:space="0" w:color="auto"/>
            <w:left w:val="none" w:sz="0" w:space="0" w:color="auto"/>
            <w:bottom w:val="none" w:sz="0" w:space="0" w:color="auto"/>
            <w:right w:val="none" w:sz="0" w:space="0" w:color="auto"/>
          </w:divBdr>
        </w:div>
        <w:div w:id="582643205">
          <w:marLeft w:val="0"/>
          <w:marRight w:val="0"/>
          <w:marTop w:val="0"/>
          <w:marBottom w:val="0"/>
          <w:divBdr>
            <w:top w:val="none" w:sz="0" w:space="0" w:color="auto"/>
            <w:left w:val="none" w:sz="0" w:space="0" w:color="auto"/>
            <w:bottom w:val="none" w:sz="0" w:space="0" w:color="auto"/>
            <w:right w:val="none" w:sz="0" w:space="0" w:color="auto"/>
          </w:divBdr>
        </w:div>
        <w:div w:id="1760756074">
          <w:marLeft w:val="0"/>
          <w:marRight w:val="0"/>
          <w:marTop w:val="0"/>
          <w:marBottom w:val="0"/>
          <w:divBdr>
            <w:top w:val="none" w:sz="0" w:space="0" w:color="auto"/>
            <w:left w:val="none" w:sz="0" w:space="0" w:color="auto"/>
            <w:bottom w:val="none" w:sz="0" w:space="0" w:color="auto"/>
            <w:right w:val="none" w:sz="0" w:space="0" w:color="auto"/>
          </w:divBdr>
        </w:div>
        <w:div w:id="1122460449">
          <w:marLeft w:val="0"/>
          <w:marRight w:val="0"/>
          <w:marTop w:val="0"/>
          <w:marBottom w:val="0"/>
          <w:divBdr>
            <w:top w:val="none" w:sz="0" w:space="0" w:color="auto"/>
            <w:left w:val="none" w:sz="0" w:space="0" w:color="auto"/>
            <w:bottom w:val="none" w:sz="0" w:space="0" w:color="auto"/>
            <w:right w:val="none" w:sz="0" w:space="0" w:color="auto"/>
          </w:divBdr>
        </w:div>
        <w:div w:id="517425335">
          <w:marLeft w:val="0"/>
          <w:marRight w:val="0"/>
          <w:marTop w:val="0"/>
          <w:marBottom w:val="0"/>
          <w:divBdr>
            <w:top w:val="none" w:sz="0" w:space="0" w:color="auto"/>
            <w:left w:val="none" w:sz="0" w:space="0" w:color="auto"/>
            <w:bottom w:val="none" w:sz="0" w:space="0" w:color="auto"/>
            <w:right w:val="none" w:sz="0" w:space="0" w:color="auto"/>
          </w:divBdr>
        </w:div>
        <w:div w:id="867565953">
          <w:marLeft w:val="0"/>
          <w:marRight w:val="0"/>
          <w:marTop w:val="0"/>
          <w:marBottom w:val="0"/>
          <w:divBdr>
            <w:top w:val="none" w:sz="0" w:space="0" w:color="auto"/>
            <w:left w:val="none" w:sz="0" w:space="0" w:color="auto"/>
            <w:bottom w:val="none" w:sz="0" w:space="0" w:color="auto"/>
            <w:right w:val="none" w:sz="0" w:space="0" w:color="auto"/>
          </w:divBdr>
        </w:div>
        <w:div w:id="1070272774">
          <w:marLeft w:val="0"/>
          <w:marRight w:val="0"/>
          <w:marTop w:val="0"/>
          <w:marBottom w:val="0"/>
          <w:divBdr>
            <w:top w:val="none" w:sz="0" w:space="0" w:color="auto"/>
            <w:left w:val="none" w:sz="0" w:space="0" w:color="auto"/>
            <w:bottom w:val="none" w:sz="0" w:space="0" w:color="auto"/>
            <w:right w:val="none" w:sz="0" w:space="0" w:color="auto"/>
          </w:divBdr>
        </w:div>
        <w:div w:id="271253693">
          <w:marLeft w:val="0"/>
          <w:marRight w:val="0"/>
          <w:marTop w:val="0"/>
          <w:marBottom w:val="0"/>
          <w:divBdr>
            <w:top w:val="none" w:sz="0" w:space="0" w:color="auto"/>
            <w:left w:val="none" w:sz="0" w:space="0" w:color="auto"/>
            <w:bottom w:val="none" w:sz="0" w:space="0" w:color="auto"/>
            <w:right w:val="none" w:sz="0" w:space="0" w:color="auto"/>
          </w:divBdr>
        </w:div>
        <w:div w:id="1599370156">
          <w:marLeft w:val="0"/>
          <w:marRight w:val="0"/>
          <w:marTop w:val="0"/>
          <w:marBottom w:val="0"/>
          <w:divBdr>
            <w:top w:val="none" w:sz="0" w:space="0" w:color="auto"/>
            <w:left w:val="none" w:sz="0" w:space="0" w:color="auto"/>
            <w:bottom w:val="none" w:sz="0" w:space="0" w:color="auto"/>
            <w:right w:val="none" w:sz="0" w:space="0" w:color="auto"/>
          </w:divBdr>
        </w:div>
        <w:div w:id="688718662">
          <w:marLeft w:val="0"/>
          <w:marRight w:val="0"/>
          <w:marTop w:val="0"/>
          <w:marBottom w:val="0"/>
          <w:divBdr>
            <w:top w:val="none" w:sz="0" w:space="0" w:color="auto"/>
            <w:left w:val="none" w:sz="0" w:space="0" w:color="auto"/>
            <w:bottom w:val="none" w:sz="0" w:space="0" w:color="auto"/>
            <w:right w:val="none" w:sz="0" w:space="0" w:color="auto"/>
          </w:divBdr>
        </w:div>
        <w:div w:id="661081429">
          <w:marLeft w:val="0"/>
          <w:marRight w:val="0"/>
          <w:marTop w:val="0"/>
          <w:marBottom w:val="0"/>
          <w:divBdr>
            <w:top w:val="none" w:sz="0" w:space="0" w:color="auto"/>
            <w:left w:val="none" w:sz="0" w:space="0" w:color="auto"/>
            <w:bottom w:val="none" w:sz="0" w:space="0" w:color="auto"/>
            <w:right w:val="none" w:sz="0" w:space="0" w:color="auto"/>
          </w:divBdr>
        </w:div>
        <w:div w:id="1211380714">
          <w:marLeft w:val="0"/>
          <w:marRight w:val="0"/>
          <w:marTop w:val="0"/>
          <w:marBottom w:val="0"/>
          <w:divBdr>
            <w:top w:val="none" w:sz="0" w:space="0" w:color="auto"/>
            <w:left w:val="none" w:sz="0" w:space="0" w:color="auto"/>
            <w:bottom w:val="none" w:sz="0" w:space="0" w:color="auto"/>
            <w:right w:val="none" w:sz="0" w:space="0" w:color="auto"/>
          </w:divBdr>
        </w:div>
        <w:div w:id="874584295">
          <w:marLeft w:val="0"/>
          <w:marRight w:val="0"/>
          <w:marTop w:val="0"/>
          <w:marBottom w:val="0"/>
          <w:divBdr>
            <w:top w:val="none" w:sz="0" w:space="0" w:color="auto"/>
            <w:left w:val="none" w:sz="0" w:space="0" w:color="auto"/>
            <w:bottom w:val="none" w:sz="0" w:space="0" w:color="auto"/>
            <w:right w:val="none" w:sz="0" w:space="0" w:color="auto"/>
          </w:divBdr>
        </w:div>
        <w:div w:id="1828745916">
          <w:marLeft w:val="0"/>
          <w:marRight w:val="0"/>
          <w:marTop w:val="0"/>
          <w:marBottom w:val="0"/>
          <w:divBdr>
            <w:top w:val="none" w:sz="0" w:space="0" w:color="auto"/>
            <w:left w:val="none" w:sz="0" w:space="0" w:color="auto"/>
            <w:bottom w:val="none" w:sz="0" w:space="0" w:color="auto"/>
            <w:right w:val="none" w:sz="0" w:space="0" w:color="auto"/>
          </w:divBdr>
        </w:div>
        <w:div w:id="926959414">
          <w:marLeft w:val="0"/>
          <w:marRight w:val="0"/>
          <w:marTop w:val="0"/>
          <w:marBottom w:val="0"/>
          <w:divBdr>
            <w:top w:val="none" w:sz="0" w:space="0" w:color="auto"/>
            <w:left w:val="none" w:sz="0" w:space="0" w:color="auto"/>
            <w:bottom w:val="none" w:sz="0" w:space="0" w:color="auto"/>
            <w:right w:val="none" w:sz="0" w:space="0" w:color="auto"/>
          </w:divBdr>
        </w:div>
        <w:div w:id="2088065868">
          <w:marLeft w:val="0"/>
          <w:marRight w:val="0"/>
          <w:marTop w:val="0"/>
          <w:marBottom w:val="0"/>
          <w:divBdr>
            <w:top w:val="none" w:sz="0" w:space="0" w:color="auto"/>
            <w:left w:val="none" w:sz="0" w:space="0" w:color="auto"/>
            <w:bottom w:val="none" w:sz="0" w:space="0" w:color="auto"/>
            <w:right w:val="none" w:sz="0" w:space="0" w:color="auto"/>
          </w:divBdr>
        </w:div>
        <w:div w:id="440497381">
          <w:marLeft w:val="0"/>
          <w:marRight w:val="0"/>
          <w:marTop w:val="0"/>
          <w:marBottom w:val="0"/>
          <w:divBdr>
            <w:top w:val="none" w:sz="0" w:space="0" w:color="auto"/>
            <w:left w:val="none" w:sz="0" w:space="0" w:color="auto"/>
            <w:bottom w:val="none" w:sz="0" w:space="0" w:color="auto"/>
            <w:right w:val="none" w:sz="0" w:space="0" w:color="auto"/>
          </w:divBdr>
        </w:div>
        <w:div w:id="500244934">
          <w:marLeft w:val="0"/>
          <w:marRight w:val="0"/>
          <w:marTop w:val="0"/>
          <w:marBottom w:val="0"/>
          <w:divBdr>
            <w:top w:val="none" w:sz="0" w:space="0" w:color="auto"/>
            <w:left w:val="none" w:sz="0" w:space="0" w:color="auto"/>
            <w:bottom w:val="none" w:sz="0" w:space="0" w:color="auto"/>
            <w:right w:val="none" w:sz="0" w:space="0" w:color="auto"/>
          </w:divBdr>
        </w:div>
        <w:div w:id="1017578518">
          <w:marLeft w:val="0"/>
          <w:marRight w:val="0"/>
          <w:marTop w:val="0"/>
          <w:marBottom w:val="0"/>
          <w:divBdr>
            <w:top w:val="none" w:sz="0" w:space="0" w:color="auto"/>
            <w:left w:val="none" w:sz="0" w:space="0" w:color="auto"/>
            <w:bottom w:val="none" w:sz="0" w:space="0" w:color="auto"/>
            <w:right w:val="none" w:sz="0" w:space="0" w:color="auto"/>
          </w:divBdr>
        </w:div>
        <w:div w:id="1333532226">
          <w:marLeft w:val="0"/>
          <w:marRight w:val="0"/>
          <w:marTop w:val="0"/>
          <w:marBottom w:val="0"/>
          <w:divBdr>
            <w:top w:val="none" w:sz="0" w:space="0" w:color="auto"/>
            <w:left w:val="none" w:sz="0" w:space="0" w:color="auto"/>
            <w:bottom w:val="none" w:sz="0" w:space="0" w:color="auto"/>
            <w:right w:val="none" w:sz="0" w:space="0" w:color="auto"/>
          </w:divBdr>
        </w:div>
        <w:div w:id="1715499336">
          <w:marLeft w:val="0"/>
          <w:marRight w:val="0"/>
          <w:marTop w:val="0"/>
          <w:marBottom w:val="0"/>
          <w:divBdr>
            <w:top w:val="none" w:sz="0" w:space="0" w:color="auto"/>
            <w:left w:val="none" w:sz="0" w:space="0" w:color="auto"/>
            <w:bottom w:val="none" w:sz="0" w:space="0" w:color="auto"/>
            <w:right w:val="none" w:sz="0" w:space="0" w:color="auto"/>
          </w:divBdr>
        </w:div>
        <w:div w:id="2117363732">
          <w:marLeft w:val="0"/>
          <w:marRight w:val="0"/>
          <w:marTop w:val="0"/>
          <w:marBottom w:val="0"/>
          <w:divBdr>
            <w:top w:val="none" w:sz="0" w:space="0" w:color="auto"/>
            <w:left w:val="none" w:sz="0" w:space="0" w:color="auto"/>
            <w:bottom w:val="none" w:sz="0" w:space="0" w:color="auto"/>
            <w:right w:val="none" w:sz="0" w:space="0" w:color="auto"/>
          </w:divBdr>
        </w:div>
        <w:div w:id="2132505810">
          <w:marLeft w:val="0"/>
          <w:marRight w:val="0"/>
          <w:marTop w:val="0"/>
          <w:marBottom w:val="0"/>
          <w:divBdr>
            <w:top w:val="none" w:sz="0" w:space="0" w:color="auto"/>
            <w:left w:val="none" w:sz="0" w:space="0" w:color="auto"/>
            <w:bottom w:val="none" w:sz="0" w:space="0" w:color="auto"/>
            <w:right w:val="none" w:sz="0" w:space="0" w:color="auto"/>
          </w:divBdr>
        </w:div>
        <w:div w:id="989284087">
          <w:marLeft w:val="0"/>
          <w:marRight w:val="0"/>
          <w:marTop w:val="0"/>
          <w:marBottom w:val="0"/>
          <w:divBdr>
            <w:top w:val="none" w:sz="0" w:space="0" w:color="auto"/>
            <w:left w:val="none" w:sz="0" w:space="0" w:color="auto"/>
            <w:bottom w:val="none" w:sz="0" w:space="0" w:color="auto"/>
            <w:right w:val="none" w:sz="0" w:space="0" w:color="auto"/>
          </w:divBdr>
        </w:div>
        <w:div w:id="2131124187">
          <w:marLeft w:val="0"/>
          <w:marRight w:val="0"/>
          <w:marTop w:val="0"/>
          <w:marBottom w:val="0"/>
          <w:divBdr>
            <w:top w:val="none" w:sz="0" w:space="0" w:color="auto"/>
            <w:left w:val="none" w:sz="0" w:space="0" w:color="auto"/>
            <w:bottom w:val="none" w:sz="0" w:space="0" w:color="auto"/>
            <w:right w:val="none" w:sz="0" w:space="0" w:color="auto"/>
          </w:divBdr>
        </w:div>
        <w:div w:id="1718508545">
          <w:marLeft w:val="0"/>
          <w:marRight w:val="0"/>
          <w:marTop w:val="0"/>
          <w:marBottom w:val="0"/>
          <w:divBdr>
            <w:top w:val="none" w:sz="0" w:space="0" w:color="auto"/>
            <w:left w:val="none" w:sz="0" w:space="0" w:color="auto"/>
            <w:bottom w:val="none" w:sz="0" w:space="0" w:color="auto"/>
            <w:right w:val="none" w:sz="0" w:space="0" w:color="auto"/>
          </w:divBdr>
        </w:div>
        <w:div w:id="586692586">
          <w:marLeft w:val="0"/>
          <w:marRight w:val="0"/>
          <w:marTop w:val="0"/>
          <w:marBottom w:val="0"/>
          <w:divBdr>
            <w:top w:val="none" w:sz="0" w:space="0" w:color="auto"/>
            <w:left w:val="none" w:sz="0" w:space="0" w:color="auto"/>
            <w:bottom w:val="none" w:sz="0" w:space="0" w:color="auto"/>
            <w:right w:val="none" w:sz="0" w:space="0" w:color="auto"/>
          </w:divBdr>
        </w:div>
        <w:div w:id="693846949">
          <w:marLeft w:val="0"/>
          <w:marRight w:val="0"/>
          <w:marTop w:val="0"/>
          <w:marBottom w:val="0"/>
          <w:divBdr>
            <w:top w:val="none" w:sz="0" w:space="0" w:color="auto"/>
            <w:left w:val="none" w:sz="0" w:space="0" w:color="auto"/>
            <w:bottom w:val="none" w:sz="0" w:space="0" w:color="auto"/>
            <w:right w:val="none" w:sz="0" w:space="0" w:color="auto"/>
          </w:divBdr>
        </w:div>
        <w:div w:id="907808856">
          <w:marLeft w:val="0"/>
          <w:marRight w:val="0"/>
          <w:marTop w:val="0"/>
          <w:marBottom w:val="0"/>
          <w:divBdr>
            <w:top w:val="none" w:sz="0" w:space="0" w:color="auto"/>
            <w:left w:val="none" w:sz="0" w:space="0" w:color="auto"/>
            <w:bottom w:val="none" w:sz="0" w:space="0" w:color="auto"/>
            <w:right w:val="none" w:sz="0" w:space="0" w:color="auto"/>
          </w:divBdr>
        </w:div>
        <w:div w:id="44574347">
          <w:marLeft w:val="0"/>
          <w:marRight w:val="0"/>
          <w:marTop w:val="0"/>
          <w:marBottom w:val="0"/>
          <w:divBdr>
            <w:top w:val="none" w:sz="0" w:space="0" w:color="auto"/>
            <w:left w:val="none" w:sz="0" w:space="0" w:color="auto"/>
            <w:bottom w:val="none" w:sz="0" w:space="0" w:color="auto"/>
            <w:right w:val="none" w:sz="0" w:space="0" w:color="auto"/>
          </w:divBdr>
        </w:div>
        <w:div w:id="714163174">
          <w:marLeft w:val="0"/>
          <w:marRight w:val="0"/>
          <w:marTop w:val="0"/>
          <w:marBottom w:val="0"/>
          <w:divBdr>
            <w:top w:val="none" w:sz="0" w:space="0" w:color="auto"/>
            <w:left w:val="none" w:sz="0" w:space="0" w:color="auto"/>
            <w:bottom w:val="none" w:sz="0" w:space="0" w:color="auto"/>
            <w:right w:val="none" w:sz="0" w:space="0" w:color="auto"/>
          </w:divBdr>
        </w:div>
        <w:div w:id="1499271492">
          <w:marLeft w:val="0"/>
          <w:marRight w:val="0"/>
          <w:marTop w:val="0"/>
          <w:marBottom w:val="0"/>
          <w:divBdr>
            <w:top w:val="none" w:sz="0" w:space="0" w:color="auto"/>
            <w:left w:val="none" w:sz="0" w:space="0" w:color="auto"/>
            <w:bottom w:val="none" w:sz="0" w:space="0" w:color="auto"/>
            <w:right w:val="none" w:sz="0" w:space="0" w:color="auto"/>
          </w:divBdr>
        </w:div>
        <w:div w:id="1512647494">
          <w:marLeft w:val="0"/>
          <w:marRight w:val="0"/>
          <w:marTop w:val="0"/>
          <w:marBottom w:val="0"/>
          <w:divBdr>
            <w:top w:val="none" w:sz="0" w:space="0" w:color="auto"/>
            <w:left w:val="none" w:sz="0" w:space="0" w:color="auto"/>
            <w:bottom w:val="none" w:sz="0" w:space="0" w:color="auto"/>
            <w:right w:val="none" w:sz="0" w:space="0" w:color="auto"/>
          </w:divBdr>
        </w:div>
        <w:div w:id="868955878">
          <w:marLeft w:val="0"/>
          <w:marRight w:val="0"/>
          <w:marTop w:val="0"/>
          <w:marBottom w:val="0"/>
          <w:divBdr>
            <w:top w:val="none" w:sz="0" w:space="0" w:color="auto"/>
            <w:left w:val="none" w:sz="0" w:space="0" w:color="auto"/>
            <w:bottom w:val="none" w:sz="0" w:space="0" w:color="auto"/>
            <w:right w:val="none" w:sz="0" w:space="0" w:color="auto"/>
          </w:divBdr>
        </w:div>
        <w:div w:id="640577699">
          <w:marLeft w:val="0"/>
          <w:marRight w:val="0"/>
          <w:marTop w:val="0"/>
          <w:marBottom w:val="0"/>
          <w:divBdr>
            <w:top w:val="none" w:sz="0" w:space="0" w:color="auto"/>
            <w:left w:val="none" w:sz="0" w:space="0" w:color="auto"/>
            <w:bottom w:val="none" w:sz="0" w:space="0" w:color="auto"/>
            <w:right w:val="none" w:sz="0" w:space="0" w:color="auto"/>
          </w:divBdr>
        </w:div>
        <w:div w:id="1008486736">
          <w:marLeft w:val="0"/>
          <w:marRight w:val="0"/>
          <w:marTop w:val="0"/>
          <w:marBottom w:val="0"/>
          <w:divBdr>
            <w:top w:val="none" w:sz="0" w:space="0" w:color="auto"/>
            <w:left w:val="none" w:sz="0" w:space="0" w:color="auto"/>
            <w:bottom w:val="none" w:sz="0" w:space="0" w:color="auto"/>
            <w:right w:val="none" w:sz="0" w:space="0" w:color="auto"/>
          </w:divBdr>
        </w:div>
        <w:div w:id="613828650">
          <w:marLeft w:val="0"/>
          <w:marRight w:val="0"/>
          <w:marTop w:val="0"/>
          <w:marBottom w:val="0"/>
          <w:divBdr>
            <w:top w:val="none" w:sz="0" w:space="0" w:color="auto"/>
            <w:left w:val="none" w:sz="0" w:space="0" w:color="auto"/>
            <w:bottom w:val="none" w:sz="0" w:space="0" w:color="auto"/>
            <w:right w:val="none" w:sz="0" w:space="0" w:color="auto"/>
          </w:divBdr>
        </w:div>
        <w:div w:id="420956852">
          <w:marLeft w:val="0"/>
          <w:marRight w:val="0"/>
          <w:marTop w:val="0"/>
          <w:marBottom w:val="0"/>
          <w:divBdr>
            <w:top w:val="none" w:sz="0" w:space="0" w:color="auto"/>
            <w:left w:val="none" w:sz="0" w:space="0" w:color="auto"/>
            <w:bottom w:val="none" w:sz="0" w:space="0" w:color="auto"/>
            <w:right w:val="none" w:sz="0" w:space="0" w:color="auto"/>
          </w:divBdr>
        </w:div>
        <w:div w:id="1779718099">
          <w:marLeft w:val="0"/>
          <w:marRight w:val="0"/>
          <w:marTop w:val="0"/>
          <w:marBottom w:val="0"/>
          <w:divBdr>
            <w:top w:val="none" w:sz="0" w:space="0" w:color="auto"/>
            <w:left w:val="none" w:sz="0" w:space="0" w:color="auto"/>
            <w:bottom w:val="none" w:sz="0" w:space="0" w:color="auto"/>
            <w:right w:val="none" w:sz="0" w:space="0" w:color="auto"/>
          </w:divBdr>
        </w:div>
        <w:div w:id="1476217898">
          <w:marLeft w:val="0"/>
          <w:marRight w:val="0"/>
          <w:marTop w:val="0"/>
          <w:marBottom w:val="0"/>
          <w:divBdr>
            <w:top w:val="none" w:sz="0" w:space="0" w:color="auto"/>
            <w:left w:val="none" w:sz="0" w:space="0" w:color="auto"/>
            <w:bottom w:val="none" w:sz="0" w:space="0" w:color="auto"/>
            <w:right w:val="none" w:sz="0" w:space="0" w:color="auto"/>
          </w:divBdr>
        </w:div>
        <w:div w:id="159153123">
          <w:marLeft w:val="0"/>
          <w:marRight w:val="0"/>
          <w:marTop w:val="0"/>
          <w:marBottom w:val="0"/>
          <w:divBdr>
            <w:top w:val="none" w:sz="0" w:space="0" w:color="auto"/>
            <w:left w:val="none" w:sz="0" w:space="0" w:color="auto"/>
            <w:bottom w:val="none" w:sz="0" w:space="0" w:color="auto"/>
            <w:right w:val="none" w:sz="0" w:space="0" w:color="auto"/>
          </w:divBdr>
        </w:div>
        <w:div w:id="1657681711">
          <w:marLeft w:val="0"/>
          <w:marRight w:val="0"/>
          <w:marTop w:val="0"/>
          <w:marBottom w:val="0"/>
          <w:divBdr>
            <w:top w:val="none" w:sz="0" w:space="0" w:color="auto"/>
            <w:left w:val="none" w:sz="0" w:space="0" w:color="auto"/>
            <w:bottom w:val="none" w:sz="0" w:space="0" w:color="auto"/>
            <w:right w:val="none" w:sz="0" w:space="0" w:color="auto"/>
          </w:divBdr>
        </w:div>
        <w:div w:id="55209584">
          <w:marLeft w:val="0"/>
          <w:marRight w:val="0"/>
          <w:marTop w:val="0"/>
          <w:marBottom w:val="0"/>
          <w:divBdr>
            <w:top w:val="none" w:sz="0" w:space="0" w:color="auto"/>
            <w:left w:val="none" w:sz="0" w:space="0" w:color="auto"/>
            <w:bottom w:val="none" w:sz="0" w:space="0" w:color="auto"/>
            <w:right w:val="none" w:sz="0" w:space="0" w:color="auto"/>
          </w:divBdr>
        </w:div>
        <w:div w:id="1637681505">
          <w:marLeft w:val="0"/>
          <w:marRight w:val="0"/>
          <w:marTop w:val="0"/>
          <w:marBottom w:val="0"/>
          <w:divBdr>
            <w:top w:val="none" w:sz="0" w:space="0" w:color="auto"/>
            <w:left w:val="none" w:sz="0" w:space="0" w:color="auto"/>
            <w:bottom w:val="none" w:sz="0" w:space="0" w:color="auto"/>
            <w:right w:val="none" w:sz="0" w:space="0" w:color="auto"/>
          </w:divBdr>
        </w:div>
        <w:div w:id="1408259313">
          <w:marLeft w:val="0"/>
          <w:marRight w:val="0"/>
          <w:marTop w:val="0"/>
          <w:marBottom w:val="0"/>
          <w:divBdr>
            <w:top w:val="none" w:sz="0" w:space="0" w:color="auto"/>
            <w:left w:val="none" w:sz="0" w:space="0" w:color="auto"/>
            <w:bottom w:val="none" w:sz="0" w:space="0" w:color="auto"/>
            <w:right w:val="none" w:sz="0" w:space="0" w:color="auto"/>
          </w:divBdr>
        </w:div>
        <w:div w:id="876351304">
          <w:marLeft w:val="0"/>
          <w:marRight w:val="0"/>
          <w:marTop w:val="0"/>
          <w:marBottom w:val="0"/>
          <w:divBdr>
            <w:top w:val="none" w:sz="0" w:space="0" w:color="auto"/>
            <w:left w:val="none" w:sz="0" w:space="0" w:color="auto"/>
            <w:bottom w:val="none" w:sz="0" w:space="0" w:color="auto"/>
            <w:right w:val="none" w:sz="0" w:space="0" w:color="auto"/>
          </w:divBdr>
        </w:div>
        <w:div w:id="1312829970">
          <w:marLeft w:val="0"/>
          <w:marRight w:val="0"/>
          <w:marTop w:val="0"/>
          <w:marBottom w:val="0"/>
          <w:divBdr>
            <w:top w:val="none" w:sz="0" w:space="0" w:color="auto"/>
            <w:left w:val="none" w:sz="0" w:space="0" w:color="auto"/>
            <w:bottom w:val="none" w:sz="0" w:space="0" w:color="auto"/>
            <w:right w:val="none" w:sz="0" w:space="0" w:color="auto"/>
          </w:divBdr>
        </w:div>
        <w:div w:id="1955285626">
          <w:marLeft w:val="0"/>
          <w:marRight w:val="0"/>
          <w:marTop w:val="0"/>
          <w:marBottom w:val="0"/>
          <w:divBdr>
            <w:top w:val="none" w:sz="0" w:space="0" w:color="auto"/>
            <w:left w:val="none" w:sz="0" w:space="0" w:color="auto"/>
            <w:bottom w:val="none" w:sz="0" w:space="0" w:color="auto"/>
            <w:right w:val="none" w:sz="0" w:space="0" w:color="auto"/>
          </w:divBdr>
        </w:div>
        <w:div w:id="1030565317">
          <w:marLeft w:val="0"/>
          <w:marRight w:val="0"/>
          <w:marTop w:val="0"/>
          <w:marBottom w:val="0"/>
          <w:divBdr>
            <w:top w:val="none" w:sz="0" w:space="0" w:color="auto"/>
            <w:left w:val="none" w:sz="0" w:space="0" w:color="auto"/>
            <w:bottom w:val="none" w:sz="0" w:space="0" w:color="auto"/>
            <w:right w:val="none" w:sz="0" w:space="0" w:color="auto"/>
          </w:divBdr>
        </w:div>
        <w:div w:id="1642660865">
          <w:marLeft w:val="0"/>
          <w:marRight w:val="0"/>
          <w:marTop w:val="0"/>
          <w:marBottom w:val="0"/>
          <w:divBdr>
            <w:top w:val="none" w:sz="0" w:space="0" w:color="auto"/>
            <w:left w:val="none" w:sz="0" w:space="0" w:color="auto"/>
            <w:bottom w:val="none" w:sz="0" w:space="0" w:color="auto"/>
            <w:right w:val="none" w:sz="0" w:space="0" w:color="auto"/>
          </w:divBdr>
        </w:div>
        <w:div w:id="568004130">
          <w:marLeft w:val="0"/>
          <w:marRight w:val="0"/>
          <w:marTop w:val="0"/>
          <w:marBottom w:val="0"/>
          <w:divBdr>
            <w:top w:val="none" w:sz="0" w:space="0" w:color="auto"/>
            <w:left w:val="none" w:sz="0" w:space="0" w:color="auto"/>
            <w:bottom w:val="none" w:sz="0" w:space="0" w:color="auto"/>
            <w:right w:val="none" w:sz="0" w:space="0" w:color="auto"/>
          </w:divBdr>
        </w:div>
        <w:div w:id="927881576">
          <w:marLeft w:val="0"/>
          <w:marRight w:val="0"/>
          <w:marTop w:val="0"/>
          <w:marBottom w:val="0"/>
          <w:divBdr>
            <w:top w:val="none" w:sz="0" w:space="0" w:color="auto"/>
            <w:left w:val="none" w:sz="0" w:space="0" w:color="auto"/>
            <w:bottom w:val="none" w:sz="0" w:space="0" w:color="auto"/>
            <w:right w:val="none" w:sz="0" w:space="0" w:color="auto"/>
          </w:divBdr>
        </w:div>
        <w:div w:id="447550449">
          <w:marLeft w:val="0"/>
          <w:marRight w:val="0"/>
          <w:marTop w:val="0"/>
          <w:marBottom w:val="0"/>
          <w:divBdr>
            <w:top w:val="none" w:sz="0" w:space="0" w:color="auto"/>
            <w:left w:val="none" w:sz="0" w:space="0" w:color="auto"/>
            <w:bottom w:val="none" w:sz="0" w:space="0" w:color="auto"/>
            <w:right w:val="none" w:sz="0" w:space="0" w:color="auto"/>
          </w:divBdr>
        </w:div>
        <w:div w:id="227811830">
          <w:marLeft w:val="0"/>
          <w:marRight w:val="0"/>
          <w:marTop w:val="0"/>
          <w:marBottom w:val="0"/>
          <w:divBdr>
            <w:top w:val="none" w:sz="0" w:space="0" w:color="auto"/>
            <w:left w:val="none" w:sz="0" w:space="0" w:color="auto"/>
            <w:bottom w:val="none" w:sz="0" w:space="0" w:color="auto"/>
            <w:right w:val="none" w:sz="0" w:space="0" w:color="auto"/>
          </w:divBdr>
        </w:div>
        <w:div w:id="1750497919">
          <w:marLeft w:val="0"/>
          <w:marRight w:val="0"/>
          <w:marTop w:val="0"/>
          <w:marBottom w:val="0"/>
          <w:divBdr>
            <w:top w:val="none" w:sz="0" w:space="0" w:color="auto"/>
            <w:left w:val="none" w:sz="0" w:space="0" w:color="auto"/>
            <w:bottom w:val="none" w:sz="0" w:space="0" w:color="auto"/>
            <w:right w:val="none" w:sz="0" w:space="0" w:color="auto"/>
          </w:divBdr>
        </w:div>
        <w:div w:id="2044862716">
          <w:marLeft w:val="0"/>
          <w:marRight w:val="0"/>
          <w:marTop w:val="0"/>
          <w:marBottom w:val="0"/>
          <w:divBdr>
            <w:top w:val="none" w:sz="0" w:space="0" w:color="auto"/>
            <w:left w:val="none" w:sz="0" w:space="0" w:color="auto"/>
            <w:bottom w:val="none" w:sz="0" w:space="0" w:color="auto"/>
            <w:right w:val="none" w:sz="0" w:space="0" w:color="auto"/>
          </w:divBdr>
        </w:div>
        <w:div w:id="2078741106">
          <w:marLeft w:val="0"/>
          <w:marRight w:val="0"/>
          <w:marTop w:val="0"/>
          <w:marBottom w:val="0"/>
          <w:divBdr>
            <w:top w:val="none" w:sz="0" w:space="0" w:color="auto"/>
            <w:left w:val="none" w:sz="0" w:space="0" w:color="auto"/>
            <w:bottom w:val="none" w:sz="0" w:space="0" w:color="auto"/>
            <w:right w:val="none" w:sz="0" w:space="0" w:color="auto"/>
          </w:divBdr>
        </w:div>
        <w:div w:id="909121740">
          <w:marLeft w:val="0"/>
          <w:marRight w:val="0"/>
          <w:marTop w:val="0"/>
          <w:marBottom w:val="0"/>
          <w:divBdr>
            <w:top w:val="none" w:sz="0" w:space="0" w:color="auto"/>
            <w:left w:val="none" w:sz="0" w:space="0" w:color="auto"/>
            <w:bottom w:val="none" w:sz="0" w:space="0" w:color="auto"/>
            <w:right w:val="none" w:sz="0" w:space="0" w:color="auto"/>
          </w:divBdr>
        </w:div>
        <w:div w:id="1371689375">
          <w:marLeft w:val="0"/>
          <w:marRight w:val="0"/>
          <w:marTop w:val="0"/>
          <w:marBottom w:val="0"/>
          <w:divBdr>
            <w:top w:val="none" w:sz="0" w:space="0" w:color="auto"/>
            <w:left w:val="none" w:sz="0" w:space="0" w:color="auto"/>
            <w:bottom w:val="none" w:sz="0" w:space="0" w:color="auto"/>
            <w:right w:val="none" w:sz="0" w:space="0" w:color="auto"/>
          </w:divBdr>
        </w:div>
        <w:div w:id="1477868177">
          <w:marLeft w:val="0"/>
          <w:marRight w:val="0"/>
          <w:marTop w:val="0"/>
          <w:marBottom w:val="0"/>
          <w:divBdr>
            <w:top w:val="none" w:sz="0" w:space="0" w:color="auto"/>
            <w:left w:val="none" w:sz="0" w:space="0" w:color="auto"/>
            <w:bottom w:val="none" w:sz="0" w:space="0" w:color="auto"/>
            <w:right w:val="none" w:sz="0" w:space="0" w:color="auto"/>
          </w:divBdr>
        </w:div>
        <w:div w:id="971591693">
          <w:marLeft w:val="0"/>
          <w:marRight w:val="0"/>
          <w:marTop w:val="0"/>
          <w:marBottom w:val="0"/>
          <w:divBdr>
            <w:top w:val="none" w:sz="0" w:space="0" w:color="auto"/>
            <w:left w:val="none" w:sz="0" w:space="0" w:color="auto"/>
            <w:bottom w:val="none" w:sz="0" w:space="0" w:color="auto"/>
            <w:right w:val="none" w:sz="0" w:space="0" w:color="auto"/>
          </w:divBdr>
        </w:div>
        <w:div w:id="753163120">
          <w:marLeft w:val="0"/>
          <w:marRight w:val="0"/>
          <w:marTop w:val="0"/>
          <w:marBottom w:val="0"/>
          <w:divBdr>
            <w:top w:val="none" w:sz="0" w:space="0" w:color="auto"/>
            <w:left w:val="none" w:sz="0" w:space="0" w:color="auto"/>
            <w:bottom w:val="none" w:sz="0" w:space="0" w:color="auto"/>
            <w:right w:val="none" w:sz="0" w:space="0" w:color="auto"/>
          </w:divBdr>
        </w:div>
        <w:div w:id="2076854700">
          <w:marLeft w:val="0"/>
          <w:marRight w:val="0"/>
          <w:marTop w:val="0"/>
          <w:marBottom w:val="0"/>
          <w:divBdr>
            <w:top w:val="none" w:sz="0" w:space="0" w:color="auto"/>
            <w:left w:val="none" w:sz="0" w:space="0" w:color="auto"/>
            <w:bottom w:val="none" w:sz="0" w:space="0" w:color="auto"/>
            <w:right w:val="none" w:sz="0" w:space="0" w:color="auto"/>
          </w:divBdr>
        </w:div>
        <w:div w:id="1711565240">
          <w:marLeft w:val="0"/>
          <w:marRight w:val="0"/>
          <w:marTop w:val="0"/>
          <w:marBottom w:val="0"/>
          <w:divBdr>
            <w:top w:val="none" w:sz="0" w:space="0" w:color="auto"/>
            <w:left w:val="none" w:sz="0" w:space="0" w:color="auto"/>
            <w:bottom w:val="none" w:sz="0" w:space="0" w:color="auto"/>
            <w:right w:val="none" w:sz="0" w:space="0" w:color="auto"/>
          </w:divBdr>
        </w:div>
        <w:div w:id="1491023298">
          <w:marLeft w:val="0"/>
          <w:marRight w:val="0"/>
          <w:marTop w:val="0"/>
          <w:marBottom w:val="0"/>
          <w:divBdr>
            <w:top w:val="none" w:sz="0" w:space="0" w:color="auto"/>
            <w:left w:val="none" w:sz="0" w:space="0" w:color="auto"/>
            <w:bottom w:val="none" w:sz="0" w:space="0" w:color="auto"/>
            <w:right w:val="none" w:sz="0" w:space="0" w:color="auto"/>
          </w:divBdr>
        </w:div>
        <w:div w:id="1747612338">
          <w:marLeft w:val="0"/>
          <w:marRight w:val="0"/>
          <w:marTop w:val="0"/>
          <w:marBottom w:val="0"/>
          <w:divBdr>
            <w:top w:val="none" w:sz="0" w:space="0" w:color="auto"/>
            <w:left w:val="none" w:sz="0" w:space="0" w:color="auto"/>
            <w:bottom w:val="none" w:sz="0" w:space="0" w:color="auto"/>
            <w:right w:val="none" w:sz="0" w:space="0" w:color="auto"/>
          </w:divBdr>
        </w:div>
        <w:div w:id="1112357753">
          <w:marLeft w:val="0"/>
          <w:marRight w:val="0"/>
          <w:marTop w:val="0"/>
          <w:marBottom w:val="0"/>
          <w:divBdr>
            <w:top w:val="none" w:sz="0" w:space="0" w:color="auto"/>
            <w:left w:val="none" w:sz="0" w:space="0" w:color="auto"/>
            <w:bottom w:val="none" w:sz="0" w:space="0" w:color="auto"/>
            <w:right w:val="none" w:sz="0" w:space="0" w:color="auto"/>
          </w:divBdr>
        </w:div>
        <w:div w:id="581992320">
          <w:marLeft w:val="0"/>
          <w:marRight w:val="0"/>
          <w:marTop w:val="0"/>
          <w:marBottom w:val="0"/>
          <w:divBdr>
            <w:top w:val="none" w:sz="0" w:space="0" w:color="auto"/>
            <w:left w:val="none" w:sz="0" w:space="0" w:color="auto"/>
            <w:bottom w:val="none" w:sz="0" w:space="0" w:color="auto"/>
            <w:right w:val="none" w:sz="0" w:space="0" w:color="auto"/>
          </w:divBdr>
        </w:div>
        <w:div w:id="1853303338">
          <w:marLeft w:val="0"/>
          <w:marRight w:val="0"/>
          <w:marTop w:val="0"/>
          <w:marBottom w:val="0"/>
          <w:divBdr>
            <w:top w:val="none" w:sz="0" w:space="0" w:color="auto"/>
            <w:left w:val="none" w:sz="0" w:space="0" w:color="auto"/>
            <w:bottom w:val="none" w:sz="0" w:space="0" w:color="auto"/>
            <w:right w:val="none" w:sz="0" w:space="0" w:color="auto"/>
          </w:divBdr>
        </w:div>
        <w:div w:id="480658868">
          <w:marLeft w:val="0"/>
          <w:marRight w:val="0"/>
          <w:marTop w:val="0"/>
          <w:marBottom w:val="0"/>
          <w:divBdr>
            <w:top w:val="none" w:sz="0" w:space="0" w:color="auto"/>
            <w:left w:val="none" w:sz="0" w:space="0" w:color="auto"/>
            <w:bottom w:val="none" w:sz="0" w:space="0" w:color="auto"/>
            <w:right w:val="none" w:sz="0" w:space="0" w:color="auto"/>
          </w:divBdr>
        </w:div>
        <w:div w:id="527451013">
          <w:marLeft w:val="0"/>
          <w:marRight w:val="0"/>
          <w:marTop w:val="0"/>
          <w:marBottom w:val="0"/>
          <w:divBdr>
            <w:top w:val="none" w:sz="0" w:space="0" w:color="auto"/>
            <w:left w:val="none" w:sz="0" w:space="0" w:color="auto"/>
            <w:bottom w:val="none" w:sz="0" w:space="0" w:color="auto"/>
            <w:right w:val="none" w:sz="0" w:space="0" w:color="auto"/>
          </w:divBdr>
        </w:div>
        <w:div w:id="1888761638">
          <w:marLeft w:val="0"/>
          <w:marRight w:val="0"/>
          <w:marTop w:val="0"/>
          <w:marBottom w:val="0"/>
          <w:divBdr>
            <w:top w:val="none" w:sz="0" w:space="0" w:color="auto"/>
            <w:left w:val="none" w:sz="0" w:space="0" w:color="auto"/>
            <w:bottom w:val="none" w:sz="0" w:space="0" w:color="auto"/>
            <w:right w:val="none" w:sz="0" w:space="0" w:color="auto"/>
          </w:divBdr>
        </w:div>
        <w:div w:id="1159149448">
          <w:marLeft w:val="0"/>
          <w:marRight w:val="0"/>
          <w:marTop w:val="0"/>
          <w:marBottom w:val="0"/>
          <w:divBdr>
            <w:top w:val="none" w:sz="0" w:space="0" w:color="auto"/>
            <w:left w:val="none" w:sz="0" w:space="0" w:color="auto"/>
            <w:bottom w:val="none" w:sz="0" w:space="0" w:color="auto"/>
            <w:right w:val="none" w:sz="0" w:space="0" w:color="auto"/>
          </w:divBdr>
        </w:div>
        <w:div w:id="9265598">
          <w:marLeft w:val="0"/>
          <w:marRight w:val="0"/>
          <w:marTop w:val="0"/>
          <w:marBottom w:val="0"/>
          <w:divBdr>
            <w:top w:val="none" w:sz="0" w:space="0" w:color="auto"/>
            <w:left w:val="none" w:sz="0" w:space="0" w:color="auto"/>
            <w:bottom w:val="none" w:sz="0" w:space="0" w:color="auto"/>
            <w:right w:val="none" w:sz="0" w:space="0" w:color="auto"/>
          </w:divBdr>
        </w:div>
        <w:div w:id="1559632964">
          <w:marLeft w:val="0"/>
          <w:marRight w:val="0"/>
          <w:marTop w:val="0"/>
          <w:marBottom w:val="0"/>
          <w:divBdr>
            <w:top w:val="none" w:sz="0" w:space="0" w:color="auto"/>
            <w:left w:val="none" w:sz="0" w:space="0" w:color="auto"/>
            <w:bottom w:val="none" w:sz="0" w:space="0" w:color="auto"/>
            <w:right w:val="none" w:sz="0" w:space="0" w:color="auto"/>
          </w:divBdr>
        </w:div>
        <w:div w:id="2132165308">
          <w:marLeft w:val="0"/>
          <w:marRight w:val="0"/>
          <w:marTop w:val="0"/>
          <w:marBottom w:val="0"/>
          <w:divBdr>
            <w:top w:val="none" w:sz="0" w:space="0" w:color="auto"/>
            <w:left w:val="none" w:sz="0" w:space="0" w:color="auto"/>
            <w:bottom w:val="none" w:sz="0" w:space="0" w:color="auto"/>
            <w:right w:val="none" w:sz="0" w:space="0" w:color="auto"/>
          </w:divBdr>
        </w:div>
        <w:div w:id="931626635">
          <w:marLeft w:val="0"/>
          <w:marRight w:val="0"/>
          <w:marTop w:val="0"/>
          <w:marBottom w:val="0"/>
          <w:divBdr>
            <w:top w:val="none" w:sz="0" w:space="0" w:color="auto"/>
            <w:left w:val="none" w:sz="0" w:space="0" w:color="auto"/>
            <w:bottom w:val="none" w:sz="0" w:space="0" w:color="auto"/>
            <w:right w:val="none" w:sz="0" w:space="0" w:color="auto"/>
          </w:divBdr>
        </w:div>
        <w:div w:id="1361856488">
          <w:marLeft w:val="0"/>
          <w:marRight w:val="0"/>
          <w:marTop w:val="0"/>
          <w:marBottom w:val="0"/>
          <w:divBdr>
            <w:top w:val="none" w:sz="0" w:space="0" w:color="auto"/>
            <w:left w:val="none" w:sz="0" w:space="0" w:color="auto"/>
            <w:bottom w:val="none" w:sz="0" w:space="0" w:color="auto"/>
            <w:right w:val="none" w:sz="0" w:space="0" w:color="auto"/>
          </w:divBdr>
        </w:div>
        <w:div w:id="922838276">
          <w:marLeft w:val="0"/>
          <w:marRight w:val="0"/>
          <w:marTop w:val="0"/>
          <w:marBottom w:val="0"/>
          <w:divBdr>
            <w:top w:val="none" w:sz="0" w:space="0" w:color="auto"/>
            <w:left w:val="none" w:sz="0" w:space="0" w:color="auto"/>
            <w:bottom w:val="none" w:sz="0" w:space="0" w:color="auto"/>
            <w:right w:val="none" w:sz="0" w:space="0" w:color="auto"/>
          </w:divBdr>
        </w:div>
        <w:div w:id="2045446297">
          <w:marLeft w:val="0"/>
          <w:marRight w:val="0"/>
          <w:marTop w:val="0"/>
          <w:marBottom w:val="0"/>
          <w:divBdr>
            <w:top w:val="none" w:sz="0" w:space="0" w:color="auto"/>
            <w:left w:val="none" w:sz="0" w:space="0" w:color="auto"/>
            <w:bottom w:val="none" w:sz="0" w:space="0" w:color="auto"/>
            <w:right w:val="none" w:sz="0" w:space="0" w:color="auto"/>
          </w:divBdr>
        </w:div>
        <w:div w:id="1409576685">
          <w:marLeft w:val="0"/>
          <w:marRight w:val="0"/>
          <w:marTop w:val="0"/>
          <w:marBottom w:val="0"/>
          <w:divBdr>
            <w:top w:val="none" w:sz="0" w:space="0" w:color="auto"/>
            <w:left w:val="none" w:sz="0" w:space="0" w:color="auto"/>
            <w:bottom w:val="none" w:sz="0" w:space="0" w:color="auto"/>
            <w:right w:val="none" w:sz="0" w:space="0" w:color="auto"/>
          </w:divBdr>
        </w:div>
        <w:div w:id="390887752">
          <w:marLeft w:val="0"/>
          <w:marRight w:val="0"/>
          <w:marTop w:val="0"/>
          <w:marBottom w:val="0"/>
          <w:divBdr>
            <w:top w:val="none" w:sz="0" w:space="0" w:color="auto"/>
            <w:left w:val="none" w:sz="0" w:space="0" w:color="auto"/>
            <w:bottom w:val="none" w:sz="0" w:space="0" w:color="auto"/>
            <w:right w:val="none" w:sz="0" w:space="0" w:color="auto"/>
          </w:divBdr>
        </w:div>
        <w:div w:id="2088070772">
          <w:marLeft w:val="0"/>
          <w:marRight w:val="0"/>
          <w:marTop w:val="0"/>
          <w:marBottom w:val="0"/>
          <w:divBdr>
            <w:top w:val="none" w:sz="0" w:space="0" w:color="auto"/>
            <w:left w:val="none" w:sz="0" w:space="0" w:color="auto"/>
            <w:bottom w:val="none" w:sz="0" w:space="0" w:color="auto"/>
            <w:right w:val="none" w:sz="0" w:space="0" w:color="auto"/>
          </w:divBdr>
        </w:div>
        <w:div w:id="30344713">
          <w:marLeft w:val="0"/>
          <w:marRight w:val="0"/>
          <w:marTop w:val="0"/>
          <w:marBottom w:val="0"/>
          <w:divBdr>
            <w:top w:val="none" w:sz="0" w:space="0" w:color="auto"/>
            <w:left w:val="none" w:sz="0" w:space="0" w:color="auto"/>
            <w:bottom w:val="none" w:sz="0" w:space="0" w:color="auto"/>
            <w:right w:val="none" w:sz="0" w:space="0" w:color="auto"/>
          </w:divBdr>
        </w:div>
        <w:div w:id="121116319">
          <w:marLeft w:val="0"/>
          <w:marRight w:val="0"/>
          <w:marTop w:val="0"/>
          <w:marBottom w:val="0"/>
          <w:divBdr>
            <w:top w:val="none" w:sz="0" w:space="0" w:color="auto"/>
            <w:left w:val="none" w:sz="0" w:space="0" w:color="auto"/>
            <w:bottom w:val="none" w:sz="0" w:space="0" w:color="auto"/>
            <w:right w:val="none" w:sz="0" w:space="0" w:color="auto"/>
          </w:divBdr>
        </w:div>
        <w:div w:id="1814642177">
          <w:marLeft w:val="0"/>
          <w:marRight w:val="0"/>
          <w:marTop w:val="0"/>
          <w:marBottom w:val="0"/>
          <w:divBdr>
            <w:top w:val="none" w:sz="0" w:space="0" w:color="auto"/>
            <w:left w:val="none" w:sz="0" w:space="0" w:color="auto"/>
            <w:bottom w:val="none" w:sz="0" w:space="0" w:color="auto"/>
            <w:right w:val="none" w:sz="0" w:space="0" w:color="auto"/>
          </w:divBdr>
        </w:div>
        <w:div w:id="1262954515">
          <w:marLeft w:val="0"/>
          <w:marRight w:val="0"/>
          <w:marTop w:val="0"/>
          <w:marBottom w:val="0"/>
          <w:divBdr>
            <w:top w:val="none" w:sz="0" w:space="0" w:color="auto"/>
            <w:left w:val="none" w:sz="0" w:space="0" w:color="auto"/>
            <w:bottom w:val="none" w:sz="0" w:space="0" w:color="auto"/>
            <w:right w:val="none" w:sz="0" w:space="0" w:color="auto"/>
          </w:divBdr>
        </w:div>
        <w:div w:id="1888755641">
          <w:marLeft w:val="0"/>
          <w:marRight w:val="0"/>
          <w:marTop w:val="0"/>
          <w:marBottom w:val="0"/>
          <w:divBdr>
            <w:top w:val="none" w:sz="0" w:space="0" w:color="auto"/>
            <w:left w:val="none" w:sz="0" w:space="0" w:color="auto"/>
            <w:bottom w:val="none" w:sz="0" w:space="0" w:color="auto"/>
            <w:right w:val="none" w:sz="0" w:space="0" w:color="auto"/>
          </w:divBdr>
        </w:div>
        <w:div w:id="204101712">
          <w:marLeft w:val="0"/>
          <w:marRight w:val="0"/>
          <w:marTop w:val="0"/>
          <w:marBottom w:val="0"/>
          <w:divBdr>
            <w:top w:val="none" w:sz="0" w:space="0" w:color="auto"/>
            <w:left w:val="none" w:sz="0" w:space="0" w:color="auto"/>
            <w:bottom w:val="none" w:sz="0" w:space="0" w:color="auto"/>
            <w:right w:val="none" w:sz="0" w:space="0" w:color="auto"/>
          </w:divBdr>
        </w:div>
        <w:div w:id="237904131">
          <w:marLeft w:val="0"/>
          <w:marRight w:val="0"/>
          <w:marTop w:val="0"/>
          <w:marBottom w:val="0"/>
          <w:divBdr>
            <w:top w:val="none" w:sz="0" w:space="0" w:color="auto"/>
            <w:left w:val="none" w:sz="0" w:space="0" w:color="auto"/>
            <w:bottom w:val="none" w:sz="0" w:space="0" w:color="auto"/>
            <w:right w:val="none" w:sz="0" w:space="0" w:color="auto"/>
          </w:divBdr>
        </w:div>
        <w:div w:id="9600974">
          <w:marLeft w:val="0"/>
          <w:marRight w:val="0"/>
          <w:marTop w:val="0"/>
          <w:marBottom w:val="0"/>
          <w:divBdr>
            <w:top w:val="none" w:sz="0" w:space="0" w:color="auto"/>
            <w:left w:val="none" w:sz="0" w:space="0" w:color="auto"/>
            <w:bottom w:val="none" w:sz="0" w:space="0" w:color="auto"/>
            <w:right w:val="none" w:sz="0" w:space="0" w:color="auto"/>
          </w:divBdr>
        </w:div>
        <w:div w:id="1121073127">
          <w:marLeft w:val="0"/>
          <w:marRight w:val="0"/>
          <w:marTop w:val="0"/>
          <w:marBottom w:val="0"/>
          <w:divBdr>
            <w:top w:val="none" w:sz="0" w:space="0" w:color="auto"/>
            <w:left w:val="none" w:sz="0" w:space="0" w:color="auto"/>
            <w:bottom w:val="none" w:sz="0" w:space="0" w:color="auto"/>
            <w:right w:val="none" w:sz="0" w:space="0" w:color="auto"/>
          </w:divBdr>
        </w:div>
        <w:div w:id="1098522483">
          <w:marLeft w:val="0"/>
          <w:marRight w:val="0"/>
          <w:marTop w:val="0"/>
          <w:marBottom w:val="0"/>
          <w:divBdr>
            <w:top w:val="none" w:sz="0" w:space="0" w:color="auto"/>
            <w:left w:val="none" w:sz="0" w:space="0" w:color="auto"/>
            <w:bottom w:val="none" w:sz="0" w:space="0" w:color="auto"/>
            <w:right w:val="none" w:sz="0" w:space="0" w:color="auto"/>
          </w:divBdr>
        </w:div>
        <w:div w:id="174536582">
          <w:marLeft w:val="0"/>
          <w:marRight w:val="0"/>
          <w:marTop w:val="0"/>
          <w:marBottom w:val="0"/>
          <w:divBdr>
            <w:top w:val="none" w:sz="0" w:space="0" w:color="auto"/>
            <w:left w:val="none" w:sz="0" w:space="0" w:color="auto"/>
            <w:bottom w:val="none" w:sz="0" w:space="0" w:color="auto"/>
            <w:right w:val="none" w:sz="0" w:space="0" w:color="auto"/>
          </w:divBdr>
        </w:div>
        <w:div w:id="521280741">
          <w:marLeft w:val="0"/>
          <w:marRight w:val="0"/>
          <w:marTop w:val="0"/>
          <w:marBottom w:val="0"/>
          <w:divBdr>
            <w:top w:val="none" w:sz="0" w:space="0" w:color="auto"/>
            <w:left w:val="none" w:sz="0" w:space="0" w:color="auto"/>
            <w:bottom w:val="none" w:sz="0" w:space="0" w:color="auto"/>
            <w:right w:val="none" w:sz="0" w:space="0" w:color="auto"/>
          </w:divBdr>
        </w:div>
        <w:div w:id="104430485">
          <w:marLeft w:val="0"/>
          <w:marRight w:val="0"/>
          <w:marTop w:val="0"/>
          <w:marBottom w:val="0"/>
          <w:divBdr>
            <w:top w:val="none" w:sz="0" w:space="0" w:color="auto"/>
            <w:left w:val="none" w:sz="0" w:space="0" w:color="auto"/>
            <w:bottom w:val="none" w:sz="0" w:space="0" w:color="auto"/>
            <w:right w:val="none" w:sz="0" w:space="0" w:color="auto"/>
          </w:divBdr>
        </w:div>
        <w:div w:id="1125731124">
          <w:marLeft w:val="0"/>
          <w:marRight w:val="0"/>
          <w:marTop w:val="0"/>
          <w:marBottom w:val="0"/>
          <w:divBdr>
            <w:top w:val="none" w:sz="0" w:space="0" w:color="auto"/>
            <w:left w:val="none" w:sz="0" w:space="0" w:color="auto"/>
            <w:bottom w:val="none" w:sz="0" w:space="0" w:color="auto"/>
            <w:right w:val="none" w:sz="0" w:space="0" w:color="auto"/>
          </w:divBdr>
        </w:div>
        <w:div w:id="576786174">
          <w:marLeft w:val="0"/>
          <w:marRight w:val="0"/>
          <w:marTop w:val="0"/>
          <w:marBottom w:val="0"/>
          <w:divBdr>
            <w:top w:val="none" w:sz="0" w:space="0" w:color="auto"/>
            <w:left w:val="none" w:sz="0" w:space="0" w:color="auto"/>
            <w:bottom w:val="none" w:sz="0" w:space="0" w:color="auto"/>
            <w:right w:val="none" w:sz="0" w:space="0" w:color="auto"/>
          </w:divBdr>
        </w:div>
        <w:div w:id="928192442">
          <w:marLeft w:val="0"/>
          <w:marRight w:val="0"/>
          <w:marTop w:val="0"/>
          <w:marBottom w:val="0"/>
          <w:divBdr>
            <w:top w:val="none" w:sz="0" w:space="0" w:color="auto"/>
            <w:left w:val="none" w:sz="0" w:space="0" w:color="auto"/>
            <w:bottom w:val="none" w:sz="0" w:space="0" w:color="auto"/>
            <w:right w:val="none" w:sz="0" w:space="0" w:color="auto"/>
          </w:divBdr>
        </w:div>
        <w:div w:id="1273972485">
          <w:marLeft w:val="0"/>
          <w:marRight w:val="0"/>
          <w:marTop w:val="0"/>
          <w:marBottom w:val="0"/>
          <w:divBdr>
            <w:top w:val="none" w:sz="0" w:space="0" w:color="auto"/>
            <w:left w:val="none" w:sz="0" w:space="0" w:color="auto"/>
            <w:bottom w:val="none" w:sz="0" w:space="0" w:color="auto"/>
            <w:right w:val="none" w:sz="0" w:space="0" w:color="auto"/>
          </w:divBdr>
        </w:div>
        <w:div w:id="596644673">
          <w:marLeft w:val="0"/>
          <w:marRight w:val="0"/>
          <w:marTop w:val="0"/>
          <w:marBottom w:val="0"/>
          <w:divBdr>
            <w:top w:val="none" w:sz="0" w:space="0" w:color="auto"/>
            <w:left w:val="none" w:sz="0" w:space="0" w:color="auto"/>
            <w:bottom w:val="none" w:sz="0" w:space="0" w:color="auto"/>
            <w:right w:val="none" w:sz="0" w:space="0" w:color="auto"/>
          </w:divBdr>
        </w:div>
        <w:div w:id="942880427">
          <w:marLeft w:val="0"/>
          <w:marRight w:val="0"/>
          <w:marTop w:val="0"/>
          <w:marBottom w:val="0"/>
          <w:divBdr>
            <w:top w:val="none" w:sz="0" w:space="0" w:color="auto"/>
            <w:left w:val="none" w:sz="0" w:space="0" w:color="auto"/>
            <w:bottom w:val="none" w:sz="0" w:space="0" w:color="auto"/>
            <w:right w:val="none" w:sz="0" w:space="0" w:color="auto"/>
          </w:divBdr>
        </w:div>
        <w:div w:id="1635132760">
          <w:marLeft w:val="0"/>
          <w:marRight w:val="0"/>
          <w:marTop w:val="0"/>
          <w:marBottom w:val="0"/>
          <w:divBdr>
            <w:top w:val="none" w:sz="0" w:space="0" w:color="auto"/>
            <w:left w:val="none" w:sz="0" w:space="0" w:color="auto"/>
            <w:bottom w:val="none" w:sz="0" w:space="0" w:color="auto"/>
            <w:right w:val="none" w:sz="0" w:space="0" w:color="auto"/>
          </w:divBdr>
        </w:div>
        <w:div w:id="1043559689">
          <w:marLeft w:val="0"/>
          <w:marRight w:val="0"/>
          <w:marTop w:val="0"/>
          <w:marBottom w:val="0"/>
          <w:divBdr>
            <w:top w:val="none" w:sz="0" w:space="0" w:color="auto"/>
            <w:left w:val="none" w:sz="0" w:space="0" w:color="auto"/>
            <w:bottom w:val="none" w:sz="0" w:space="0" w:color="auto"/>
            <w:right w:val="none" w:sz="0" w:space="0" w:color="auto"/>
          </w:divBdr>
        </w:div>
        <w:div w:id="140855242">
          <w:marLeft w:val="0"/>
          <w:marRight w:val="0"/>
          <w:marTop w:val="0"/>
          <w:marBottom w:val="0"/>
          <w:divBdr>
            <w:top w:val="none" w:sz="0" w:space="0" w:color="auto"/>
            <w:left w:val="none" w:sz="0" w:space="0" w:color="auto"/>
            <w:bottom w:val="none" w:sz="0" w:space="0" w:color="auto"/>
            <w:right w:val="none" w:sz="0" w:space="0" w:color="auto"/>
          </w:divBdr>
        </w:div>
        <w:div w:id="677777786">
          <w:marLeft w:val="0"/>
          <w:marRight w:val="0"/>
          <w:marTop w:val="0"/>
          <w:marBottom w:val="0"/>
          <w:divBdr>
            <w:top w:val="none" w:sz="0" w:space="0" w:color="auto"/>
            <w:left w:val="none" w:sz="0" w:space="0" w:color="auto"/>
            <w:bottom w:val="none" w:sz="0" w:space="0" w:color="auto"/>
            <w:right w:val="none" w:sz="0" w:space="0" w:color="auto"/>
          </w:divBdr>
        </w:div>
        <w:div w:id="52582467">
          <w:marLeft w:val="0"/>
          <w:marRight w:val="0"/>
          <w:marTop w:val="0"/>
          <w:marBottom w:val="0"/>
          <w:divBdr>
            <w:top w:val="none" w:sz="0" w:space="0" w:color="auto"/>
            <w:left w:val="none" w:sz="0" w:space="0" w:color="auto"/>
            <w:bottom w:val="none" w:sz="0" w:space="0" w:color="auto"/>
            <w:right w:val="none" w:sz="0" w:space="0" w:color="auto"/>
          </w:divBdr>
        </w:div>
        <w:div w:id="340204895">
          <w:marLeft w:val="0"/>
          <w:marRight w:val="0"/>
          <w:marTop w:val="0"/>
          <w:marBottom w:val="0"/>
          <w:divBdr>
            <w:top w:val="none" w:sz="0" w:space="0" w:color="auto"/>
            <w:left w:val="none" w:sz="0" w:space="0" w:color="auto"/>
            <w:bottom w:val="none" w:sz="0" w:space="0" w:color="auto"/>
            <w:right w:val="none" w:sz="0" w:space="0" w:color="auto"/>
          </w:divBdr>
        </w:div>
        <w:div w:id="1221868226">
          <w:marLeft w:val="0"/>
          <w:marRight w:val="0"/>
          <w:marTop w:val="0"/>
          <w:marBottom w:val="0"/>
          <w:divBdr>
            <w:top w:val="none" w:sz="0" w:space="0" w:color="auto"/>
            <w:left w:val="none" w:sz="0" w:space="0" w:color="auto"/>
            <w:bottom w:val="none" w:sz="0" w:space="0" w:color="auto"/>
            <w:right w:val="none" w:sz="0" w:space="0" w:color="auto"/>
          </w:divBdr>
        </w:div>
        <w:div w:id="731004263">
          <w:marLeft w:val="0"/>
          <w:marRight w:val="0"/>
          <w:marTop w:val="0"/>
          <w:marBottom w:val="0"/>
          <w:divBdr>
            <w:top w:val="none" w:sz="0" w:space="0" w:color="auto"/>
            <w:left w:val="none" w:sz="0" w:space="0" w:color="auto"/>
            <w:bottom w:val="none" w:sz="0" w:space="0" w:color="auto"/>
            <w:right w:val="none" w:sz="0" w:space="0" w:color="auto"/>
          </w:divBdr>
        </w:div>
        <w:div w:id="817919463">
          <w:marLeft w:val="0"/>
          <w:marRight w:val="0"/>
          <w:marTop w:val="0"/>
          <w:marBottom w:val="0"/>
          <w:divBdr>
            <w:top w:val="none" w:sz="0" w:space="0" w:color="auto"/>
            <w:left w:val="none" w:sz="0" w:space="0" w:color="auto"/>
            <w:bottom w:val="none" w:sz="0" w:space="0" w:color="auto"/>
            <w:right w:val="none" w:sz="0" w:space="0" w:color="auto"/>
          </w:divBdr>
        </w:div>
        <w:div w:id="1446385059">
          <w:marLeft w:val="0"/>
          <w:marRight w:val="0"/>
          <w:marTop w:val="0"/>
          <w:marBottom w:val="0"/>
          <w:divBdr>
            <w:top w:val="none" w:sz="0" w:space="0" w:color="auto"/>
            <w:left w:val="none" w:sz="0" w:space="0" w:color="auto"/>
            <w:bottom w:val="none" w:sz="0" w:space="0" w:color="auto"/>
            <w:right w:val="none" w:sz="0" w:space="0" w:color="auto"/>
          </w:divBdr>
        </w:div>
        <w:div w:id="212085378">
          <w:marLeft w:val="0"/>
          <w:marRight w:val="0"/>
          <w:marTop w:val="0"/>
          <w:marBottom w:val="0"/>
          <w:divBdr>
            <w:top w:val="none" w:sz="0" w:space="0" w:color="auto"/>
            <w:left w:val="none" w:sz="0" w:space="0" w:color="auto"/>
            <w:bottom w:val="none" w:sz="0" w:space="0" w:color="auto"/>
            <w:right w:val="none" w:sz="0" w:space="0" w:color="auto"/>
          </w:divBdr>
        </w:div>
        <w:div w:id="1254047221">
          <w:marLeft w:val="0"/>
          <w:marRight w:val="0"/>
          <w:marTop w:val="0"/>
          <w:marBottom w:val="0"/>
          <w:divBdr>
            <w:top w:val="none" w:sz="0" w:space="0" w:color="auto"/>
            <w:left w:val="none" w:sz="0" w:space="0" w:color="auto"/>
            <w:bottom w:val="none" w:sz="0" w:space="0" w:color="auto"/>
            <w:right w:val="none" w:sz="0" w:space="0" w:color="auto"/>
          </w:divBdr>
        </w:div>
        <w:div w:id="2114327180">
          <w:marLeft w:val="0"/>
          <w:marRight w:val="0"/>
          <w:marTop w:val="0"/>
          <w:marBottom w:val="0"/>
          <w:divBdr>
            <w:top w:val="none" w:sz="0" w:space="0" w:color="auto"/>
            <w:left w:val="none" w:sz="0" w:space="0" w:color="auto"/>
            <w:bottom w:val="none" w:sz="0" w:space="0" w:color="auto"/>
            <w:right w:val="none" w:sz="0" w:space="0" w:color="auto"/>
          </w:divBdr>
        </w:div>
        <w:div w:id="112484950">
          <w:marLeft w:val="0"/>
          <w:marRight w:val="0"/>
          <w:marTop w:val="0"/>
          <w:marBottom w:val="0"/>
          <w:divBdr>
            <w:top w:val="none" w:sz="0" w:space="0" w:color="auto"/>
            <w:left w:val="none" w:sz="0" w:space="0" w:color="auto"/>
            <w:bottom w:val="none" w:sz="0" w:space="0" w:color="auto"/>
            <w:right w:val="none" w:sz="0" w:space="0" w:color="auto"/>
          </w:divBdr>
        </w:div>
        <w:div w:id="745808533">
          <w:marLeft w:val="0"/>
          <w:marRight w:val="0"/>
          <w:marTop w:val="0"/>
          <w:marBottom w:val="0"/>
          <w:divBdr>
            <w:top w:val="none" w:sz="0" w:space="0" w:color="auto"/>
            <w:left w:val="none" w:sz="0" w:space="0" w:color="auto"/>
            <w:bottom w:val="none" w:sz="0" w:space="0" w:color="auto"/>
            <w:right w:val="none" w:sz="0" w:space="0" w:color="auto"/>
          </w:divBdr>
        </w:div>
        <w:div w:id="1317035265">
          <w:marLeft w:val="0"/>
          <w:marRight w:val="0"/>
          <w:marTop w:val="0"/>
          <w:marBottom w:val="0"/>
          <w:divBdr>
            <w:top w:val="none" w:sz="0" w:space="0" w:color="auto"/>
            <w:left w:val="none" w:sz="0" w:space="0" w:color="auto"/>
            <w:bottom w:val="none" w:sz="0" w:space="0" w:color="auto"/>
            <w:right w:val="none" w:sz="0" w:space="0" w:color="auto"/>
          </w:divBdr>
        </w:div>
        <w:div w:id="201987486">
          <w:marLeft w:val="0"/>
          <w:marRight w:val="0"/>
          <w:marTop w:val="0"/>
          <w:marBottom w:val="0"/>
          <w:divBdr>
            <w:top w:val="none" w:sz="0" w:space="0" w:color="auto"/>
            <w:left w:val="none" w:sz="0" w:space="0" w:color="auto"/>
            <w:bottom w:val="none" w:sz="0" w:space="0" w:color="auto"/>
            <w:right w:val="none" w:sz="0" w:space="0" w:color="auto"/>
          </w:divBdr>
        </w:div>
        <w:div w:id="1741513022">
          <w:marLeft w:val="0"/>
          <w:marRight w:val="0"/>
          <w:marTop w:val="0"/>
          <w:marBottom w:val="0"/>
          <w:divBdr>
            <w:top w:val="none" w:sz="0" w:space="0" w:color="auto"/>
            <w:left w:val="none" w:sz="0" w:space="0" w:color="auto"/>
            <w:bottom w:val="none" w:sz="0" w:space="0" w:color="auto"/>
            <w:right w:val="none" w:sz="0" w:space="0" w:color="auto"/>
          </w:divBdr>
        </w:div>
        <w:div w:id="529077487">
          <w:marLeft w:val="0"/>
          <w:marRight w:val="0"/>
          <w:marTop w:val="0"/>
          <w:marBottom w:val="0"/>
          <w:divBdr>
            <w:top w:val="none" w:sz="0" w:space="0" w:color="auto"/>
            <w:left w:val="none" w:sz="0" w:space="0" w:color="auto"/>
            <w:bottom w:val="none" w:sz="0" w:space="0" w:color="auto"/>
            <w:right w:val="none" w:sz="0" w:space="0" w:color="auto"/>
          </w:divBdr>
        </w:div>
        <w:div w:id="524907804">
          <w:marLeft w:val="0"/>
          <w:marRight w:val="0"/>
          <w:marTop w:val="0"/>
          <w:marBottom w:val="0"/>
          <w:divBdr>
            <w:top w:val="none" w:sz="0" w:space="0" w:color="auto"/>
            <w:left w:val="none" w:sz="0" w:space="0" w:color="auto"/>
            <w:bottom w:val="none" w:sz="0" w:space="0" w:color="auto"/>
            <w:right w:val="none" w:sz="0" w:space="0" w:color="auto"/>
          </w:divBdr>
        </w:div>
        <w:div w:id="1428846458">
          <w:marLeft w:val="0"/>
          <w:marRight w:val="0"/>
          <w:marTop w:val="0"/>
          <w:marBottom w:val="0"/>
          <w:divBdr>
            <w:top w:val="none" w:sz="0" w:space="0" w:color="auto"/>
            <w:left w:val="none" w:sz="0" w:space="0" w:color="auto"/>
            <w:bottom w:val="none" w:sz="0" w:space="0" w:color="auto"/>
            <w:right w:val="none" w:sz="0" w:space="0" w:color="auto"/>
          </w:divBdr>
        </w:div>
        <w:div w:id="575433078">
          <w:marLeft w:val="0"/>
          <w:marRight w:val="0"/>
          <w:marTop w:val="0"/>
          <w:marBottom w:val="0"/>
          <w:divBdr>
            <w:top w:val="none" w:sz="0" w:space="0" w:color="auto"/>
            <w:left w:val="none" w:sz="0" w:space="0" w:color="auto"/>
            <w:bottom w:val="none" w:sz="0" w:space="0" w:color="auto"/>
            <w:right w:val="none" w:sz="0" w:space="0" w:color="auto"/>
          </w:divBdr>
        </w:div>
        <w:div w:id="1929531950">
          <w:marLeft w:val="0"/>
          <w:marRight w:val="0"/>
          <w:marTop w:val="0"/>
          <w:marBottom w:val="0"/>
          <w:divBdr>
            <w:top w:val="none" w:sz="0" w:space="0" w:color="auto"/>
            <w:left w:val="none" w:sz="0" w:space="0" w:color="auto"/>
            <w:bottom w:val="none" w:sz="0" w:space="0" w:color="auto"/>
            <w:right w:val="none" w:sz="0" w:space="0" w:color="auto"/>
          </w:divBdr>
        </w:div>
        <w:div w:id="1577275689">
          <w:marLeft w:val="0"/>
          <w:marRight w:val="0"/>
          <w:marTop w:val="0"/>
          <w:marBottom w:val="0"/>
          <w:divBdr>
            <w:top w:val="none" w:sz="0" w:space="0" w:color="auto"/>
            <w:left w:val="none" w:sz="0" w:space="0" w:color="auto"/>
            <w:bottom w:val="none" w:sz="0" w:space="0" w:color="auto"/>
            <w:right w:val="none" w:sz="0" w:space="0" w:color="auto"/>
          </w:divBdr>
        </w:div>
        <w:div w:id="752436491">
          <w:marLeft w:val="0"/>
          <w:marRight w:val="0"/>
          <w:marTop w:val="0"/>
          <w:marBottom w:val="0"/>
          <w:divBdr>
            <w:top w:val="none" w:sz="0" w:space="0" w:color="auto"/>
            <w:left w:val="none" w:sz="0" w:space="0" w:color="auto"/>
            <w:bottom w:val="none" w:sz="0" w:space="0" w:color="auto"/>
            <w:right w:val="none" w:sz="0" w:space="0" w:color="auto"/>
          </w:divBdr>
        </w:div>
        <w:div w:id="1319118784">
          <w:marLeft w:val="0"/>
          <w:marRight w:val="0"/>
          <w:marTop w:val="0"/>
          <w:marBottom w:val="0"/>
          <w:divBdr>
            <w:top w:val="none" w:sz="0" w:space="0" w:color="auto"/>
            <w:left w:val="none" w:sz="0" w:space="0" w:color="auto"/>
            <w:bottom w:val="none" w:sz="0" w:space="0" w:color="auto"/>
            <w:right w:val="none" w:sz="0" w:space="0" w:color="auto"/>
          </w:divBdr>
        </w:div>
        <w:div w:id="2094086238">
          <w:marLeft w:val="0"/>
          <w:marRight w:val="0"/>
          <w:marTop w:val="0"/>
          <w:marBottom w:val="0"/>
          <w:divBdr>
            <w:top w:val="none" w:sz="0" w:space="0" w:color="auto"/>
            <w:left w:val="none" w:sz="0" w:space="0" w:color="auto"/>
            <w:bottom w:val="none" w:sz="0" w:space="0" w:color="auto"/>
            <w:right w:val="none" w:sz="0" w:space="0" w:color="auto"/>
          </w:divBdr>
        </w:div>
        <w:div w:id="269438972">
          <w:marLeft w:val="0"/>
          <w:marRight w:val="0"/>
          <w:marTop w:val="0"/>
          <w:marBottom w:val="0"/>
          <w:divBdr>
            <w:top w:val="none" w:sz="0" w:space="0" w:color="auto"/>
            <w:left w:val="none" w:sz="0" w:space="0" w:color="auto"/>
            <w:bottom w:val="none" w:sz="0" w:space="0" w:color="auto"/>
            <w:right w:val="none" w:sz="0" w:space="0" w:color="auto"/>
          </w:divBdr>
        </w:div>
        <w:div w:id="506746441">
          <w:marLeft w:val="0"/>
          <w:marRight w:val="0"/>
          <w:marTop w:val="0"/>
          <w:marBottom w:val="0"/>
          <w:divBdr>
            <w:top w:val="none" w:sz="0" w:space="0" w:color="auto"/>
            <w:left w:val="none" w:sz="0" w:space="0" w:color="auto"/>
            <w:bottom w:val="none" w:sz="0" w:space="0" w:color="auto"/>
            <w:right w:val="none" w:sz="0" w:space="0" w:color="auto"/>
          </w:divBdr>
        </w:div>
        <w:div w:id="1466313823">
          <w:marLeft w:val="0"/>
          <w:marRight w:val="0"/>
          <w:marTop w:val="0"/>
          <w:marBottom w:val="0"/>
          <w:divBdr>
            <w:top w:val="none" w:sz="0" w:space="0" w:color="auto"/>
            <w:left w:val="none" w:sz="0" w:space="0" w:color="auto"/>
            <w:bottom w:val="none" w:sz="0" w:space="0" w:color="auto"/>
            <w:right w:val="none" w:sz="0" w:space="0" w:color="auto"/>
          </w:divBdr>
        </w:div>
        <w:div w:id="1596791548">
          <w:marLeft w:val="0"/>
          <w:marRight w:val="0"/>
          <w:marTop w:val="0"/>
          <w:marBottom w:val="0"/>
          <w:divBdr>
            <w:top w:val="none" w:sz="0" w:space="0" w:color="auto"/>
            <w:left w:val="none" w:sz="0" w:space="0" w:color="auto"/>
            <w:bottom w:val="none" w:sz="0" w:space="0" w:color="auto"/>
            <w:right w:val="none" w:sz="0" w:space="0" w:color="auto"/>
          </w:divBdr>
        </w:div>
        <w:div w:id="1296178700">
          <w:marLeft w:val="0"/>
          <w:marRight w:val="0"/>
          <w:marTop w:val="0"/>
          <w:marBottom w:val="0"/>
          <w:divBdr>
            <w:top w:val="none" w:sz="0" w:space="0" w:color="auto"/>
            <w:left w:val="none" w:sz="0" w:space="0" w:color="auto"/>
            <w:bottom w:val="none" w:sz="0" w:space="0" w:color="auto"/>
            <w:right w:val="none" w:sz="0" w:space="0" w:color="auto"/>
          </w:divBdr>
        </w:div>
        <w:div w:id="1220432520">
          <w:marLeft w:val="0"/>
          <w:marRight w:val="0"/>
          <w:marTop w:val="0"/>
          <w:marBottom w:val="0"/>
          <w:divBdr>
            <w:top w:val="none" w:sz="0" w:space="0" w:color="auto"/>
            <w:left w:val="none" w:sz="0" w:space="0" w:color="auto"/>
            <w:bottom w:val="none" w:sz="0" w:space="0" w:color="auto"/>
            <w:right w:val="none" w:sz="0" w:space="0" w:color="auto"/>
          </w:divBdr>
        </w:div>
        <w:div w:id="1289434816">
          <w:marLeft w:val="0"/>
          <w:marRight w:val="0"/>
          <w:marTop w:val="0"/>
          <w:marBottom w:val="0"/>
          <w:divBdr>
            <w:top w:val="none" w:sz="0" w:space="0" w:color="auto"/>
            <w:left w:val="none" w:sz="0" w:space="0" w:color="auto"/>
            <w:bottom w:val="none" w:sz="0" w:space="0" w:color="auto"/>
            <w:right w:val="none" w:sz="0" w:space="0" w:color="auto"/>
          </w:divBdr>
        </w:div>
        <w:div w:id="48500019">
          <w:marLeft w:val="0"/>
          <w:marRight w:val="0"/>
          <w:marTop w:val="0"/>
          <w:marBottom w:val="0"/>
          <w:divBdr>
            <w:top w:val="none" w:sz="0" w:space="0" w:color="auto"/>
            <w:left w:val="none" w:sz="0" w:space="0" w:color="auto"/>
            <w:bottom w:val="none" w:sz="0" w:space="0" w:color="auto"/>
            <w:right w:val="none" w:sz="0" w:space="0" w:color="auto"/>
          </w:divBdr>
        </w:div>
        <w:div w:id="1634556212">
          <w:marLeft w:val="0"/>
          <w:marRight w:val="0"/>
          <w:marTop w:val="0"/>
          <w:marBottom w:val="0"/>
          <w:divBdr>
            <w:top w:val="none" w:sz="0" w:space="0" w:color="auto"/>
            <w:left w:val="none" w:sz="0" w:space="0" w:color="auto"/>
            <w:bottom w:val="none" w:sz="0" w:space="0" w:color="auto"/>
            <w:right w:val="none" w:sz="0" w:space="0" w:color="auto"/>
          </w:divBdr>
        </w:div>
        <w:div w:id="967857379">
          <w:marLeft w:val="0"/>
          <w:marRight w:val="0"/>
          <w:marTop w:val="0"/>
          <w:marBottom w:val="0"/>
          <w:divBdr>
            <w:top w:val="none" w:sz="0" w:space="0" w:color="auto"/>
            <w:left w:val="none" w:sz="0" w:space="0" w:color="auto"/>
            <w:bottom w:val="none" w:sz="0" w:space="0" w:color="auto"/>
            <w:right w:val="none" w:sz="0" w:space="0" w:color="auto"/>
          </w:divBdr>
        </w:div>
        <w:div w:id="996298307">
          <w:marLeft w:val="0"/>
          <w:marRight w:val="0"/>
          <w:marTop w:val="0"/>
          <w:marBottom w:val="0"/>
          <w:divBdr>
            <w:top w:val="none" w:sz="0" w:space="0" w:color="auto"/>
            <w:left w:val="none" w:sz="0" w:space="0" w:color="auto"/>
            <w:bottom w:val="none" w:sz="0" w:space="0" w:color="auto"/>
            <w:right w:val="none" w:sz="0" w:space="0" w:color="auto"/>
          </w:divBdr>
        </w:div>
        <w:div w:id="70199338">
          <w:marLeft w:val="0"/>
          <w:marRight w:val="0"/>
          <w:marTop w:val="0"/>
          <w:marBottom w:val="0"/>
          <w:divBdr>
            <w:top w:val="none" w:sz="0" w:space="0" w:color="auto"/>
            <w:left w:val="none" w:sz="0" w:space="0" w:color="auto"/>
            <w:bottom w:val="none" w:sz="0" w:space="0" w:color="auto"/>
            <w:right w:val="none" w:sz="0" w:space="0" w:color="auto"/>
          </w:divBdr>
        </w:div>
        <w:div w:id="1780300689">
          <w:marLeft w:val="0"/>
          <w:marRight w:val="0"/>
          <w:marTop w:val="0"/>
          <w:marBottom w:val="0"/>
          <w:divBdr>
            <w:top w:val="none" w:sz="0" w:space="0" w:color="auto"/>
            <w:left w:val="none" w:sz="0" w:space="0" w:color="auto"/>
            <w:bottom w:val="none" w:sz="0" w:space="0" w:color="auto"/>
            <w:right w:val="none" w:sz="0" w:space="0" w:color="auto"/>
          </w:divBdr>
        </w:div>
        <w:div w:id="1190533254">
          <w:marLeft w:val="0"/>
          <w:marRight w:val="0"/>
          <w:marTop w:val="0"/>
          <w:marBottom w:val="0"/>
          <w:divBdr>
            <w:top w:val="none" w:sz="0" w:space="0" w:color="auto"/>
            <w:left w:val="none" w:sz="0" w:space="0" w:color="auto"/>
            <w:bottom w:val="none" w:sz="0" w:space="0" w:color="auto"/>
            <w:right w:val="none" w:sz="0" w:space="0" w:color="auto"/>
          </w:divBdr>
        </w:div>
        <w:div w:id="1556357206">
          <w:marLeft w:val="0"/>
          <w:marRight w:val="0"/>
          <w:marTop w:val="0"/>
          <w:marBottom w:val="0"/>
          <w:divBdr>
            <w:top w:val="none" w:sz="0" w:space="0" w:color="auto"/>
            <w:left w:val="none" w:sz="0" w:space="0" w:color="auto"/>
            <w:bottom w:val="none" w:sz="0" w:space="0" w:color="auto"/>
            <w:right w:val="none" w:sz="0" w:space="0" w:color="auto"/>
          </w:divBdr>
        </w:div>
        <w:div w:id="664940086">
          <w:marLeft w:val="0"/>
          <w:marRight w:val="0"/>
          <w:marTop w:val="0"/>
          <w:marBottom w:val="0"/>
          <w:divBdr>
            <w:top w:val="none" w:sz="0" w:space="0" w:color="auto"/>
            <w:left w:val="none" w:sz="0" w:space="0" w:color="auto"/>
            <w:bottom w:val="none" w:sz="0" w:space="0" w:color="auto"/>
            <w:right w:val="none" w:sz="0" w:space="0" w:color="auto"/>
          </w:divBdr>
        </w:div>
        <w:div w:id="1359893869">
          <w:marLeft w:val="0"/>
          <w:marRight w:val="0"/>
          <w:marTop w:val="0"/>
          <w:marBottom w:val="0"/>
          <w:divBdr>
            <w:top w:val="none" w:sz="0" w:space="0" w:color="auto"/>
            <w:left w:val="none" w:sz="0" w:space="0" w:color="auto"/>
            <w:bottom w:val="none" w:sz="0" w:space="0" w:color="auto"/>
            <w:right w:val="none" w:sz="0" w:space="0" w:color="auto"/>
          </w:divBdr>
        </w:div>
        <w:div w:id="1226332261">
          <w:marLeft w:val="0"/>
          <w:marRight w:val="0"/>
          <w:marTop w:val="0"/>
          <w:marBottom w:val="0"/>
          <w:divBdr>
            <w:top w:val="none" w:sz="0" w:space="0" w:color="auto"/>
            <w:left w:val="none" w:sz="0" w:space="0" w:color="auto"/>
            <w:bottom w:val="none" w:sz="0" w:space="0" w:color="auto"/>
            <w:right w:val="none" w:sz="0" w:space="0" w:color="auto"/>
          </w:divBdr>
        </w:div>
        <w:div w:id="737366083">
          <w:marLeft w:val="0"/>
          <w:marRight w:val="0"/>
          <w:marTop w:val="0"/>
          <w:marBottom w:val="0"/>
          <w:divBdr>
            <w:top w:val="none" w:sz="0" w:space="0" w:color="auto"/>
            <w:left w:val="none" w:sz="0" w:space="0" w:color="auto"/>
            <w:bottom w:val="none" w:sz="0" w:space="0" w:color="auto"/>
            <w:right w:val="none" w:sz="0" w:space="0" w:color="auto"/>
          </w:divBdr>
        </w:div>
        <w:div w:id="948196856">
          <w:marLeft w:val="0"/>
          <w:marRight w:val="0"/>
          <w:marTop w:val="0"/>
          <w:marBottom w:val="0"/>
          <w:divBdr>
            <w:top w:val="none" w:sz="0" w:space="0" w:color="auto"/>
            <w:left w:val="none" w:sz="0" w:space="0" w:color="auto"/>
            <w:bottom w:val="none" w:sz="0" w:space="0" w:color="auto"/>
            <w:right w:val="none" w:sz="0" w:space="0" w:color="auto"/>
          </w:divBdr>
        </w:div>
        <w:div w:id="465201092">
          <w:marLeft w:val="0"/>
          <w:marRight w:val="0"/>
          <w:marTop w:val="0"/>
          <w:marBottom w:val="0"/>
          <w:divBdr>
            <w:top w:val="none" w:sz="0" w:space="0" w:color="auto"/>
            <w:left w:val="none" w:sz="0" w:space="0" w:color="auto"/>
            <w:bottom w:val="none" w:sz="0" w:space="0" w:color="auto"/>
            <w:right w:val="none" w:sz="0" w:space="0" w:color="auto"/>
          </w:divBdr>
        </w:div>
        <w:div w:id="1931083884">
          <w:marLeft w:val="0"/>
          <w:marRight w:val="0"/>
          <w:marTop w:val="0"/>
          <w:marBottom w:val="0"/>
          <w:divBdr>
            <w:top w:val="none" w:sz="0" w:space="0" w:color="auto"/>
            <w:left w:val="none" w:sz="0" w:space="0" w:color="auto"/>
            <w:bottom w:val="none" w:sz="0" w:space="0" w:color="auto"/>
            <w:right w:val="none" w:sz="0" w:space="0" w:color="auto"/>
          </w:divBdr>
        </w:div>
        <w:div w:id="617763395">
          <w:marLeft w:val="0"/>
          <w:marRight w:val="0"/>
          <w:marTop w:val="0"/>
          <w:marBottom w:val="0"/>
          <w:divBdr>
            <w:top w:val="none" w:sz="0" w:space="0" w:color="auto"/>
            <w:left w:val="none" w:sz="0" w:space="0" w:color="auto"/>
            <w:bottom w:val="none" w:sz="0" w:space="0" w:color="auto"/>
            <w:right w:val="none" w:sz="0" w:space="0" w:color="auto"/>
          </w:divBdr>
        </w:div>
        <w:div w:id="1838421675">
          <w:marLeft w:val="0"/>
          <w:marRight w:val="0"/>
          <w:marTop w:val="0"/>
          <w:marBottom w:val="0"/>
          <w:divBdr>
            <w:top w:val="none" w:sz="0" w:space="0" w:color="auto"/>
            <w:left w:val="none" w:sz="0" w:space="0" w:color="auto"/>
            <w:bottom w:val="none" w:sz="0" w:space="0" w:color="auto"/>
            <w:right w:val="none" w:sz="0" w:space="0" w:color="auto"/>
          </w:divBdr>
        </w:div>
        <w:div w:id="579144519">
          <w:marLeft w:val="0"/>
          <w:marRight w:val="0"/>
          <w:marTop w:val="0"/>
          <w:marBottom w:val="0"/>
          <w:divBdr>
            <w:top w:val="none" w:sz="0" w:space="0" w:color="auto"/>
            <w:left w:val="none" w:sz="0" w:space="0" w:color="auto"/>
            <w:bottom w:val="none" w:sz="0" w:space="0" w:color="auto"/>
            <w:right w:val="none" w:sz="0" w:space="0" w:color="auto"/>
          </w:divBdr>
        </w:div>
        <w:div w:id="467475553">
          <w:marLeft w:val="0"/>
          <w:marRight w:val="0"/>
          <w:marTop w:val="0"/>
          <w:marBottom w:val="0"/>
          <w:divBdr>
            <w:top w:val="none" w:sz="0" w:space="0" w:color="auto"/>
            <w:left w:val="none" w:sz="0" w:space="0" w:color="auto"/>
            <w:bottom w:val="none" w:sz="0" w:space="0" w:color="auto"/>
            <w:right w:val="none" w:sz="0" w:space="0" w:color="auto"/>
          </w:divBdr>
        </w:div>
        <w:div w:id="1439907197">
          <w:marLeft w:val="0"/>
          <w:marRight w:val="0"/>
          <w:marTop w:val="0"/>
          <w:marBottom w:val="0"/>
          <w:divBdr>
            <w:top w:val="none" w:sz="0" w:space="0" w:color="auto"/>
            <w:left w:val="none" w:sz="0" w:space="0" w:color="auto"/>
            <w:bottom w:val="none" w:sz="0" w:space="0" w:color="auto"/>
            <w:right w:val="none" w:sz="0" w:space="0" w:color="auto"/>
          </w:divBdr>
        </w:div>
        <w:div w:id="31157201">
          <w:marLeft w:val="0"/>
          <w:marRight w:val="0"/>
          <w:marTop w:val="0"/>
          <w:marBottom w:val="0"/>
          <w:divBdr>
            <w:top w:val="none" w:sz="0" w:space="0" w:color="auto"/>
            <w:left w:val="none" w:sz="0" w:space="0" w:color="auto"/>
            <w:bottom w:val="none" w:sz="0" w:space="0" w:color="auto"/>
            <w:right w:val="none" w:sz="0" w:space="0" w:color="auto"/>
          </w:divBdr>
        </w:div>
        <w:div w:id="1621301473">
          <w:marLeft w:val="0"/>
          <w:marRight w:val="0"/>
          <w:marTop w:val="0"/>
          <w:marBottom w:val="0"/>
          <w:divBdr>
            <w:top w:val="none" w:sz="0" w:space="0" w:color="auto"/>
            <w:left w:val="none" w:sz="0" w:space="0" w:color="auto"/>
            <w:bottom w:val="none" w:sz="0" w:space="0" w:color="auto"/>
            <w:right w:val="none" w:sz="0" w:space="0" w:color="auto"/>
          </w:divBdr>
        </w:div>
        <w:div w:id="165823385">
          <w:marLeft w:val="0"/>
          <w:marRight w:val="0"/>
          <w:marTop w:val="0"/>
          <w:marBottom w:val="0"/>
          <w:divBdr>
            <w:top w:val="none" w:sz="0" w:space="0" w:color="auto"/>
            <w:left w:val="none" w:sz="0" w:space="0" w:color="auto"/>
            <w:bottom w:val="none" w:sz="0" w:space="0" w:color="auto"/>
            <w:right w:val="none" w:sz="0" w:space="0" w:color="auto"/>
          </w:divBdr>
        </w:div>
        <w:div w:id="1555385220">
          <w:marLeft w:val="0"/>
          <w:marRight w:val="0"/>
          <w:marTop w:val="0"/>
          <w:marBottom w:val="0"/>
          <w:divBdr>
            <w:top w:val="none" w:sz="0" w:space="0" w:color="auto"/>
            <w:left w:val="none" w:sz="0" w:space="0" w:color="auto"/>
            <w:bottom w:val="none" w:sz="0" w:space="0" w:color="auto"/>
            <w:right w:val="none" w:sz="0" w:space="0" w:color="auto"/>
          </w:divBdr>
        </w:div>
        <w:div w:id="317418314">
          <w:marLeft w:val="0"/>
          <w:marRight w:val="0"/>
          <w:marTop w:val="0"/>
          <w:marBottom w:val="0"/>
          <w:divBdr>
            <w:top w:val="none" w:sz="0" w:space="0" w:color="auto"/>
            <w:left w:val="none" w:sz="0" w:space="0" w:color="auto"/>
            <w:bottom w:val="none" w:sz="0" w:space="0" w:color="auto"/>
            <w:right w:val="none" w:sz="0" w:space="0" w:color="auto"/>
          </w:divBdr>
        </w:div>
        <w:div w:id="517620532">
          <w:marLeft w:val="0"/>
          <w:marRight w:val="0"/>
          <w:marTop w:val="0"/>
          <w:marBottom w:val="0"/>
          <w:divBdr>
            <w:top w:val="none" w:sz="0" w:space="0" w:color="auto"/>
            <w:left w:val="none" w:sz="0" w:space="0" w:color="auto"/>
            <w:bottom w:val="none" w:sz="0" w:space="0" w:color="auto"/>
            <w:right w:val="none" w:sz="0" w:space="0" w:color="auto"/>
          </w:divBdr>
        </w:div>
        <w:div w:id="1172795821">
          <w:marLeft w:val="0"/>
          <w:marRight w:val="0"/>
          <w:marTop w:val="0"/>
          <w:marBottom w:val="0"/>
          <w:divBdr>
            <w:top w:val="none" w:sz="0" w:space="0" w:color="auto"/>
            <w:left w:val="none" w:sz="0" w:space="0" w:color="auto"/>
            <w:bottom w:val="none" w:sz="0" w:space="0" w:color="auto"/>
            <w:right w:val="none" w:sz="0" w:space="0" w:color="auto"/>
          </w:divBdr>
        </w:div>
        <w:div w:id="684021673">
          <w:marLeft w:val="0"/>
          <w:marRight w:val="0"/>
          <w:marTop w:val="0"/>
          <w:marBottom w:val="0"/>
          <w:divBdr>
            <w:top w:val="none" w:sz="0" w:space="0" w:color="auto"/>
            <w:left w:val="none" w:sz="0" w:space="0" w:color="auto"/>
            <w:bottom w:val="none" w:sz="0" w:space="0" w:color="auto"/>
            <w:right w:val="none" w:sz="0" w:space="0" w:color="auto"/>
          </w:divBdr>
        </w:div>
        <w:div w:id="308486977">
          <w:marLeft w:val="0"/>
          <w:marRight w:val="0"/>
          <w:marTop w:val="0"/>
          <w:marBottom w:val="0"/>
          <w:divBdr>
            <w:top w:val="none" w:sz="0" w:space="0" w:color="auto"/>
            <w:left w:val="none" w:sz="0" w:space="0" w:color="auto"/>
            <w:bottom w:val="none" w:sz="0" w:space="0" w:color="auto"/>
            <w:right w:val="none" w:sz="0" w:space="0" w:color="auto"/>
          </w:divBdr>
        </w:div>
        <w:div w:id="20980677">
          <w:marLeft w:val="0"/>
          <w:marRight w:val="0"/>
          <w:marTop w:val="0"/>
          <w:marBottom w:val="0"/>
          <w:divBdr>
            <w:top w:val="none" w:sz="0" w:space="0" w:color="auto"/>
            <w:left w:val="none" w:sz="0" w:space="0" w:color="auto"/>
            <w:bottom w:val="none" w:sz="0" w:space="0" w:color="auto"/>
            <w:right w:val="none" w:sz="0" w:space="0" w:color="auto"/>
          </w:divBdr>
        </w:div>
        <w:div w:id="1463303553">
          <w:marLeft w:val="0"/>
          <w:marRight w:val="0"/>
          <w:marTop w:val="0"/>
          <w:marBottom w:val="0"/>
          <w:divBdr>
            <w:top w:val="none" w:sz="0" w:space="0" w:color="auto"/>
            <w:left w:val="none" w:sz="0" w:space="0" w:color="auto"/>
            <w:bottom w:val="none" w:sz="0" w:space="0" w:color="auto"/>
            <w:right w:val="none" w:sz="0" w:space="0" w:color="auto"/>
          </w:divBdr>
        </w:div>
        <w:div w:id="581910892">
          <w:marLeft w:val="0"/>
          <w:marRight w:val="0"/>
          <w:marTop w:val="0"/>
          <w:marBottom w:val="0"/>
          <w:divBdr>
            <w:top w:val="none" w:sz="0" w:space="0" w:color="auto"/>
            <w:left w:val="none" w:sz="0" w:space="0" w:color="auto"/>
            <w:bottom w:val="none" w:sz="0" w:space="0" w:color="auto"/>
            <w:right w:val="none" w:sz="0" w:space="0" w:color="auto"/>
          </w:divBdr>
        </w:div>
        <w:div w:id="2008097963">
          <w:marLeft w:val="0"/>
          <w:marRight w:val="0"/>
          <w:marTop w:val="0"/>
          <w:marBottom w:val="0"/>
          <w:divBdr>
            <w:top w:val="none" w:sz="0" w:space="0" w:color="auto"/>
            <w:left w:val="none" w:sz="0" w:space="0" w:color="auto"/>
            <w:bottom w:val="none" w:sz="0" w:space="0" w:color="auto"/>
            <w:right w:val="none" w:sz="0" w:space="0" w:color="auto"/>
          </w:divBdr>
        </w:div>
        <w:div w:id="880360540">
          <w:marLeft w:val="0"/>
          <w:marRight w:val="0"/>
          <w:marTop w:val="0"/>
          <w:marBottom w:val="0"/>
          <w:divBdr>
            <w:top w:val="none" w:sz="0" w:space="0" w:color="auto"/>
            <w:left w:val="none" w:sz="0" w:space="0" w:color="auto"/>
            <w:bottom w:val="none" w:sz="0" w:space="0" w:color="auto"/>
            <w:right w:val="none" w:sz="0" w:space="0" w:color="auto"/>
          </w:divBdr>
        </w:div>
        <w:div w:id="1012878131">
          <w:marLeft w:val="0"/>
          <w:marRight w:val="0"/>
          <w:marTop w:val="0"/>
          <w:marBottom w:val="0"/>
          <w:divBdr>
            <w:top w:val="none" w:sz="0" w:space="0" w:color="auto"/>
            <w:left w:val="none" w:sz="0" w:space="0" w:color="auto"/>
            <w:bottom w:val="none" w:sz="0" w:space="0" w:color="auto"/>
            <w:right w:val="none" w:sz="0" w:space="0" w:color="auto"/>
          </w:divBdr>
        </w:div>
        <w:div w:id="2090031795">
          <w:marLeft w:val="0"/>
          <w:marRight w:val="0"/>
          <w:marTop w:val="0"/>
          <w:marBottom w:val="0"/>
          <w:divBdr>
            <w:top w:val="none" w:sz="0" w:space="0" w:color="auto"/>
            <w:left w:val="none" w:sz="0" w:space="0" w:color="auto"/>
            <w:bottom w:val="none" w:sz="0" w:space="0" w:color="auto"/>
            <w:right w:val="none" w:sz="0" w:space="0" w:color="auto"/>
          </w:divBdr>
        </w:div>
        <w:div w:id="736243576">
          <w:marLeft w:val="0"/>
          <w:marRight w:val="0"/>
          <w:marTop w:val="0"/>
          <w:marBottom w:val="0"/>
          <w:divBdr>
            <w:top w:val="none" w:sz="0" w:space="0" w:color="auto"/>
            <w:left w:val="none" w:sz="0" w:space="0" w:color="auto"/>
            <w:bottom w:val="none" w:sz="0" w:space="0" w:color="auto"/>
            <w:right w:val="none" w:sz="0" w:space="0" w:color="auto"/>
          </w:divBdr>
        </w:div>
        <w:div w:id="445153225">
          <w:marLeft w:val="0"/>
          <w:marRight w:val="0"/>
          <w:marTop w:val="0"/>
          <w:marBottom w:val="0"/>
          <w:divBdr>
            <w:top w:val="none" w:sz="0" w:space="0" w:color="auto"/>
            <w:left w:val="none" w:sz="0" w:space="0" w:color="auto"/>
            <w:bottom w:val="none" w:sz="0" w:space="0" w:color="auto"/>
            <w:right w:val="none" w:sz="0" w:space="0" w:color="auto"/>
          </w:divBdr>
        </w:div>
        <w:div w:id="1856847452">
          <w:marLeft w:val="0"/>
          <w:marRight w:val="0"/>
          <w:marTop w:val="0"/>
          <w:marBottom w:val="0"/>
          <w:divBdr>
            <w:top w:val="none" w:sz="0" w:space="0" w:color="auto"/>
            <w:left w:val="none" w:sz="0" w:space="0" w:color="auto"/>
            <w:bottom w:val="none" w:sz="0" w:space="0" w:color="auto"/>
            <w:right w:val="none" w:sz="0" w:space="0" w:color="auto"/>
          </w:divBdr>
        </w:div>
        <w:div w:id="1884168404">
          <w:marLeft w:val="0"/>
          <w:marRight w:val="0"/>
          <w:marTop w:val="0"/>
          <w:marBottom w:val="0"/>
          <w:divBdr>
            <w:top w:val="none" w:sz="0" w:space="0" w:color="auto"/>
            <w:left w:val="none" w:sz="0" w:space="0" w:color="auto"/>
            <w:bottom w:val="none" w:sz="0" w:space="0" w:color="auto"/>
            <w:right w:val="none" w:sz="0" w:space="0" w:color="auto"/>
          </w:divBdr>
        </w:div>
        <w:div w:id="1837987844">
          <w:marLeft w:val="0"/>
          <w:marRight w:val="0"/>
          <w:marTop w:val="0"/>
          <w:marBottom w:val="0"/>
          <w:divBdr>
            <w:top w:val="none" w:sz="0" w:space="0" w:color="auto"/>
            <w:left w:val="none" w:sz="0" w:space="0" w:color="auto"/>
            <w:bottom w:val="none" w:sz="0" w:space="0" w:color="auto"/>
            <w:right w:val="none" w:sz="0" w:space="0" w:color="auto"/>
          </w:divBdr>
        </w:div>
        <w:div w:id="1616524501">
          <w:marLeft w:val="0"/>
          <w:marRight w:val="0"/>
          <w:marTop w:val="0"/>
          <w:marBottom w:val="0"/>
          <w:divBdr>
            <w:top w:val="none" w:sz="0" w:space="0" w:color="auto"/>
            <w:left w:val="none" w:sz="0" w:space="0" w:color="auto"/>
            <w:bottom w:val="none" w:sz="0" w:space="0" w:color="auto"/>
            <w:right w:val="none" w:sz="0" w:space="0" w:color="auto"/>
          </w:divBdr>
        </w:div>
        <w:div w:id="1838695027">
          <w:marLeft w:val="0"/>
          <w:marRight w:val="0"/>
          <w:marTop w:val="0"/>
          <w:marBottom w:val="0"/>
          <w:divBdr>
            <w:top w:val="none" w:sz="0" w:space="0" w:color="auto"/>
            <w:left w:val="none" w:sz="0" w:space="0" w:color="auto"/>
            <w:bottom w:val="none" w:sz="0" w:space="0" w:color="auto"/>
            <w:right w:val="none" w:sz="0" w:space="0" w:color="auto"/>
          </w:divBdr>
        </w:div>
        <w:div w:id="1664427963">
          <w:marLeft w:val="0"/>
          <w:marRight w:val="0"/>
          <w:marTop w:val="0"/>
          <w:marBottom w:val="0"/>
          <w:divBdr>
            <w:top w:val="none" w:sz="0" w:space="0" w:color="auto"/>
            <w:left w:val="none" w:sz="0" w:space="0" w:color="auto"/>
            <w:bottom w:val="none" w:sz="0" w:space="0" w:color="auto"/>
            <w:right w:val="none" w:sz="0" w:space="0" w:color="auto"/>
          </w:divBdr>
        </w:div>
        <w:div w:id="1220750064">
          <w:marLeft w:val="0"/>
          <w:marRight w:val="0"/>
          <w:marTop w:val="0"/>
          <w:marBottom w:val="0"/>
          <w:divBdr>
            <w:top w:val="none" w:sz="0" w:space="0" w:color="auto"/>
            <w:left w:val="none" w:sz="0" w:space="0" w:color="auto"/>
            <w:bottom w:val="none" w:sz="0" w:space="0" w:color="auto"/>
            <w:right w:val="none" w:sz="0" w:space="0" w:color="auto"/>
          </w:divBdr>
        </w:div>
        <w:div w:id="1376153514">
          <w:marLeft w:val="0"/>
          <w:marRight w:val="0"/>
          <w:marTop w:val="0"/>
          <w:marBottom w:val="0"/>
          <w:divBdr>
            <w:top w:val="none" w:sz="0" w:space="0" w:color="auto"/>
            <w:left w:val="none" w:sz="0" w:space="0" w:color="auto"/>
            <w:bottom w:val="none" w:sz="0" w:space="0" w:color="auto"/>
            <w:right w:val="none" w:sz="0" w:space="0" w:color="auto"/>
          </w:divBdr>
        </w:div>
        <w:div w:id="149489218">
          <w:marLeft w:val="0"/>
          <w:marRight w:val="0"/>
          <w:marTop w:val="0"/>
          <w:marBottom w:val="0"/>
          <w:divBdr>
            <w:top w:val="none" w:sz="0" w:space="0" w:color="auto"/>
            <w:left w:val="none" w:sz="0" w:space="0" w:color="auto"/>
            <w:bottom w:val="none" w:sz="0" w:space="0" w:color="auto"/>
            <w:right w:val="none" w:sz="0" w:space="0" w:color="auto"/>
          </w:divBdr>
        </w:div>
        <w:div w:id="384573189">
          <w:marLeft w:val="0"/>
          <w:marRight w:val="0"/>
          <w:marTop w:val="0"/>
          <w:marBottom w:val="0"/>
          <w:divBdr>
            <w:top w:val="none" w:sz="0" w:space="0" w:color="auto"/>
            <w:left w:val="none" w:sz="0" w:space="0" w:color="auto"/>
            <w:bottom w:val="none" w:sz="0" w:space="0" w:color="auto"/>
            <w:right w:val="none" w:sz="0" w:space="0" w:color="auto"/>
          </w:divBdr>
        </w:div>
        <w:div w:id="73281308">
          <w:marLeft w:val="0"/>
          <w:marRight w:val="0"/>
          <w:marTop w:val="0"/>
          <w:marBottom w:val="0"/>
          <w:divBdr>
            <w:top w:val="none" w:sz="0" w:space="0" w:color="auto"/>
            <w:left w:val="none" w:sz="0" w:space="0" w:color="auto"/>
            <w:bottom w:val="none" w:sz="0" w:space="0" w:color="auto"/>
            <w:right w:val="none" w:sz="0" w:space="0" w:color="auto"/>
          </w:divBdr>
        </w:div>
        <w:div w:id="1832715614">
          <w:marLeft w:val="0"/>
          <w:marRight w:val="0"/>
          <w:marTop w:val="0"/>
          <w:marBottom w:val="0"/>
          <w:divBdr>
            <w:top w:val="none" w:sz="0" w:space="0" w:color="auto"/>
            <w:left w:val="none" w:sz="0" w:space="0" w:color="auto"/>
            <w:bottom w:val="none" w:sz="0" w:space="0" w:color="auto"/>
            <w:right w:val="none" w:sz="0" w:space="0" w:color="auto"/>
          </w:divBdr>
        </w:div>
        <w:div w:id="1663002488">
          <w:marLeft w:val="0"/>
          <w:marRight w:val="0"/>
          <w:marTop w:val="0"/>
          <w:marBottom w:val="0"/>
          <w:divBdr>
            <w:top w:val="none" w:sz="0" w:space="0" w:color="auto"/>
            <w:left w:val="none" w:sz="0" w:space="0" w:color="auto"/>
            <w:bottom w:val="none" w:sz="0" w:space="0" w:color="auto"/>
            <w:right w:val="none" w:sz="0" w:space="0" w:color="auto"/>
          </w:divBdr>
        </w:div>
        <w:div w:id="487677347">
          <w:marLeft w:val="0"/>
          <w:marRight w:val="0"/>
          <w:marTop w:val="0"/>
          <w:marBottom w:val="0"/>
          <w:divBdr>
            <w:top w:val="none" w:sz="0" w:space="0" w:color="auto"/>
            <w:left w:val="none" w:sz="0" w:space="0" w:color="auto"/>
            <w:bottom w:val="none" w:sz="0" w:space="0" w:color="auto"/>
            <w:right w:val="none" w:sz="0" w:space="0" w:color="auto"/>
          </w:divBdr>
        </w:div>
        <w:div w:id="1416591121">
          <w:marLeft w:val="0"/>
          <w:marRight w:val="0"/>
          <w:marTop w:val="0"/>
          <w:marBottom w:val="0"/>
          <w:divBdr>
            <w:top w:val="none" w:sz="0" w:space="0" w:color="auto"/>
            <w:left w:val="none" w:sz="0" w:space="0" w:color="auto"/>
            <w:bottom w:val="none" w:sz="0" w:space="0" w:color="auto"/>
            <w:right w:val="none" w:sz="0" w:space="0" w:color="auto"/>
          </w:divBdr>
        </w:div>
        <w:div w:id="1754156304">
          <w:marLeft w:val="0"/>
          <w:marRight w:val="0"/>
          <w:marTop w:val="0"/>
          <w:marBottom w:val="0"/>
          <w:divBdr>
            <w:top w:val="none" w:sz="0" w:space="0" w:color="auto"/>
            <w:left w:val="none" w:sz="0" w:space="0" w:color="auto"/>
            <w:bottom w:val="none" w:sz="0" w:space="0" w:color="auto"/>
            <w:right w:val="none" w:sz="0" w:space="0" w:color="auto"/>
          </w:divBdr>
        </w:div>
        <w:div w:id="187838624">
          <w:marLeft w:val="0"/>
          <w:marRight w:val="0"/>
          <w:marTop w:val="0"/>
          <w:marBottom w:val="0"/>
          <w:divBdr>
            <w:top w:val="none" w:sz="0" w:space="0" w:color="auto"/>
            <w:left w:val="none" w:sz="0" w:space="0" w:color="auto"/>
            <w:bottom w:val="none" w:sz="0" w:space="0" w:color="auto"/>
            <w:right w:val="none" w:sz="0" w:space="0" w:color="auto"/>
          </w:divBdr>
        </w:div>
        <w:div w:id="21445192">
          <w:marLeft w:val="0"/>
          <w:marRight w:val="0"/>
          <w:marTop w:val="0"/>
          <w:marBottom w:val="0"/>
          <w:divBdr>
            <w:top w:val="none" w:sz="0" w:space="0" w:color="auto"/>
            <w:left w:val="none" w:sz="0" w:space="0" w:color="auto"/>
            <w:bottom w:val="none" w:sz="0" w:space="0" w:color="auto"/>
            <w:right w:val="none" w:sz="0" w:space="0" w:color="auto"/>
          </w:divBdr>
        </w:div>
        <w:div w:id="2103992802">
          <w:marLeft w:val="0"/>
          <w:marRight w:val="0"/>
          <w:marTop w:val="0"/>
          <w:marBottom w:val="0"/>
          <w:divBdr>
            <w:top w:val="none" w:sz="0" w:space="0" w:color="auto"/>
            <w:left w:val="none" w:sz="0" w:space="0" w:color="auto"/>
            <w:bottom w:val="none" w:sz="0" w:space="0" w:color="auto"/>
            <w:right w:val="none" w:sz="0" w:space="0" w:color="auto"/>
          </w:divBdr>
        </w:div>
        <w:div w:id="1157187896">
          <w:marLeft w:val="0"/>
          <w:marRight w:val="0"/>
          <w:marTop w:val="0"/>
          <w:marBottom w:val="0"/>
          <w:divBdr>
            <w:top w:val="none" w:sz="0" w:space="0" w:color="auto"/>
            <w:left w:val="none" w:sz="0" w:space="0" w:color="auto"/>
            <w:bottom w:val="none" w:sz="0" w:space="0" w:color="auto"/>
            <w:right w:val="none" w:sz="0" w:space="0" w:color="auto"/>
          </w:divBdr>
        </w:div>
        <w:div w:id="434130586">
          <w:marLeft w:val="0"/>
          <w:marRight w:val="0"/>
          <w:marTop w:val="0"/>
          <w:marBottom w:val="0"/>
          <w:divBdr>
            <w:top w:val="none" w:sz="0" w:space="0" w:color="auto"/>
            <w:left w:val="none" w:sz="0" w:space="0" w:color="auto"/>
            <w:bottom w:val="none" w:sz="0" w:space="0" w:color="auto"/>
            <w:right w:val="none" w:sz="0" w:space="0" w:color="auto"/>
          </w:divBdr>
        </w:div>
        <w:div w:id="2084377129">
          <w:marLeft w:val="0"/>
          <w:marRight w:val="0"/>
          <w:marTop w:val="0"/>
          <w:marBottom w:val="0"/>
          <w:divBdr>
            <w:top w:val="none" w:sz="0" w:space="0" w:color="auto"/>
            <w:left w:val="none" w:sz="0" w:space="0" w:color="auto"/>
            <w:bottom w:val="none" w:sz="0" w:space="0" w:color="auto"/>
            <w:right w:val="none" w:sz="0" w:space="0" w:color="auto"/>
          </w:divBdr>
        </w:div>
        <w:div w:id="1145510097">
          <w:marLeft w:val="0"/>
          <w:marRight w:val="0"/>
          <w:marTop w:val="0"/>
          <w:marBottom w:val="0"/>
          <w:divBdr>
            <w:top w:val="none" w:sz="0" w:space="0" w:color="auto"/>
            <w:left w:val="none" w:sz="0" w:space="0" w:color="auto"/>
            <w:bottom w:val="none" w:sz="0" w:space="0" w:color="auto"/>
            <w:right w:val="none" w:sz="0" w:space="0" w:color="auto"/>
          </w:divBdr>
        </w:div>
        <w:div w:id="506868041">
          <w:marLeft w:val="0"/>
          <w:marRight w:val="0"/>
          <w:marTop w:val="0"/>
          <w:marBottom w:val="0"/>
          <w:divBdr>
            <w:top w:val="none" w:sz="0" w:space="0" w:color="auto"/>
            <w:left w:val="none" w:sz="0" w:space="0" w:color="auto"/>
            <w:bottom w:val="none" w:sz="0" w:space="0" w:color="auto"/>
            <w:right w:val="none" w:sz="0" w:space="0" w:color="auto"/>
          </w:divBdr>
        </w:div>
        <w:div w:id="1601253832">
          <w:marLeft w:val="0"/>
          <w:marRight w:val="0"/>
          <w:marTop w:val="0"/>
          <w:marBottom w:val="0"/>
          <w:divBdr>
            <w:top w:val="none" w:sz="0" w:space="0" w:color="auto"/>
            <w:left w:val="none" w:sz="0" w:space="0" w:color="auto"/>
            <w:bottom w:val="none" w:sz="0" w:space="0" w:color="auto"/>
            <w:right w:val="none" w:sz="0" w:space="0" w:color="auto"/>
          </w:divBdr>
        </w:div>
        <w:div w:id="1581792049">
          <w:marLeft w:val="0"/>
          <w:marRight w:val="0"/>
          <w:marTop w:val="0"/>
          <w:marBottom w:val="0"/>
          <w:divBdr>
            <w:top w:val="none" w:sz="0" w:space="0" w:color="auto"/>
            <w:left w:val="none" w:sz="0" w:space="0" w:color="auto"/>
            <w:bottom w:val="none" w:sz="0" w:space="0" w:color="auto"/>
            <w:right w:val="none" w:sz="0" w:space="0" w:color="auto"/>
          </w:divBdr>
        </w:div>
        <w:div w:id="1671978242">
          <w:marLeft w:val="0"/>
          <w:marRight w:val="0"/>
          <w:marTop w:val="0"/>
          <w:marBottom w:val="0"/>
          <w:divBdr>
            <w:top w:val="none" w:sz="0" w:space="0" w:color="auto"/>
            <w:left w:val="none" w:sz="0" w:space="0" w:color="auto"/>
            <w:bottom w:val="none" w:sz="0" w:space="0" w:color="auto"/>
            <w:right w:val="none" w:sz="0" w:space="0" w:color="auto"/>
          </w:divBdr>
        </w:div>
        <w:div w:id="1047802880">
          <w:marLeft w:val="0"/>
          <w:marRight w:val="0"/>
          <w:marTop w:val="0"/>
          <w:marBottom w:val="0"/>
          <w:divBdr>
            <w:top w:val="none" w:sz="0" w:space="0" w:color="auto"/>
            <w:left w:val="none" w:sz="0" w:space="0" w:color="auto"/>
            <w:bottom w:val="none" w:sz="0" w:space="0" w:color="auto"/>
            <w:right w:val="none" w:sz="0" w:space="0" w:color="auto"/>
          </w:divBdr>
        </w:div>
        <w:div w:id="2104061990">
          <w:marLeft w:val="0"/>
          <w:marRight w:val="0"/>
          <w:marTop w:val="0"/>
          <w:marBottom w:val="0"/>
          <w:divBdr>
            <w:top w:val="none" w:sz="0" w:space="0" w:color="auto"/>
            <w:left w:val="none" w:sz="0" w:space="0" w:color="auto"/>
            <w:bottom w:val="none" w:sz="0" w:space="0" w:color="auto"/>
            <w:right w:val="none" w:sz="0" w:space="0" w:color="auto"/>
          </w:divBdr>
        </w:div>
        <w:div w:id="187566415">
          <w:marLeft w:val="0"/>
          <w:marRight w:val="0"/>
          <w:marTop w:val="0"/>
          <w:marBottom w:val="0"/>
          <w:divBdr>
            <w:top w:val="none" w:sz="0" w:space="0" w:color="auto"/>
            <w:left w:val="none" w:sz="0" w:space="0" w:color="auto"/>
            <w:bottom w:val="none" w:sz="0" w:space="0" w:color="auto"/>
            <w:right w:val="none" w:sz="0" w:space="0" w:color="auto"/>
          </w:divBdr>
        </w:div>
        <w:div w:id="702176106">
          <w:marLeft w:val="0"/>
          <w:marRight w:val="0"/>
          <w:marTop w:val="0"/>
          <w:marBottom w:val="0"/>
          <w:divBdr>
            <w:top w:val="none" w:sz="0" w:space="0" w:color="auto"/>
            <w:left w:val="none" w:sz="0" w:space="0" w:color="auto"/>
            <w:bottom w:val="none" w:sz="0" w:space="0" w:color="auto"/>
            <w:right w:val="none" w:sz="0" w:space="0" w:color="auto"/>
          </w:divBdr>
        </w:div>
        <w:div w:id="569342036">
          <w:marLeft w:val="0"/>
          <w:marRight w:val="0"/>
          <w:marTop w:val="0"/>
          <w:marBottom w:val="0"/>
          <w:divBdr>
            <w:top w:val="none" w:sz="0" w:space="0" w:color="auto"/>
            <w:left w:val="none" w:sz="0" w:space="0" w:color="auto"/>
            <w:bottom w:val="none" w:sz="0" w:space="0" w:color="auto"/>
            <w:right w:val="none" w:sz="0" w:space="0" w:color="auto"/>
          </w:divBdr>
        </w:div>
        <w:div w:id="1810904442">
          <w:marLeft w:val="0"/>
          <w:marRight w:val="0"/>
          <w:marTop w:val="0"/>
          <w:marBottom w:val="0"/>
          <w:divBdr>
            <w:top w:val="none" w:sz="0" w:space="0" w:color="auto"/>
            <w:left w:val="none" w:sz="0" w:space="0" w:color="auto"/>
            <w:bottom w:val="none" w:sz="0" w:space="0" w:color="auto"/>
            <w:right w:val="none" w:sz="0" w:space="0" w:color="auto"/>
          </w:divBdr>
        </w:div>
        <w:div w:id="536164240">
          <w:marLeft w:val="0"/>
          <w:marRight w:val="0"/>
          <w:marTop w:val="0"/>
          <w:marBottom w:val="0"/>
          <w:divBdr>
            <w:top w:val="none" w:sz="0" w:space="0" w:color="auto"/>
            <w:left w:val="none" w:sz="0" w:space="0" w:color="auto"/>
            <w:bottom w:val="none" w:sz="0" w:space="0" w:color="auto"/>
            <w:right w:val="none" w:sz="0" w:space="0" w:color="auto"/>
          </w:divBdr>
        </w:div>
        <w:div w:id="347144934">
          <w:marLeft w:val="0"/>
          <w:marRight w:val="0"/>
          <w:marTop w:val="0"/>
          <w:marBottom w:val="0"/>
          <w:divBdr>
            <w:top w:val="none" w:sz="0" w:space="0" w:color="auto"/>
            <w:left w:val="none" w:sz="0" w:space="0" w:color="auto"/>
            <w:bottom w:val="none" w:sz="0" w:space="0" w:color="auto"/>
            <w:right w:val="none" w:sz="0" w:space="0" w:color="auto"/>
          </w:divBdr>
        </w:div>
        <w:div w:id="1192258274">
          <w:marLeft w:val="0"/>
          <w:marRight w:val="0"/>
          <w:marTop w:val="0"/>
          <w:marBottom w:val="0"/>
          <w:divBdr>
            <w:top w:val="none" w:sz="0" w:space="0" w:color="auto"/>
            <w:left w:val="none" w:sz="0" w:space="0" w:color="auto"/>
            <w:bottom w:val="none" w:sz="0" w:space="0" w:color="auto"/>
            <w:right w:val="none" w:sz="0" w:space="0" w:color="auto"/>
          </w:divBdr>
        </w:div>
        <w:div w:id="2004703475">
          <w:marLeft w:val="0"/>
          <w:marRight w:val="0"/>
          <w:marTop w:val="0"/>
          <w:marBottom w:val="0"/>
          <w:divBdr>
            <w:top w:val="none" w:sz="0" w:space="0" w:color="auto"/>
            <w:left w:val="none" w:sz="0" w:space="0" w:color="auto"/>
            <w:bottom w:val="none" w:sz="0" w:space="0" w:color="auto"/>
            <w:right w:val="none" w:sz="0" w:space="0" w:color="auto"/>
          </w:divBdr>
        </w:div>
        <w:div w:id="119347889">
          <w:marLeft w:val="0"/>
          <w:marRight w:val="0"/>
          <w:marTop w:val="0"/>
          <w:marBottom w:val="0"/>
          <w:divBdr>
            <w:top w:val="none" w:sz="0" w:space="0" w:color="auto"/>
            <w:left w:val="none" w:sz="0" w:space="0" w:color="auto"/>
            <w:bottom w:val="none" w:sz="0" w:space="0" w:color="auto"/>
            <w:right w:val="none" w:sz="0" w:space="0" w:color="auto"/>
          </w:divBdr>
        </w:div>
        <w:div w:id="1976641710">
          <w:marLeft w:val="0"/>
          <w:marRight w:val="0"/>
          <w:marTop w:val="0"/>
          <w:marBottom w:val="0"/>
          <w:divBdr>
            <w:top w:val="none" w:sz="0" w:space="0" w:color="auto"/>
            <w:left w:val="none" w:sz="0" w:space="0" w:color="auto"/>
            <w:bottom w:val="none" w:sz="0" w:space="0" w:color="auto"/>
            <w:right w:val="none" w:sz="0" w:space="0" w:color="auto"/>
          </w:divBdr>
        </w:div>
        <w:div w:id="570777761">
          <w:marLeft w:val="0"/>
          <w:marRight w:val="0"/>
          <w:marTop w:val="0"/>
          <w:marBottom w:val="0"/>
          <w:divBdr>
            <w:top w:val="none" w:sz="0" w:space="0" w:color="auto"/>
            <w:left w:val="none" w:sz="0" w:space="0" w:color="auto"/>
            <w:bottom w:val="none" w:sz="0" w:space="0" w:color="auto"/>
            <w:right w:val="none" w:sz="0" w:space="0" w:color="auto"/>
          </w:divBdr>
        </w:div>
        <w:div w:id="945768233">
          <w:marLeft w:val="0"/>
          <w:marRight w:val="0"/>
          <w:marTop w:val="0"/>
          <w:marBottom w:val="0"/>
          <w:divBdr>
            <w:top w:val="none" w:sz="0" w:space="0" w:color="auto"/>
            <w:left w:val="none" w:sz="0" w:space="0" w:color="auto"/>
            <w:bottom w:val="none" w:sz="0" w:space="0" w:color="auto"/>
            <w:right w:val="none" w:sz="0" w:space="0" w:color="auto"/>
          </w:divBdr>
        </w:div>
        <w:div w:id="9725005">
          <w:marLeft w:val="0"/>
          <w:marRight w:val="0"/>
          <w:marTop w:val="0"/>
          <w:marBottom w:val="0"/>
          <w:divBdr>
            <w:top w:val="none" w:sz="0" w:space="0" w:color="auto"/>
            <w:left w:val="none" w:sz="0" w:space="0" w:color="auto"/>
            <w:bottom w:val="none" w:sz="0" w:space="0" w:color="auto"/>
            <w:right w:val="none" w:sz="0" w:space="0" w:color="auto"/>
          </w:divBdr>
        </w:div>
        <w:div w:id="312757025">
          <w:marLeft w:val="0"/>
          <w:marRight w:val="0"/>
          <w:marTop w:val="0"/>
          <w:marBottom w:val="0"/>
          <w:divBdr>
            <w:top w:val="none" w:sz="0" w:space="0" w:color="auto"/>
            <w:left w:val="none" w:sz="0" w:space="0" w:color="auto"/>
            <w:bottom w:val="none" w:sz="0" w:space="0" w:color="auto"/>
            <w:right w:val="none" w:sz="0" w:space="0" w:color="auto"/>
          </w:divBdr>
        </w:div>
        <w:div w:id="1274437578">
          <w:marLeft w:val="0"/>
          <w:marRight w:val="0"/>
          <w:marTop w:val="0"/>
          <w:marBottom w:val="0"/>
          <w:divBdr>
            <w:top w:val="none" w:sz="0" w:space="0" w:color="auto"/>
            <w:left w:val="none" w:sz="0" w:space="0" w:color="auto"/>
            <w:bottom w:val="none" w:sz="0" w:space="0" w:color="auto"/>
            <w:right w:val="none" w:sz="0" w:space="0" w:color="auto"/>
          </w:divBdr>
        </w:div>
        <w:div w:id="2113089990">
          <w:marLeft w:val="0"/>
          <w:marRight w:val="0"/>
          <w:marTop w:val="0"/>
          <w:marBottom w:val="0"/>
          <w:divBdr>
            <w:top w:val="none" w:sz="0" w:space="0" w:color="auto"/>
            <w:left w:val="none" w:sz="0" w:space="0" w:color="auto"/>
            <w:bottom w:val="none" w:sz="0" w:space="0" w:color="auto"/>
            <w:right w:val="none" w:sz="0" w:space="0" w:color="auto"/>
          </w:divBdr>
        </w:div>
        <w:div w:id="108205462">
          <w:marLeft w:val="0"/>
          <w:marRight w:val="0"/>
          <w:marTop w:val="0"/>
          <w:marBottom w:val="0"/>
          <w:divBdr>
            <w:top w:val="none" w:sz="0" w:space="0" w:color="auto"/>
            <w:left w:val="none" w:sz="0" w:space="0" w:color="auto"/>
            <w:bottom w:val="none" w:sz="0" w:space="0" w:color="auto"/>
            <w:right w:val="none" w:sz="0" w:space="0" w:color="auto"/>
          </w:divBdr>
        </w:div>
        <w:div w:id="565453056">
          <w:marLeft w:val="0"/>
          <w:marRight w:val="0"/>
          <w:marTop w:val="0"/>
          <w:marBottom w:val="0"/>
          <w:divBdr>
            <w:top w:val="none" w:sz="0" w:space="0" w:color="auto"/>
            <w:left w:val="none" w:sz="0" w:space="0" w:color="auto"/>
            <w:bottom w:val="none" w:sz="0" w:space="0" w:color="auto"/>
            <w:right w:val="none" w:sz="0" w:space="0" w:color="auto"/>
          </w:divBdr>
        </w:div>
        <w:div w:id="144710548">
          <w:marLeft w:val="0"/>
          <w:marRight w:val="0"/>
          <w:marTop w:val="0"/>
          <w:marBottom w:val="0"/>
          <w:divBdr>
            <w:top w:val="none" w:sz="0" w:space="0" w:color="auto"/>
            <w:left w:val="none" w:sz="0" w:space="0" w:color="auto"/>
            <w:bottom w:val="none" w:sz="0" w:space="0" w:color="auto"/>
            <w:right w:val="none" w:sz="0" w:space="0" w:color="auto"/>
          </w:divBdr>
        </w:div>
        <w:div w:id="45960865">
          <w:marLeft w:val="0"/>
          <w:marRight w:val="0"/>
          <w:marTop w:val="0"/>
          <w:marBottom w:val="0"/>
          <w:divBdr>
            <w:top w:val="none" w:sz="0" w:space="0" w:color="auto"/>
            <w:left w:val="none" w:sz="0" w:space="0" w:color="auto"/>
            <w:bottom w:val="none" w:sz="0" w:space="0" w:color="auto"/>
            <w:right w:val="none" w:sz="0" w:space="0" w:color="auto"/>
          </w:divBdr>
        </w:div>
        <w:div w:id="508328607">
          <w:marLeft w:val="0"/>
          <w:marRight w:val="0"/>
          <w:marTop w:val="0"/>
          <w:marBottom w:val="0"/>
          <w:divBdr>
            <w:top w:val="none" w:sz="0" w:space="0" w:color="auto"/>
            <w:left w:val="none" w:sz="0" w:space="0" w:color="auto"/>
            <w:bottom w:val="none" w:sz="0" w:space="0" w:color="auto"/>
            <w:right w:val="none" w:sz="0" w:space="0" w:color="auto"/>
          </w:divBdr>
        </w:div>
        <w:div w:id="1321545171">
          <w:marLeft w:val="0"/>
          <w:marRight w:val="0"/>
          <w:marTop w:val="0"/>
          <w:marBottom w:val="0"/>
          <w:divBdr>
            <w:top w:val="none" w:sz="0" w:space="0" w:color="auto"/>
            <w:left w:val="none" w:sz="0" w:space="0" w:color="auto"/>
            <w:bottom w:val="none" w:sz="0" w:space="0" w:color="auto"/>
            <w:right w:val="none" w:sz="0" w:space="0" w:color="auto"/>
          </w:divBdr>
        </w:div>
        <w:div w:id="167597070">
          <w:marLeft w:val="0"/>
          <w:marRight w:val="0"/>
          <w:marTop w:val="0"/>
          <w:marBottom w:val="0"/>
          <w:divBdr>
            <w:top w:val="none" w:sz="0" w:space="0" w:color="auto"/>
            <w:left w:val="none" w:sz="0" w:space="0" w:color="auto"/>
            <w:bottom w:val="none" w:sz="0" w:space="0" w:color="auto"/>
            <w:right w:val="none" w:sz="0" w:space="0" w:color="auto"/>
          </w:divBdr>
        </w:div>
        <w:div w:id="1089348122">
          <w:marLeft w:val="0"/>
          <w:marRight w:val="0"/>
          <w:marTop w:val="0"/>
          <w:marBottom w:val="0"/>
          <w:divBdr>
            <w:top w:val="none" w:sz="0" w:space="0" w:color="auto"/>
            <w:left w:val="none" w:sz="0" w:space="0" w:color="auto"/>
            <w:bottom w:val="none" w:sz="0" w:space="0" w:color="auto"/>
            <w:right w:val="none" w:sz="0" w:space="0" w:color="auto"/>
          </w:divBdr>
        </w:div>
        <w:div w:id="1670206882">
          <w:marLeft w:val="0"/>
          <w:marRight w:val="0"/>
          <w:marTop w:val="0"/>
          <w:marBottom w:val="0"/>
          <w:divBdr>
            <w:top w:val="none" w:sz="0" w:space="0" w:color="auto"/>
            <w:left w:val="none" w:sz="0" w:space="0" w:color="auto"/>
            <w:bottom w:val="none" w:sz="0" w:space="0" w:color="auto"/>
            <w:right w:val="none" w:sz="0" w:space="0" w:color="auto"/>
          </w:divBdr>
        </w:div>
        <w:div w:id="1177034508">
          <w:marLeft w:val="0"/>
          <w:marRight w:val="0"/>
          <w:marTop w:val="0"/>
          <w:marBottom w:val="0"/>
          <w:divBdr>
            <w:top w:val="none" w:sz="0" w:space="0" w:color="auto"/>
            <w:left w:val="none" w:sz="0" w:space="0" w:color="auto"/>
            <w:bottom w:val="none" w:sz="0" w:space="0" w:color="auto"/>
            <w:right w:val="none" w:sz="0" w:space="0" w:color="auto"/>
          </w:divBdr>
        </w:div>
        <w:div w:id="343477341">
          <w:marLeft w:val="0"/>
          <w:marRight w:val="0"/>
          <w:marTop w:val="0"/>
          <w:marBottom w:val="0"/>
          <w:divBdr>
            <w:top w:val="none" w:sz="0" w:space="0" w:color="auto"/>
            <w:left w:val="none" w:sz="0" w:space="0" w:color="auto"/>
            <w:bottom w:val="none" w:sz="0" w:space="0" w:color="auto"/>
            <w:right w:val="none" w:sz="0" w:space="0" w:color="auto"/>
          </w:divBdr>
        </w:div>
        <w:div w:id="1510754355">
          <w:marLeft w:val="0"/>
          <w:marRight w:val="0"/>
          <w:marTop w:val="0"/>
          <w:marBottom w:val="0"/>
          <w:divBdr>
            <w:top w:val="none" w:sz="0" w:space="0" w:color="auto"/>
            <w:left w:val="none" w:sz="0" w:space="0" w:color="auto"/>
            <w:bottom w:val="none" w:sz="0" w:space="0" w:color="auto"/>
            <w:right w:val="none" w:sz="0" w:space="0" w:color="auto"/>
          </w:divBdr>
        </w:div>
        <w:div w:id="2086108087">
          <w:marLeft w:val="0"/>
          <w:marRight w:val="0"/>
          <w:marTop w:val="0"/>
          <w:marBottom w:val="0"/>
          <w:divBdr>
            <w:top w:val="none" w:sz="0" w:space="0" w:color="auto"/>
            <w:left w:val="none" w:sz="0" w:space="0" w:color="auto"/>
            <w:bottom w:val="none" w:sz="0" w:space="0" w:color="auto"/>
            <w:right w:val="none" w:sz="0" w:space="0" w:color="auto"/>
          </w:divBdr>
        </w:div>
        <w:div w:id="1201743593">
          <w:marLeft w:val="0"/>
          <w:marRight w:val="0"/>
          <w:marTop w:val="0"/>
          <w:marBottom w:val="0"/>
          <w:divBdr>
            <w:top w:val="none" w:sz="0" w:space="0" w:color="auto"/>
            <w:left w:val="none" w:sz="0" w:space="0" w:color="auto"/>
            <w:bottom w:val="none" w:sz="0" w:space="0" w:color="auto"/>
            <w:right w:val="none" w:sz="0" w:space="0" w:color="auto"/>
          </w:divBdr>
        </w:div>
        <w:div w:id="1388187952">
          <w:marLeft w:val="0"/>
          <w:marRight w:val="0"/>
          <w:marTop w:val="0"/>
          <w:marBottom w:val="0"/>
          <w:divBdr>
            <w:top w:val="none" w:sz="0" w:space="0" w:color="auto"/>
            <w:left w:val="none" w:sz="0" w:space="0" w:color="auto"/>
            <w:bottom w:val="none" w:sz="0" w:space="0" w:color="auto"/>
            <w:right w:val="none" w:sz="0" w:space="0" w:color="auto"/>
          </w:divBdr>
        </w:div>
        <w:div w:id="2090347177">
          <w:marLeft w:val="0"/>
          <w:marRight w:val="0"/>
          <w:marTop w:val="0"/>
          <w:marBottom w:val="0"/>
          <w:divBdr>
            <w:top w:val="none" w:sz="0" w:space="0" w:color="auto"/>
            <w:left w:val="none" w:sz="0" w:space="0" w:color="auto"/>
            <w:bottom w:val="none" w:sz="0" w:space="0" w:color="auto"/>
            <w:right w:val="none" w:sz="0" w:space="0" w:color="auto"/>
          </w:divBdr>
        </w:div>
        <w:div w:id="880019785">
          <w:marLeft w:val="0"/>
          <w:marRight w:val="0"/>
          <w:marTop w:val="0"/>
          <w:marBottom w:val="0"/>
          <w:divBdr>
            <w:top w:val="none" w:sz="0" w:space="0" w:color="auto"/>
            <w:left w:val="none" w:sz="0" w:space="0" w:color="auto"/>
            <w:bottom w:val="none" w:sz="0" w:space="0" w:color="auto"/>
            <w:right w:val="none" w:sz="0" w:space="0" w:color="auto"/>
          </w:divBdr>
        </w:div>
        <w:div w:id="1311709210">
          <w:marLeft w:val="0"/>
          <w:marRight w:val="0"/>
          <w:marTop w:val="0"/>
          <w:marBottom w:val="0"/>
          <w:divBdr>
            <w:top w:val="none" w:sz="0" w:space="0" w:color="auto"/>
            <w:left w:val="none" w:sz="0" w:space="0" w:color="auto"/>
            <w:bottom w:val="none" w:sz="0" w:space="0" w:color="auto"/>
            <w:right w:val="none" w:sz="0" w:space="0" w:color="auto"/>
          </w:divBdr>
        </w:div>
        <w:div w:id="746613237">
          <w:marLeft w:val="0"/>
          <w:marRight w:val="0"/>
          <w:marTop w:val="0"/>
          <w:marBottom w:val="0"/>
          <w:divBdr>
            <w:top w:val="none" w:sz="0" w:space="0" w:color="auto"/>
            <w:left w:val="none" w:sz="0" w:space="0" w:color="auto"/>
            <w:bottom w:val="none" w:sz="0" w:space="0" w:color="auto"/>
            <w:right w:val="none" w:sz="0" w:space="0" w:color="auto"/>
          </w:divBdr>
        </w:div>
        <w:div w:id="2001541033">
          <w:marLeft w:val="0"/>
          <w:marRight w:val="0"/>
          <w:marTop w:val="0"/>
          <w:marBottom w:val="0"/>
          <w:divBdr>
            <w:top w:val="none" w:sz="0" w:space="0" w:color="auto"/>
            <w:left w:val="none" w:sz="0" w:space="0" w:color="auto"/>
            <w:bottom w:val="none" w:sz="0" w:space="0" w:color="auto"/>
            <w:right w:val="none" w:sz="0" w:space="0" w:color="auto"/>
          </w:divBdr>
        </w:div>
        <w:div w:id="988942139">
          <w:marLeft w:val="0"/>
          <w:marRight w:val="0"/>
          <w:marTop w:val="0"/>
          <w:marBottom w:val="0"/>
          <w:divBdr>
            <w:top w:val="none" w:sz="0" w:space="0" w:color="auto"/>
            <w:left w:val="none" w:sz="0" w:space="0" w:color="auto"/>
            <w:bottom w:val="none" w:sz="0" w:space="0" w:color="auto"/>
            <w:right w:val="none" w:sz="0" w:space="0" w:color="auto"/>
          </w:divBdr>
        </w:div>
        <w:div w:id="1152941249">
          <w:marLeft w:val="0"/>
          <w:marRight w:val="0"/>
          <w:marTop w:val="0"/>
          <w:marBottom w:val="0"/>
          <w:divBdr>
            <w:top w:val="none" w:sz="0" w:space="0" w:color="auto"/>
            <w:left w:val="none" w:sz="0" w:space="0" w:color="auto"/>
            <w:bottom w:val="none" w:sz="0" w:space="0" w:color="auto"/>
            <w:right w:val="none" w:sz="0" w:space="0" w:color="auto"/>
          </w:divBdr>
        </w:div>
        <w:div w:id="838347620">
          <w:marLeft w:val="0"/>
          <w:marRight w:val="0"/>
          <w:marTop w:val="0"/>
          <w:marBottom w:val="0"/>
          <w:divBdr>
            <w:top w:val="none" w:sz="0" w:space="0" w:color="auto"/>
            <w:left w:val="none" w:sz="0" w:space="0" w:color="auto"/>
            <w:bottom w:val="none" w:sz="0" w:space="0" w:color="auto"/>
            <w:right w:val="none" w:sz="0" w:space="0" w:color="auto"/>
          </w:divBdr>
        </w:div>
        <w:div w:id="769589535">
          <w:marLeft w:val="0"/>
          <w:marRight w:val="0"/>
          <w:marTop w:val="0"/>
          <w:marBottom w:val="0"/>
          <w:divBdr>
            <w:top w:val="none" w:sz="0" w:space="0" w:color="auto"/>
            <w:left w:val="none" w:sz="0" w:space="0" w:color="auto"/>
            <w:bottom w:val="none" w:sz="0" w:space="0" w:color="auto"/>
            <w:right w:val="none" w:sz="0" w:space="0" w:color="auto"/>
          </w:divBdr>
        </w:div>
        <w:div w:id="442457690">
          <w:marLeft w:val="0"/>
          <w:marRight w:val="0"/>
          <w:marTop w:val="0"/>
          <w:marBottom w:val="0"/>
          <w:divBdr>
            <w:top w:val="none" w:sz="0" w:space="0" w:color="auto"/>
            <w:left w:val="none" w:sz="0" w:space="0" w:color="auto"/>
            <w:bottom w:val="none" w:sz="0" w:space="0" w:color="auto"/>
            <w:right w:val="none" w:sz="0" w:space="0" w:color="auto"/>
          </w:divBdr>
        </w:div>
        <w:div w:id="1503739108">
          <w:marLeft w:val="0"/>
          <w:marRight w:val="0"/>
          <w:marTop w:val="0"/>
          <w:marBottom w:val="0"/>
          <w:divBdr>
            <w:top w:val="none" w:sz="0" w:space="0" w:color="auto"/>
            <w:left w:val="none" w:sz="0" w:space="0" w:color="auto"/>
            <w:bottom w:val="none" w:sz="0" w:space="0" w:color="auto"/>
            <w:right w:val="none" w:sz="0" w:space="0" w:color="auto"/>
          </w:divBdr>
        </w:div>
        <w:div w:id="235941185">
          <w:marLeft w:val="0"/>
          <w:marRight w:val="0"/>
          <w:marTop w:val="0"/>
          <w:marBottom w:val="0"/>
          <w:divBdr>
            <w:top w:val="none" w:sz="0" w:space="0" w:color="auto"/>
            <w:left w:val="none" w:sz="0" w:space="0" w:color="auto"/>
            <w:bottom w:val="none" w:sz="0" w:space="0" w:color="auto"/>
            <w:right w:val="none" w:sz="0" w:space="0" w:color="auto"/>
          </w:divBdr>
        </w:div>
        <w:div w:id="1012031476">
          <w:marLeft w:val="0"/>
          <w:marRight w:val="0"/>
          <w:marTop w:val="0"/>
          <w:marBottom w:val="0"/>
          <w:divBdr>
            <w:top w:val="none" w:sz="0" w:space="0" w:color="auto"/>
            <w:left w:val="none" w:sz="0" w:space="0" w:color="auto"/>
            <w:bottom w:val="none" w:sz="0" w:space="0" w:color="auto"/>
            <w:right w:val="none" w:sz="0" w:space="0" w:color="auto"/>
          </w:divBdr>
        </w:div>
        <w:div w:id="849635867">
          <w:marLeft w:val="0"/>
          <w:marRight w:val="0"/>
          <w:marTop w:val="0"/>
          <w:marBottom w:val="0"/>
          <w:divBdr>
            <w:top w:val="none" w:sz="0" w:space="0" w:color="auto"/>
            <w:left w:val="none" w:sz="0" w:space="0" w:color="auto"/>
            <w:bottom w:val="none" w:sz="0" w:space="0" w:color="auto"/>
            <w:right w:val="none" w:sz="0" w:space="0" w:color="auto"/>
          </w:divBdr>
        </w:div>
        <w:div w:id="1148982450">
          <w:marLeft w:val="0"/>
          <w:marRight w:val="0"/>
          <w:marTop w:val="0"/>
          <w:marBottom w:val="0"/>
          <w:divBdr>
            <w:top w:val="none" w:sz="0" w:space="0" w:color="auto"/>
            <w:left w:val="none" w:sz="0" w:space="0" w:color="auto"/>
            <w:bottom w:val="none" w:sz="0" w:space="0" w:color="auto"/>
            <w:right w:val="none" w:sz="0" w:space="0" w:color="auto"/>
          </w:divBdr>
        </w:div>
        <w:div w:id="75905518">
          <w:marLeft w:val="0"/>
          <w:marRight w:val="0"/>
          <w:marTop w:val="0"/>
          <w:marBottom w:val="0"/>
          <w:divBdr>
            <w:top w:val="none" w:sz="0" w:space="0" w:color="auto"/>
            <w:left w:val="none" w:sz="0" w:space="0" w:color="auto"/>
            <w:bottom w:val="none" w:sz="0" w:space="0" w:color="auto"/>
            <w:right w:val="none" w:sz="0" w:space="0" w:color="auto"/>
          </w:divBdr>
        </w:div>
        <w:div w:id="1763524968">
          <w:marLeft w:val="0"/>
          <w:marRight w:val="0"/>
          <w:marTop w:val="0"/>
          <w:marBottom w:val="0"/>
          <w:divBdr>
            <w:top w:val="none" w:sz="0" w:space="0" w:color="auto"/>
            <w:left w:val="none" w:sz="0" w:space="0" w:color="auto"/>
            <w:bottom w:val="none" w:sz="0" w:space="0" w:color="auto"/>
            <w:right w:val="none" w:sz="0" w:space="0" w:color="auto"/>
          </w:divBdr>
        </w:div>
        <w:div w:id="1617521657">
          <w:marLeft w:val="0"/>
          <w:marRight w:val="0"/>
          <w:marTop w:val="0"/>
          <w:marBottom w:val="0"/>
          <w:divBdr>
            <w:top w:val="none" w:sz="0" w:space="0" w:color="auto"/>
            <w:left w:val="none" w:sz="0" w:space="0" w:color="auto"/>
            <w:bottom w:val="none" w:sz="0" w:space="0" w:color="auto"/>
            <w:right w:val="none" w:sz="0" w:space="0" w:color="auto"/>
          </w:divBdr>
        </w:div>
        <w:div w:id="1429930448">
          <w:marLeft w:val="0"/>
          <w:marRight w:val="0"/>
          <w:marTop w:val="0"/>
          <w:marBottom w:val="0"/>
          <w:divBdr>
            <w:top w:val="none" w:sz="0" w:space="0" w:color="auto"/>
            <w:left w:val="none" w:sz="0" w:space="0" w:color="auto"/>
            <w:bottom w:val="none" w:sz="0" w:space="0" w:color="auto"/>
            <w:right w:val="none" w:sz="0" w:space="0" w:color="auto"/>
          </w:divBdr>
        </w:div>
        <w:div w:id="144705443">
          <w:marLeft w:val="0"/>
          <w:marRight w:val="0"/>
          <w:marTop w:val="0"/>
          <w:marBottom w:val="0"/>
          <w:divBdr>
            <w:top w:val="none" w:sz="0" w:space="0" w:color="auto"/>
            <w:left w:val="none" w:sz="0" w:space="0" w:color="auto"/>
            <w:bottom w:val="none" w:sz="0" w:space="0" w:color="auto"/>
            <w:right w:val="none" w:sz="0" w:space="0" w:color="auto"/>
          </w:divBdr>
        </w:div>
        <w:div w:id="2096700798">
          <w:marLeft w:val="0"/>
          <w:marRight w:val="0"/>
          <w:marTop w:val="0"/>
          <w:marBottom w:val="0"/>
          <w:divBdr>
            <w:top w:val="none" w:sz="0" w:space="0" w:color="auto"/>
            <w:left w:val="none" w:sz="0" w:space="0" w:color="auto"/>
            <w:bottom w:val="none" w:sz="0" w:space="0" w:color="auto"/>
            <w:right w:val="none" w:sz="0" w:space="0" w:color="auto"/>
          </w:divBdr>
        </w:div>
        <w:div w:id="1955406836">
          <w:marLeft w:val="0"/>
          <w:marRight w:val="0"/>
          <w:marTop w:val="0"/>
          <w:marBottom w:val="0"/>
          <w:divBdr>
            <w:top w:val="none" w:sz="0" w:space="0" w:color="auto"/>
            <w:left w:val="none" w:sz="0" w:space="0" w:color="auto"/>
            <w:bottom w:val="none" w:sz="0" w:space="0" w:color="auto"/>
            <w:right w:val="none" w:sz="0" w:space="0" w:color="auto"/>
          </w:divBdr>
        </w:div>
        <w:div w:id="1442872839">
          <w:marLeft w:val="0"/>
          <w:marRight w:val="0"/>
          <w:marTop w:val="0"/>
          <w:marBottom w:val="0"/>
          <w:divBdr>
            <w:top w:val="none" w:sz="0" w:space="0" w:color="auto"/>
            <w:left w:val="none" w:sz="0" w:space="0" w:color="auto"/>
            <w:bottom w:val="none" w:sz="0" w:space="0" w:color="auto"/>
            <w:right w:val="none" w:sz="0" w:space="0" w:color="auto"/>
          </w:divBdr>
        </w:div>
        <w:div w:id="1972512657">
          <w:marLeft w:val="0"/>
          <w:marRight w:val="0"/>
          <w:marTop w:val="0"/>
          <w:marBottom w:val="0"/>
          <w:divBdr>
            <w:top w:val="none" w:sz="0" w:space="0" w:color="auto"/>
            <w:left w:val="none" w:sz="0" w:space="0" w:color="auto"/>
            <w:bottom w:val="none" w:sz="0" w:space="0" w:color="auto"/>
            <w:right w:val="none" w:sz="0" w:space="0" w:color="auto"/>
          </w:divBdr>
        </w:div>
        <w:div w:id="1818305932">
          <w:marLeft w:val="0"/>
          <w:marRight w:val="0"/>
          <w:marTop w:val="0"/>
          <w:marBottom w:val="0"/>
          <w:divBdr>
            <w:top w:val="none" w:sz="0" w:space="0" w:color="auto"/>
            <w:left w:val="none" w:sz="0" w:space="0" w:color="auto"/>
            <w:bottom w:val="none" w:sz="0" w:space="0" w:color="auto"/>
            <w:right w:val="none" w:sz="0" w:space="0" w:color="auto"/>
          </w:divBdr>
        </w:div>
        <w:div w:id="1913618214">
          <w:marLeft w:val="0"/>
          <w:marRight w:val="0"/>
          <w:marTop w:val="0"/>
          <w:marBottom w:val="0"/>
          <w:divBdr>
            <w:top w:val="none" w:sz="0" w:space="0" w:color="auto"/>
            <w:left w:val="none" w:sz="0" w:space="0" w:color="auto"/>
            <w:bottom w:val="none" w:sz="0" w:space="0" w:color="auto"/>
            <w:right w:val="none" w:sz="0" w:space="0" w:color="auto"/>
          </w:divBdr>
        </w:div>
        <w:div w:id="2093548033">
          <w:marLeft w:val="0"/>
          <w:marRight w:val="0"/>
          <w:marTop w:val="0"/>
          <w:marBottom w:val="0"/>
          <w:divBdr>
            <w:top w:val="none" w:sz="0" w:space="0" w:color="auto"/>
            <w:left w:val="none" w:sz="0" w:space="0" w:color="auto"/>
            <w:bottom w:val="none" w:sz="0" w:space="0" w:color="auto"/>
            <w:right w:val="none" w:sz="0" w:space="0" w:color="auto"/>
          </w:divBdr>
        </w:div>
        <w:div w:id="1827359389">
          <w:marLeft w:val="0"/>
          <w:marRight w:val="0"/>
          <w:marTop w:val="0"/>
          <w:marBottom w:val="0"/>
          <w:divBdr>
            <w:top w:val="none" w:sz="0" w:space="0" w:color="auto"/>
            <w:left w:val="none" w:sz="0" w:space="0" w:color="auto"/>
            <w:bottom w:val="none" w:sz="0" w:space="0" w:color="auto"/>
            <w:right w:val="none" w:sz="0" w:space="0" w:color="auto"/>
          </w:divBdr>
        </w:div>
        <w:div w:id="2102334739">
          <w:marLeft w:val="0"/>
          <w:marRight w:val="0"/>
          <w:marTop w:val="0"/>
          <w:marBottom w:val="0"/>
          <w:divBdr>
            <w:top w:val="none" w:sz="0" w:space="0" w:color="auto"/>
            <w:left w:val="none" w:sz="0" w:space="0" w:color="auto"/>
            <w:bottom w:val="none" w:sz="0" w:space="0" w:color="auto"/>
            <w:right w:val="none" w:sz="0" w:space="0" w:color="auto"/>
          </w:divBdr>
        </w:div>
        <w:div w:id="248974518">
          <w:marLeft w:val="0"/>
          <w:marRight w:val="0"/>
          <w:marTop w:val="0"/>
          <w:marBottom w:val="0"/>
          <w:divBdr>
            <w:top w:val="none" w:sz="0" w:space="0" w:color="auto"/>
            <w:left w:val="none" w:sz="0" w:space="0" w:color="auto"/>
            <w:bottom w:val="none" w:sz="0" w:space="0" w:color="auto"/>
            <w:right w:val="none" w:sz="0" w:space="0" w:color="auto"/>
          </w:divBdr>
        </w:div>
        <w:div w:id="508758231">
          <w:marLeft w:val="0"/>
          <w:marRight w:val="0"/>
          <w:marTop w:val="0"/>
          <w:marBottom w:val="0"/>
          <w:divBdr>
            <w:top w:val="none" w:sz="0" w:space="0" w:color="auto"/>
            <w:left w:val="none" w:sz="0" w:space="0" w:color="auto"/>
            <w:bottom w:val="none" w:sz="0" w:space="0" w:color="auto"/>
            <w:right w:val="none" w:sz="0" w:space="0" w:color="auto"/>
          </w:divBdr>
        </w:div>
        <w:div w:id="837034623">
          <w:marLeft w:val="0"/>
          <w:marRight w:val="0"/>
          <w:marTop w:val="0"/>
          <w:marBottom w:val="0"/>
          <w:divBdr>
            <w:top w:val="none" w:sz="0" w:space="0" w:color="auto"/>
            <w:left w:val="none" w:sz="0" w:space="0" w:color="auto"/>
            <w:bottom w:val="none" w:sz="0" w:space="0" w:color="auto"/>
            <w:right w:val="none" w:sz="0" w:space="0" w:color="auto"/>
          </w:divBdr>
        </w:div>
        <w:div w:id="1759905183">
          <w:marLeft w:val="0"/>
          <w:marRight w:val="0"/>
          <w:marTop w:val="0"/>
          <w:marBottom w:val="0"/>
          <w:divBdr>
            <w:top w:val="none" w:sz="0" w:space="0" w:color="auto"/>
            <w:left w:val="none" w:sz="0" w:space="0" w:color="auto"/>
            <w:bottom w:val="none" w:sz="0" w:space="0" w:color="auto"/>
            <w:right w:val="none" w:sz="0" w:space="0" w:color="auto"/>
          </w:divBdr>
        </w:div>
        <w:div w:id="907887120">
          <w:marLeft w:val="0"/>
          <w:marRight w:val="0"/>
          <w:marTop w:val="0"/>
          <w:marBottom w:val="0"/>
          <w:divBdr>
            <w:top w:val="none" w:sz="0" w:space="0" w:color="auto"/>
            <w:left w:val="none" w:sz="0" w:space="0" w:color="auto"/>
            <w:bottom w:val="none" w:sz="0" w:space="0" w:color="auto"/>
            <w:right w:val="none" w:sz="0" w:space="0" w:color="auto"/>
          </w:divBdr>
        </w:div>
        <w:div w:id="2111583630">
          <w:marLeft w:val="0"/>
          <w:marRight w:val="0"/>
          <w:marTop w:val="0"/>
          <w:marBottom w:val="0"/>
          <w:divBdr>
            <w:top w:val="none" w:sz="0" w:space="0" w:color="auto"/>
            <w:left w:val="none" w:sz="0" w:space="0" w:color="auto"/>
            <w:bottom w:val="none" w:sz="0" w:space="0" w:color="auto"/>
            <w:right w:val="none" w:sz="0" w:space="0" w:color="auto"/>
          </w:divBdr>
        </w:div>
        <w:div w:id="555245312">
          <w:marLeft w:val="0"/>
          <w:marRight w:val="0"/>
          <w:marTop w:val="0"/>
          <w:marBottom w:val="0"/>
          <w:divBdr>
            <w:top w:val="none" w:sz="0" w:space="0" w:color="auto"/>
            <w:left w:val="none" w:sz="0" w:space="0" w:color="auto"/>
            <w:bottom w:val="none" w:sz="0" w:space="0" w:color="auto"/>
            <w:right w:val="none" w:sz="0" w:space="0" w:color="auto"/>
          </w:divBdr>
        </w:div>
        <w:div w:id="926226592">
          <w:marLeft w:val="0"/>
          <w:marRight w:val="0"/>
          <w:marTop w:val="0"/>
          <w:marBottom w:val="0"/>
          <w:divBdr>
            <w:top w:val="none" w:sz="0" w:space="0" w:color="auto"/>
            <w:left w:val="none" w:sz="0" w:space="0" w:color="auto"/>
            <w:bottom w:val="none" w:sz="0" w:space="0" w:color="auto"/>
            <w:right w:val="none" w:sz="0" w:space="0" w:color="auto"/>
          </w:divBdr>
        </w:div>
        <w:div w:id="1084838997">
          <w:marLeft w:val="0"/>
          <w:marRight w:val="0"/>
          <w:marTop w:val="0"/>
          <w:marBottom w:val="0"/>
          <w:divBdr>
            <w:top w:val="none" w:sz="0" w:space="0" w:color="auto"/>
            <w:left w:val="none" w:sz="0" w:space="0" w:color="auto"/>
            <w:bottom w:val="none" w:sz="0" w:space="0" w:color="auto"/>
            <w:right w:val="none" w:sz="0" w:space="0" w:color="auto"/>
          </w:divBdr>
        </w:div>
        <w:div w:id="1540581357">
          <w:marLeft w:val="0"/>
          <w:marRight w:val="0"/>
          <w:marTop w:val="0"/>
          <w:marBottom w:val="0"/>
          <w:divBdr>
            <w:top w:val="none" w:sz="0" w:space="0" w:color="auto"/>
            <w:left w:val="none" w:sz="0" w:space="0" w:color="auto"/>
            <w:bottom w:val="none" w:sz="0" w:space="0" w:color="auto"/>
            <w:right w:val="none" w:sz="0" w:space="0" w:color="auto"/>
          </w:divBdr>
        </w:div>
        <w:div w:id="530580466">
          <w:marLeft w:val="0"/>
          <w:marRight w:val="0"/>
          <w:marTop w:val="0"/>
          <w:marBottom w:val="0"/>
          <w:divBdr>
            <w:top w:val="none" w:sz="0" w:space="0" w:color="auto"/>
            <w:left w:val="none" w:sz="0" w:space="0" w:color="auto"/>
            <w:bottom w:val="none" w:sz="0" w:space="0" w:color="auto"/>
            <w:right w:val="none" w:sz="0" w:space="0" w:color="auto"/>
          </w:divBdr>
        </w:div>
        <w:div w:id="1735396517">
          <w:marLeft w:val="0"/>
          <w:marRight w:val="0"/>
          <w:marTop w:val="0"/>
          <w:marBottom w:val="0"/>
          <w:divBdr>
            <w:top w:val="none" w:sz="0" w:space="0" w:color="auto"/>
            <w:left w:val="none" w:sz="0" w:space="0" w:color="auto"/>
            <w:bottom w:val="none" w:sz="0" w:space="0" w:color="auto"/>
            <w:right w:val="none" w:sz="0" w:space="0" w:color="auto"/>
          </w:divBdr>
        </w:div>
        <w:div w:id="856847377">
          <w:marLeft w:val="0"/>
          <w:marRight w:val="0"/>
          <w:marTop w:val="0"/>
          <w:marBottom w:val="0"/>
          <w:divBdr>
            <w:top w:val="none" w:sz="0" w:space="0" w:color="auto"/>
            <w:left w:val="none" w:sz="0" w:space="0" w:color="auto"/>
            <w:bottom w:val="none" w:sz="0" w:space="0" w:color="auto"/>
            <w:right w:val="none" w:sz="0" w:space="0" w:color="auto"/>
          </w:divBdr>
        </w:div>
        <w:div w:id="1240945343">
          <w:marLeft w:val="0"/>
          <w:marRight w:val="0"/>
          <w:marTop w:val="0"/>
          <w:marBottom w:val="0"/>
          <w:divBdr>
            <w:top w:val="none" w:sz="0" w:space="0" w:color="auto"/>
            <w:left w:val="none" w:sz="0" w:space="0" w:color="auto"/>
            <w:bottom w:val="none" w:sz="0" w:space="0" w:color="auto"/>
            <w:right w:val="none" w:sz="0" w:space="0" w:color="auto"/>
          </w:divBdr>
        </w:div>
        <w:div w:id="2058819879">
          <w:marLeft w:val="0"/>
          <w:marRight w:val="0"/>
          <w:marTop w:val="0"/>
          <w:marBottom w:val="0"/>
          <w:divBdr>
            <w:top w:val="none" w:sz="0" w:space="0" w:color="auto"/>
            <w:left w:val="none" w:sz="0" w:space="0" w:color="auto"/>
            <w:bottom w:val="none" w:sz="0" w:space="0" w:color="auto"/>
            <w:right w:val="none" w:sz="0" w:space="0" w:color="auto"/>
          </w:divBdr>
        </w:div>
        <w:div w:id="2045858509">
          <w:marLeft w:val="0"/>
          <w:marRight w:val="0"/>
          <w:marTop w:val="0"/>
          <w:marBottom w:val="0"/>
          <w:divBdr>
            <w:top w:val="none" w:sz="0" w:space="0" w:color="auto"/>
            <w:left w:val="none" w:sz="0" w:space="0" w:color="auto"/>
            <w:bottom w:val="none" w:sz="0" w:space="0" w:color="auto"/>
            <w:right w:val="none" w:sz="0" w:space="0" w:color="auto"/>
          </w:divBdr>
        </w:div>
        <w:div w:id="464474214">
          <w:marLeft w:val="0"/>
          <w:marRight w:val="0"/>
          <w:marTop w:val="0"/>
          <w:marBottom w:val="0"/>
          <w:divBdr>
            <w:top w:val="none" w:sz="0" w:space="0" w:color="auto"/>
            <w:left w:val="none" w:sz="0" w:space="0" w:color="auto"/>
            <w:bottom w:val="none" w:sz="0" w:space="0" w:color="auto"/>
            <w:right w:val="none" w:sz="0" w:space="0" w:color="auto"/>
          </w:divBdr>
        </w:div>
        <w:div w:id="1814177917">
          <w:marLeft w:val="0"/>
          <w:marRight w:val="0"/>
          <w:marTop w:val="0"/>
          <w:marBottom w:val="0"/>
          <w:divBdr>
            <w:top w:val="none" w:sz="0" w:space="0" w:color="auto"/>
            <w:left w:val="none" w:sz="0" w:space="0" w:color="auto"/>
            <w:bottom w:val="none" w:sz="0" w:space="0" w:color="auto"/>
            <w:right w:val="none" w:sz="0" w:space="0" w:color="auto"/>
          </w:divBdr>
        </w:div>
        <w:div w:id="1456675247">
          <w:marLeft w:val="0"/>
          <w:marRight w:val="0"/>
          <w:marTop w:val="0"/>
          <w:marBottom w:val="0"/>
          <w:divBdr>
            <w:top w:val="none" w:sz="0" w:space="0" w:color="auto"/>
            <w:left w:val="none" w:sz="0" w:space="0" w:color="auto"/>
            <w:bottom w:val="none" w:sz="0" w:space="0" w:color="auto"/>
            <w:right w:val="none" w:sz="0" w:space="0" w:color="auto"/>
          </w:divBdr>
        </w:div>
        <w:div w:id="1871721407">
          <w:marLeft w:val="0"/>
          <w:marRight w:val="0"/>
          <w:marTop w:val="0"/>
          <w:marBottom w:val="0"/>
          <w:divBdr>
            <w:top w:val="none" w:sz="0" w:space="0" w:color="auto"/>
            <w:left w:val="none" w:sz="0" w:space="0" w:color="auto"/>
            <w:bottom w:val="none" w:sz="0" w:space="0" w:color="auto"/>
            <w:right w:val="none" w:sz="0" w:space="0" w:color="auto"/>
          </w:divBdr>
        </w:div>
        <w:div w:id="1341199354">
          <w:marLeft w:val="0"/>
          <w:marRight w:val="0"/>
          <w:marTop w:val="0"/>
          <w:marBottom w:val="0"/>
          <w:divBdr>
            <w:top w:val="none" w:sz="0" w:space="0" w:color="auto"/>
            <w:left w:val="none" w:sz="0" w:space="0" w:color="auto"/>
            <w:bottom w:val="none" w:sz="0" w:space="0" w:color="auto"/>
            <w:right w:val="none" w:sz="0" w:space="0" w:color="auto"/>
          </w:divBdr>
        </w:div>
        <w:div w:id="1658268212">
          <w:marLeft w:val="0"/>
          <w:marRight w:val="0"/>
          <w:marTop w:val="0"/>
          <w:marBottom w:val="0"/>
          <w:divBdr>
            <w:top w:val="none" w:sz="0" w:space="0" w:color="auto"/>
            <w:left w:val="none" w:sz="0" w:space="0" w:color="auto"/>
            <w:bottom w:val="none" w:sz="0" w:space="0" w:color="auto"/>
            <w:right w:val="none" w:sz="0" w:space="0" w:color="auto"/>
          </w:divBdr>
        </w:div>
        <w:div w:id="335420695">
          <w:marLeft w:val="0"/>
          <w:marRight w:val="0"/>
          <w:marTop w:val="0"/>
          <w:marBottom w:val="0"/>
          <w:divBdr>
            <w:top w:val="none" w:sz="0" w:space="0" w:color="auto"/>
            <w:left w:val="none" w:sz="0" w:space="0" w:color="auto"/>
            <w:bottom w:val="none" w:sz="0" w:space="0" w:color="auto"/>
            <w:right w:val="none" w:sz="0" w:space="0" w:color="auto"/>
          </w:divBdr>
        </w:div>
        <w:div w:id="77681605">
          <w:marLeft w:val="0"/>
          <w:marRight w:val="0"/>
          <w:marTop w:val="0"/>
          <w:marBottom w:val="0"/>
          <w:divBdr>
            <w:top w:val="none" w:sz="0" w:space="0" w:color="auto"/>
            <w:left w:val="none" w:sz="0" w:space="0" w:color="auto"/>
            <w:bottom w:val="none" w:sz="0" w:space="0" w:color="auto"/>
            <w:right w:val="none" w:sz="0" w:space="0" w:color="auto"/>
          </w:divBdr>
        </w:div>
        <w:div w:id="1515223962">
          <w:marLeft w:val="0"/>
          <w:marRight w:val="0"/>
          <w:marTop w:val="0"/>
          <w:marBottom w:val="0"/>
          <w:divBdr>
            <w:top w:val="none" w:sz="0" w:space="0" w:color="auto"/>
            <w:left w:val="none" w:sz="0" w:space="0" w:color="auto"/>
            <w:bottom w:val="none" w:sz="0" w:space="0" w:color="auto"/>
            <w:right w:val="none" w:sz="0" w:space="0" w:color="auto"/>
          </w:divBdr>
        </w:div>
        <w:div w:id="1591616749">
          <w:marLeft w:val="0"/>
          <w:marRight w:val="0"/>
          <w:marTop w:val="0"/>
          <w:marBottom w:val="0"/>
          <w:divBdr>
            <w:top w:val="none" w:sz="0" w:space="0" w:color="auto"/>
            <w:left w:val="none" w:sz="0" w:space="0" w:color="auto"/>
            <w:bottom w:val="none" w:sz="0" w:space="0" w:color="auto"/>
            <w:right w:val="none" w:sz="0" w:space="0" w:color="auto"/>
          </w:divBdr>
        </w:div>
        <w:div w:id="414938019">
          <w:marLeft w:val="0"/>
          <w:marRight w:val="0"/>
          <w:marTop w:val="0"/>
          <w:marBottom w:val="0"/>
          <w:divBdr>
            <w:top w:val="none" w:sz="0" w:space="0" w:color="auto"/>
            <w:left w:val="none" w:sz="0" w:space="0" w:color="auto"/>
            <w:bottom w:val="none" w:sz="0" w:space="0" w:color="auto"/>
            <w:right w:val="none" w:sz="0" w:space="0" w:color="auto"/>
          </w:divBdr>
        </w:div>
        <w:div w:id="1616213609">
          <w:marLeft w:val="0"/>
          <w:marRight w:val="0"/>
          <w:marTop w:val="0"/>
          <w:marBottom w:val="0"/>
          <w:divBdr>
            <w:top w:val="none" w:sz="0" w:space="0" w:color="auto"/>
            <w:left w:val="none" w:sz="0" w:space="0" w:color="auto"/>
            <w:bottom w:val="none" w:sz="0" w:space="0" w:color="auto"/>
            <w:right w:val="none" w:sz="0" w:space="0" w:color="auto"/>
          </w:divBdr>
        </w:div>
        <w:div w:id="1409378598">
          <w:marLeft w:val="0"/>
          <w:marRight w:val="0"/>
          <w:marTop w:val="0"/>
          <w:marBottom w:val="0"/>
          <w:divBdr>
            <w:top w:val="none" w:sz="0" w:space="0" w:color="auto"/>
            <w:left w:val="none" w:sz="0" w:space="0" w:color="auto"/>
            <w:bottom w:val="none" w:sz="0" w:space="0" w:color="auto"/>
            <w:right w:val="none" w:sz="0" w:space="0" w:color="auto"/>
          </w:divBdr>
        </w:div>
        <w:div w:id="216402696">
          <w:marLeft w:val="0"/>
          <w:marRight w:val="0"/>
          <w:marTop w:val="0"/>
          <w:marBottom w:val="0"/>
          <w:divBdr>
            <w:top w:val="none" w:sz="0" w:space="0" w:color="auto"/>
            <w:left w:val="none" w:sz="0" w:space="0" w:color="auto"/>
            <w:bottom w:val="none" w:sz="0" w:space="0" w:color="auto"/>
            <w:right w:val="none" w:sz="0" w:space="0" w:color="auto"/>
          </w:divBdr>
        </w:div>
        <w:div w:id="1061632813">
          <w:marLeft w:val="0"/>
          <w:marRight w:val="0"/>
          <w:marTop w:val="0"/>
          <w:marBottom w:val="0"/>
          <w:divBdr>
            <w:top w:val="none" w:sz="0" w:space="0" w:color="auto"/>
            <w:left w:val="none" w:sz="0" w:space="0" w:color="auto"/>
            <w:bottom w:val="none" w:sz="0" w:space="0" w:color="auto"/>
            <w:right w:val="none" w:sz="0" w:space="0" w:color="auto"/>
          </w:divBdr>
        </w:div>
        <w:div w:id="1236353578">
          <w:marLeft w:val="0"/>
          <w:marRight w:val="0"/>
          <w:marTop w:val="0"/>
          <w:marBottom w:val="0"/>
          <w:divBdr>
            <w:top w:val="none" w:sz="0" w:space="0" w:color="auto"/>
            <w:left w:val="none" w:sz="0" w:space="0" w:color="auto"/>
            <w:bottom w:val="none" w:sz="0" w:space="0" w:color="auto"/>
            <w:right w:val="none" w:sz="0" w:space="0" w:color="auto"/>
          </w:divBdr>
        </w:div>
        <w:div w:id="1572042271">
          <w:marLeft w:val="0"/>
          <w:marRight w:val="0"/>
          <w:marTop w:val="0"/>
          <w:marBottom w:val="0"/>
          <w:divBdr>
            <w:top w:val="none" w:sz="0" w:space="0" w:color="auto"/>
            <w:left w:val="none" w:sz="0" w:space="0" w:color="auto"/>
            <w:bottom w:val="none" w:sz="0" w:space="0" w:color="auto"/>
            <w:right w:val="none" w:sz="0" w:space="0" w:color="auto"/>
          </w:divBdr>
        </w:div>
        <w:div w:id="744302864">
          <w:marLeft w:val="0"/>
          <w:marRight w:val="0"/>
          <w:marTop w:val="0"/>
          <w:marBottom w:val="0"/>
          <w:divBdr>
            <w:top w:val="none" w:sz="0" w:space="0" w:color="auto"/>
            <w:left w:val="none" w:sz="0" w:space="0" w:color="auto"/>
            <w:bottom w:val="none" w:sz="0" w:space="0" w:color="auto"/>
            <w:right w:val="none" w:sz="0" w:space="0" w:color="auto"/>
          </w:divBdr>
        </w:div>
        <w:div w:id="2083867395">
          <w:marLeft w:val="0"/>
          <w:marRight w:val="0"/>
          <w:marTop w:val="0"/>
          <w:marBottom w:val="0"/>
          <w:divBdr>
            <w:top w:val="none" w:sz="0" w:space="0" w:color="auto"/>
            <w:left w:val="none" w:sz="0" w:space="0" w:color="auto"/>
            <w:bottom w:val="none" w:sz="0" w:space="0" w:color="auto"/>
            <w:right w:val="none" w:sz="0" w:space="0" w:color="auto"/>
          </w:divBdr>
        </w:div>
        <w:div w:id="1244879400">
          <w:marLeft w:val="0"/>
          <w:marRight w:val="0"/>
          <w:marTop w:val="0"/>
          <w:marBottom w:val="0"/>
          <w:divBdr>
            <w:top w:val="none" w:sz="0" w:space="0" w:color="auto"/>
            <w:left w:val="none" w:sz="0" w:space="0" w:color="auto"/>
            <w:bottom w:val="none" w:sz="0" w:space="0" w:color="auto"/>
            <w:right w:val="none" w:sz="0" w:space="0" w:color="auto"/>
          </w:divBdr>
        </w:div>
        <w:div w:id="1101879641">
          <w:marLeft w:val="0"/>
          <w:marRight w:val="0"/>
          <w:marTop w:val="0"/>
          <w:marBottom w:val="0"/>
          <w:divBdr>
            <w:top w:val="none" w:sz="0" w:space="0" w:color="auto"/>
            <w:left w:val="none" w:sz="0" w:space="0" w:color="auto"/>
            <w:bottom w:val="none" w:sz="0" w:space="0" w:color="auto"/>
            <w:right w:val="none" w:sz="0" w:space="0" w:color="auto"/>
          </w:divBdr>
        </w:div>
        <w:div w:id="1262683187">
          <w:marLeft w:val="0"/>
          <w:marRight w:val="0"/>
          <w:marTop w:val="0"/>
          <w:marBottom w:val="0"/>
          <w:divBdr>
            <w:top w:val="none" w:sz="0" w:space="0" w:color="auto"/>
            <w:left w:val="none" w:sz="0" w:space="0" w:color="auto"/>
            <w:bottom w:val="none" w:sz="0" w:space="0" w:color="auto"/>
            <w:right w:val="none" w:sz="0" w:space="0" w:color="auto"/>
          </w:divBdr>
        </w:div>
        <w:div w:id="809713628">
          <w:marLeft w:val="0"/>
          <w:marRight w:val="0"/>
          <w:marTop w:val="0"/>
          <w:marBottom w:val="0"/>
          <w:divBdr>
            <w:top w:val="none" w:sz="0" w:space="0" w:color="auto"/>
            <w:left w:val="none" w:sz="0" w:space="0" w:color="auto"/>
            <w:bottom w:val="none" w:sz="0" w:space="0" w:color="auto"/>
            <w:right w:val="none" w:sz="0" w:space="0" w:color="auto"/>
          </w:divBdr>
        </w:div>
        <w:div w:id="39063170">
          <w:marLeft w:val="0"/>
          <w:marRight w:val="0"/>
          <w:marTop w:val="0"/>
          <w:marBottom w:val="0"/>
          <w:divBdr>
            <w:top w:val="none" w:sz="0" w:space="0" w:color="auto"/>
            <w:left w:val="none" w:sz="0" w:space="0" w:color="auto"/>
            <w:bottom w:val="none" w:sz="0" w:space="0" w:color="auto"/>
            <w:right w:val="none" w:sz="0" w:space="0" w:color="auto"/>
          </w:divBdr>
        </w:div>
        <w:div w:id="561137716">
          <w:marLeft w:val="0"/>
          <w:marRight w:val="0"/>
          <w:marTop w:val="0"/>
          <w:marBottom w:val="0"/>
          <w:divBdr>
            <w:top w:val="none" w:sz="0" w:space="0" w:color="auto"/>
            <w:left w:val="none" w:sz="0" w:space="0" w:color="auto"/>
            <w:bottom w:val="none" w:sz="0" w:space="0" w:color="auto"/>
            <w:right w:val="none" w:sz="0" w:space="0" w:color="auto"/>
          </w:divBdr>
        </w:div>
        <w:div w:id="513687229">
          <w:marLeft w:val="0"/>
          <w:marRight w:val="0"/>
          <w:marTop w:val="0"/>
          <w:marBottom w:val="0"/>
          <w:divBdr>
            <w:top w:val="none" w:sz="0" w:space="0" w:color="auto"/>
            <w:left w:val="none" w:sz="0" w:space="0" w:color="auto"/>
            <w:bottom w:val="none" w:sz="0" w:space="0" w:color="auto"/>
            <w:right w:val="none" w:sz="0" w:space="0" w:color="auto"/>
          </w:divBdr>
        </w:div>
        <w:div w:id="2089885112">
          <w:marLeft w:val="0"/>
          <w:marRight w:val="0"/>
          <w:marTop w:val="0"/>
          <w:marBottom w:val="0"/>
          <w:divBdr>
            <w:top w:val="none" w:sz="0" w:space="0" w:color="auto"/>
            <w:left w:val="none" w:sz="0" w:space="0" w:color="auto"/>
            <w:bottom w:val="none" w:sz="0" w:space="0" w:color="auto"/>
            <w:right w:val="none" w:sz="0" w:space="0" w:color="auto"/>
          </w:divBdr>
        </w:div>
        <w:div w:id="571744991">
          <w:marLeft w:val="0"/>
          <w:marRight w:val="0"/>
          <w:marTop w:val="0"/>
          <w:marBottom w:val="0"/>
          <w:divBdr>
            <w:top w:val="none" w:sz="0" w:space="0" w:color="auto"/>
            <w:left w:val="none" w:sz="0" w:space="0" w:color="auto"/>
            <w:bottom w:val="none" w:sz="0" w:space="0" w:color="auto"/>
            <w:right w:val="none" w:sz="0" w:space="0" w:color="auto"/>
          </w:divBdr>
        </w:div>
        <w:div w:id="1191647005">
          <w:marLeft w:val="0"/>
          <w:marRight w:val="0"/>
          <w:marTop w:val="0"/>
          <w:marBottom w:val="0"/>
          <w:divBdr>
            <w:top w:val="none" w:sz="0" w:space="0" w:color="auto"/>
            <w:left w:val="none" w:sz="0" w:space="0" w:color="auto"/>
            <w:bottom w:val="none" w:sz="0" w:space="0" w:color="auto"/>
            <w:right w:val="none" w:sz="0" w:space="0" w:color="auto"/>
          </w:divBdr>
        </w:div>
        <w:div w:id="1076323674">
          <w:marLeft w:val="0"/>
          <w:marRight w:val="0"/>
          <w:marTop w:val="0"/>
          <w:marBottom w:val="0"/>
          <w:divBdr>
            <w:top w:val="none" w:sz="0" w:space="0" w:color="auto"/>
            <w:left w:val="none" w:sz="0" w:space="0" w:color="auto"/>
            <w:bottom w:val="none" w:sz="0" w:space="0" w:color="auto"/>
            <w:right w:val="none" w:sz="0" w:space="0" w:color="auto"/>
          </w:divBdr>
        </w:div>
        <w:div w:id="1484278853">
          <w:marLeft w:val="0"/>
          <w:marRight w:val="0"/>
          <w:marTop w:val="0"/>
          <w:marBottom w:val="0"/>
          <w:divBdr>
            <w:top w:val="none" w:sz="0" w:space="0" w:color="auto"/>
            <w:left w:val="none" w:sz="0" w:space="0" w:color="auto"/>
            <w:bottom w:val="none" w:sz="0" w:space="0" w:color="auto"/>
            <w:right w:val="none" w:sz="0" w:space="0" w:color="auto"/>
          </w:divBdr>
        </w:div>
        <w:div w:id="210575899">
          <w:marLeft w:val="0"/>
          <w:marRight w:val="0"/>
          <w:marTop w:val="0"/>
          <w:marBottom w:val="0"/>
          <w:divBdr>
            <w:top w:val="none" w:sz="0" w:space="0" w:color="auto"/>
            <w:left w:val="none" w:sz="0" w:space="0" w:color="auto"/>
            <w:bottom w:val="none" w:sz="0" w:space="0" w:color="auto"/>
            <w:right w:val="none" w:sz="0" w:space="0" w:color="auto"/>
          </w:divBdr>
        </w:div>
        <w:div w:id="1707945902">
          <w:marLeft w:val="0"/>
          <w:marRight w:val="0"/>
          <w:marTop w:val="0"/>
          <w:marBottom w:val="0"/>
          <w:divBdr>
            <w:top w:val="none" w:sz="0" w:space="0" w:color="auto"/>
            <w:left w:val="none" w:sz="0" w:space="0" w:color="auto"/>
            <w:bottom w:val="none" w:sz="0" w:space="0" w:color="auto"/>
            <w:right w:val="none" w:sz="0" w:space="0" w:color="auto"/>
          </w:divBdr>
        </w:div>
        <w:div w:id="702831247">
          <w:marLeft w:val="0"/>
          <w:marRight w:val="0"/>
          <w:marTop w:val="0"/>
          <w:marBottom w:val="0"/>
          <w:divBdr>
            <w:top w:val="none" w:sz="0" w:space="0" w:color="auto"/>
            <w:left w:val="none" w:sz="0" w:space="0" w:color="auto"/>
            <w:bottom w:val="none" w:sz="0" w:space="0" w:color="auto"/>
            <w:right w:val="none" w:sz="0" w:space="0" w:color="auto"/>
          </w:divBdr>
        </w:div>
        <w:div w:id="1374426141">
          <w:marLeft w:val="0"/>
          <w:marRight w:val="0"/>
          <w:marTop w:val="0"/>
          <w:marBottom w:val="0"/>
          <w:divBdr>
            <w:top w:val="none" w:sz="0" w:space="0" w:color="auto"/>
            <w:left w:val="none" w:sz="0" w:space="0" w:color="auto"/>
            <w:bottom w:val="none" w:sz="0" w:space="0" w:color="auto"/>
            <w:right w:val="none" w:sz="0" w:space="0" w:color="auto"/>
          </w:divBdr>
        </w:div>
        <w:div w:id="699626004">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264343871">
          <w:marLeft w:val="0"/>
          <w:marRight w:val="0"/>
          <w:marTop w:val="0"/>
          <w:marBottom w:val="0"/>
          <w:divBdr>
            <w:top w:val="none" w:sz="0" w:space="0" w:color="auto"/>
            <w:left w:val="none" w:sz="0" w:space="0" w:color="auto"/>
            <w:bottom w:val="none" w:sz="0" w:space="0" w:color="auto"/>
            <w:right w:val="none" w:sz="0" w:space="0" w:color="auto"/>
          </w:divBdr>
        </w:div>
        <w:div w:id="394401758">
          <w:marLeft w:val="0"/>
          <w:marRight w:val="0"/>
          <w:marTop w:val="0"/>
          <w:marBottom w:val="0"/>
          <w:divBdr>
            <w:top w:val="none" w:sz="0" w:space="0" w:color="auto"/>
            <w:left w:val="none" w:sz="0" w:space="0" w:color="auto"/>
            <w:bottom w:val="none" w:sz="0" w:space="0" w:color="auto"/>
            <w:right w:val="none" w:sz="0" w:space="0" w:color="auto"/>
          </w:divBdr>
        </w:div>
        <w:div w:id="936837949">
          <w:marLeft w:val="0"/>
          <w:marRight w:val="0"/>
          <w:marTop w:val="0"/>
          <w:marBottom w:val="0"/>
          <w:divBdr>
            <w:top w:val="none" w:sz="0" w:space="0" w:color="auto"/>
            <w:left w:val="none" w:sz="0" w:space="0" w:color="auto"/>
            <w:bottom w:val="none" w:sz="0" w:space="0" w:color="auto"/>
            <w:right w:val="none" w:sz="0" w:space="0" w:color="auto"/>
          </w:divBdr>
        </w:div>
        <w:div w:id="820972397">
          <w:marLeft w:val="0"/>
          <w:marRight w:val="0"/>
          <w:marTop w:val="0"/>
          <w:marBottom w:val="0"/>
          <w:divBdr>
            <w:top w:val="none" w:sz="0" w:space="0" w:color="auto"/>
            <w:left w:val="none" w:sz="0" w:space="0" w:color="auto"/>
            <w:bottom w:val="none" w:sz="0" w:space="0" w:color="auto"/>
            <w:right w:val="none" w:sz="0" w:space="0" w:color="auto"/>
          </w:divBdr>
        </w:div>
        <w:div w:id="1726290213">
          <w:marLeft w:val="0"/>
          <w:marRight w:val="0"/>
          <w:marTop w:val="0"/>
          <w:marBottom w:val="0"/>
          <w:divBdr>
            <w:top w:val="none" w:sz="0" w:space="0" w:color="auto"/>
            <w:left w:val="none" w:sz="0" w:space="0" w:color="auto"/>
            <w:bottom w:val="none" w:sz="0" w:space="0" w:color="auto"/>
            <w:right w:val="none" w:sz="0" w:space="0" w:color="auto"/>
          </w:divBdr>
        </w:div>
        <w:div w:id="790902621">
          <w:marLeft w:val="0"/>
          <w:marRight w:val="0"/>
          <w:marTop w:val="0"/>
          <w:marBottom w:val="0"/>
          <w:divBdr>
            <w:top w:val="none" w:sz="0" w:space="0" w:color="auto"/>
            <w:left w:val="none" w:sz="0" w:space="0" w:color="auto"/>
            <w:bottom w:val="none" w:sz="0" w:space="0" w:color="auto"/>
            <w:right w:val="none" w:sz="0" w:space="0" w:color="auto"/>
          </w:divBdr>
        </w:div>
        <w:div w:id="2135827961">
          <w:marLeft w:val="0"/>
          <w:marRight w:val="0"/>
          <w:marTop w:val="0"/>
          <w:marBottom w:val="0"/>
          <w:divBdr>
            <w:top w:val="none" w:sz="0" w:space="0" w:color="auto"/>
            <w:left w:val="none" w:sz="0" w:space="0" w:color="auto"/>
            <w:bottom w:val="none" w:sz="0" w:space="0" w:color="auto"/>
            <w:right w:val="none" w:sz="0" w:space="0" w:color="auto"/>
          </w:divBdr>
        </w:div>
        <w:div w:id="1536655179">
          <w:marLeft w:val="0"/>
          <w:marRight w:val="0"/>
          <w:marTop w:val="0"/>
          <w:marBottom w:val="0"/>
          <w:divBdr>
            <w:top w:val="none" w:sz="0" w:space="0" w:color="auto"/>
            <w:left w:val="none" w:sz="0" w:space="0" w:color="auto"/>
            <w:bottom w:val="none" w:sz="0" w:space="0" w:color="auto"/>
            <w:right w:val="none" w:sz="0" w:space="0" w:color="auto"/>
          </w:divBdr>
        </w:div>
        <w:div w:id="316765170">
          <w:marLeft w:val="0"/>
          <w:marRight w:val="0"/>
          <w:marTop w:val="0"/>
          <w:marBottom w:val="0"/>
          <w:divBdr>
            <w:top w:val="none" w:sz="0" w:space="0" w:color="auto"/>
            <w:left w:val="none" w:sz="0" w:space="0" w:color="auto"/>
            <w:bottom w:val="none" w:sz="0" w:space="0" w:color="auto"/>
            <w:right w:val="none" w:sz="0" w:space="0" w:color="auto"/>
          </w:divBdr>
        </w:div>
        <w:div w:id="789856409">
          <w:marLeft w:val="0"/>
          <w:marRight w:val="0"/>
          <w:marTop w:val="0"/>
          <w:marBottom w:val="0"/>
          <w:divBdr>
            <w:top w:val="none" w:sz="0" w:space="0" w:color="auto"/>
            <w:left w:val="none" w:sz="0" w:space="0" w:color="auto"/>
            <w:bottom w:val="none" w:sz="0" w:space="0" w:color="auto"/>
            <w:right w:val="none" w:sz="0" w:space="0" w:color="auto"/>
          </w:divBdr>
        </w:div>
        <w:div w:id="976177998">
          <w:marLeft w:val="0"/>
          <w:marRight w:val="0"/>
          <w:marTop w:val="0"/>
          <w:marBottom w:val="0"/>
          <w:divBdr>
            <w:top w:val="none" w:sz="0" w:space="0" w:color="auto"/>
            <w:left w:val="none" w:sz="0" w:space="0" w:color="auto"/>
            <w:bottom w:val="none" w:sz="0" w:space="0" w:color="auto"/>
            <w:right w:val="none" w:sz="0" w:space="0" w:color="auto"/>
          </w:divBdr>
        </w:div>
        <w:div w:id="548567507">
          <w:marLeft w:val="0"/>
          <w:marRight w:val="0"/>
          <w:marTop w:val="0"/>
          <w:marBottom w:val="0"/>
          <w:divBdr>
            <w:top w:val="none" w:sz="0" w:space="0" w:color="auto"/>
            <w:left w:val="none" w:sz="0" w:space="0" w:color="auto"/>
            <w:bottom w:val="none" w:sz="0" w:space="0" w:color="auto"/>
            <w:right w:val="none" w:sz="0" w:space="0" w:color="auto"/>
          </w:divBdr>
        </w:div>
        <w:div w:id="1275090664">
          <w:marLeft w:val="0"/>
          <w:marRight w:val="0"/>
          <w:marTop w:val="0"/>
          <w:marBottom w:val="0"/>
          <w:divBdr>
            <w:top w:val="none" w:sz="0" w:space="0" w:color="auto"/>
            <w:left w:val="none" w:sz="0" w:space="0" w:color="auto"/>
            <w:bottom w:val="none" w:sz="0" w:space="0" w:color="auto"/>
            <w:right w:val="none" w:sz="0" w:space="0" w:color="auto"/>
          </w:divBdr>
        </w:div>
        <w:div w:id="549850123">
          <w:marLeft w:val="0"/>
          <w:marRight w:val="0"/>
          <w:marTop w:val="0"/>
          <w:marBottom w:val="0"/>
          <w:divBdr>
            <w:top w:val="none" w:sz="0" w:space="0" w:color="auto"/>
            <w:left w:val="none" w:sz="0" w:space="0" w:color="auto"/>
            <w:bottom w:val="none" w:sz="0" w:space="0" w:color="auto"/>
            <w:right w:val="none" w:sz="0" w:space="0" w:color="auto"/>
          </w:divBdr>
        </w:div>
        <w:div w:id="467019985">
          <w:marLeft w:val="0"/>
          <w:marRight w:val="0"/>
          <w:marTop w:val="0"/>
          <w:marBottom w:val="0"/>
          <w:divBdr>
            <w:top w:val="none" w:sz="0" w:space="0" w:color="auto"/>
            <w:left w:val="none" w:sz="0" w:space="0" w:color="auto"/>
            <w:bottom w:val="none" w:sz="0" w:space="0" w:color="auto"/>
            <w:right w:val="none" w:sz="0" w:space="0" w:color="auto"/>
          </w:divBdr>
        </w:div>
        <w:div w:id="1975865795">
          <w:marLeft w:val="0"/>
          <w:marRight w:val="0"/>
          <w:marTop w:val="0"/>
          <w:marBottom w:val="0"/>
          <w:divBdr>
            <w:top w:val="none" w:sz="0" w:space="0" w:color="auto"/>
            <w:left w:val="none" w:sz="0" w:space="0" w:color="auto"/>
            <w:bottom w:val="none" w:sz="0" w:space="0" w:color="auto"/>
            <w:right w:val="none" w:sz="0" w:space="0" w:color="auto"/>
          </w:divBdr>
        </w:div>
        <w:div w:id="1213998291">
          <w:marLeft w:val="0"/>
          <w:marRight w:val="0"/>
          <w:marTop w:val="0"/>
          <w:marBottom w:val="0"/>
          <w:divBdr>
            <w:top w:val="none" w:sz="0" w:space="0" w:color="auto"/>
            <w:left w:val="none" w:sz="0" w:space="0" w:color="auto"/>
            <w:bottom w:val="none" w:sz="0" w:space="0" w:color="auto"/>
            <w:right w:val="none" w:sz="0" w:space="0" w:color="auto"/>
          </w:divBdr>
        </w:div>
        <w:div w:id="1409302437">
          <w:marLeft w:val="0"/>
          <w:marRight w:val="0"/>
          <w:marTop w:val="0"/>
          <w:marBottom w:val="0"/>
          <w:divBdr>
            <w:top w:val="none" w:sz="0" w:space="0" w:color="auto"/>
            <w:left w:val="none" w:sz="0" w:space="0" w:color="auto"/>
            <w:bottom w:val="none" w:sz="0" w:space="0" w:color="auto"/>
            <w:right w:val="none" w:sz="0" w:space="0" w:color="auto"/>
          </w:divBdr>
        </w:div>
        <w:div w:id="1159425845">
          <w:marLeft w:val="0"/>
          <w:marRight w:val="0"/>
          <w:marTop w:val="0"/>
          <w:marBottom w:val="0"/>
          <w:divBdr>
            <w:top w:val="none" w:sz="0" w:space="0" w:color="auto"/>
            <w:left w:val="none" w:sz="0" w:space="0" w:color="auto"/>
            <w:bottom w:val="none" w:sz="0" w:space="0" w:color="auto"/>
            <w:right w:val="none" w:sz="0" w:space="0" w:color="auto"/>
          </w:divBdr>
        </w:div>
        <w:div w:id="1731732503">
          <w:marLeft w:val="0"/>
          <w:marRight w:val="0"/>
          <w:marTop w:val="0"/>
          <w:marBottom w:val="0"/>
          <w:divBdr>
            <w:top w:val="none" w:sz="0" w:space="0" w:color="auto"/>
            <w:left w:val="none" w:sz="0" w:space="0" w:color="auto"/>
            <w:bottom w:val="none" w:sz="0" w:space="0" w:color="auto"/>
            <w:right w:val="none" w:sz="0" w:space="0" w:color="auto"/>
          </w:divBdr>
        </w:div>
        <w:div w:id="657539185">
          <w:marLeft w:val="0"/>
          <w:marRight w:val="0"/>
          <w:marTop w:val="0"/>
          <w:marBottom w:val="0"/>
          <w:divBdr>
            <w:top w:val="none" w:sz="0" w:space="0" w:color="auto"/>
            <w:left w:val="none" w:sz="0" w:space="0" w:color="auto"/>
            <w:bottom w:val="none" w:sz="0" w:space="0" w:color="auto"/>
            <w:right w:val="none" w:sz="0" w:space="0" w:color="auto"/>
          </w:divBdr>
        </w:div>
        <w:div w:id="1231964727">
          <w:marLeft w:val="0"/>
          <w:marRight w:val="0"/>
          <w:marTop w:val="0"/>
          <w:marBottom w:val="0"/>
          <w:divBdr>
            <w:top w:val="none" w:sz="0" w:space="0" w:color="auto"/>
            <w:left w:val="none" w:sz="0" w:space="0" w:color="auto"/>
            <w:bottom w:val="none" w:sz="0" w:space="0" w:color="auto"/>
            <w:right w:val="none" w:sz="0" w:space="0" w:color="auto"/>
          </w:divBdr>
        </w:div>
        <w:div w:id="1170754876">
          <w:marLeft w:val="0"/>
          <w:marRight w:val="0"/>
          <w:marTop w:val="0"/>
          <w:marBottom w:val="0"/>
          <w:divBdr>
            <w:top w:val="none" w:sz="0" w:space="0" w:color="auto"/>
            <w:left w:val="none" w:sz="0" w:space="0" w:color="auto"/>
            <w:bottom w:val="none" w:sz="0" w:space="0" w:color="auto"/>
            <w:right w:val="none" w:sz="0" w:space="0" w:color="auto"/>
          </w:divBdr>
        </w:div>
        <w:div w:id="605381059">
          <w:marLeft w:val="0"/>
          <w:marRight w:val="0"/>
          <w:marTop w:val="0"/>
          <w:marBottom w:val="0"/>
          <w:divBdr>
            <w:top w:val="none" w:sz="0" w:space="0" w:color="auto"/>
            <w:left w:val="none" w:sz="0" w:space="0" w:color="auto"/>
            <w:bottom w:val="none" w:sz="0" w:space="0" w:color="auto"/>
            <w:right w:val="none" w:sz="0" w:space="0" w:color="auto"/>
          </w:divBdr>
        </w:div>
        <w:div w:id="574976365">
          <w:marLeft w:val="0"/>
          <w:marRight w:val="0"/>
          <w:marTop w:val="0"/>
          <w:marBottom w:val="0"/>
          <w:divBdr>
            <w:top w:val="none" w:sz="0" w:space="0" w:color="auto"/>
            <w:left w:val="none" w:sz="0" w:space="0" w:color="auto"/>
            <w:bottom w:val="none" w:sz="0" w:space="0" w:color="auto"/>
            <w:right w:val="none" w:sz="0" w:space="0" w:color="auto"/>
          </w:divBdr>
        </w:div>
        <w:div w:id="28845488">
          <w:marLeft w:val="0"/>
          <w:marRight w:val="0"/>
          <w:marTop w:val="0"/>
          <w:marBottom w:val="0"/>
          <w:divBdr>
            <w:top w:val="none" w:sz="0" w:space="0" w:color="auto"/>
            <w:left w:val="none" w:sz="0" w:space="0" w:color="auto"/>
            <w:bottom w:val="none" w:sz="0" w:space="0" w:color="auto"/>
            <w:right w:val="none" w:sz="0" w:space="0" w:color="auto"/>
          </w:divBdr>
        </w:div>
        <w:div w:id="1679965117">
          <w:marLeft w:val="0"/>
          <w:marRight w:val="0"/>
          <w:marTop w:val="0"/>
          <w:marBottom w:val="0"/>
          <w:divBdr>
            <w:top w:val="none" w:sz="0" w:space="0" w:color="auto"/>
            <w:left w:val="none" w:sz="0" w:space="0" w:color="auto"/>
            <w:bottom w:val="none" w:sz="0" w:space="0" w:color="auto"/>
            <w:right w:val="none" w:sz="0" w:space="0" w:color="auto"/>
          </w:divBdr>
        </w:div>
        <w:div w:id="1523010809">
          <w:marLeft w:val="0"/>
          <w:marRight w:val="0"/>
          <w:marTop w:val="0"/>
          <w:marBottom w:val="0"/>
          <w:divBdr>
            <w:top w:val="none" w:sz="0" w:space="0" w:color="auto"/>
            <w:left w:val="none" w:sz="0" w:space="0" w:color="auto"/>
            <w:bottom w:val="none" w:sz="0" w:space="0" w:color="auto"/>
            <w:right w:val="none" w:sz="0" w:space="0" w:color="auto"/>
          </w:divBdr>
        </w:div>
        <w:div w:id="401176979">
          <w:marLeft w:val="0"/>
          <w:marRight w:val="0"/>
          <w:marTop w:val="0"/>
          <w:marBottom w:val="0"/>
          <w:divBdr>
            <w:top w:val="none" w:sz="0" w:space="0" w:color="auto"/>
            <w:left w:val="none" w:sz="0" w:space="0" w:color="auto"/>
            <w:bottom w:val="none" w:sz="0" w:space="0" w:color="auto"/>
            <w:right w:val="none" w:sz="0" w:space="0" w:color="auto"/>
          </w:divBdr>
        </w:div>
        <w:div w:id="579564720">
          <w:marLeft w:val="0"/>
          <w:marRight w:val="0"/>
          <w:marTop w:val="0"/>
          <w:marBottom w:val="0"/>
          <w:divBdr>
            <w:top w:val="none" w:sz="0" w:space="0" w:color="auto"/>
            <w:left w:val="none" w:sz="0" w:space="0" w:color="auto"/>
            <w:bottom w:val="none" w:sz="0" w:space="0" w:color="auto"/>
            <w:right w:val="none" w:sz="0" w:space="0" w:color="auto"/>
          </w:divBdr>
        </w:div>
        <w:div w:id="887648943">
          <w:marLeft w:val="0"/>
          <w:marRight w:val="0"/>
          <w:marTop w:val="0"/>
          <w:marBottom w:val="0"/>
          <w:divBdr>
            <w:top w:val="none" w:sz="0" w:space="0" w:color="auto"/>
            <w:left w:val="none" w:sz="0" w:space="0" w:color="auto"/>
            <w:bottom w:val="none" w:sz="0" w:space="0" w:color="auto"/>
            <w:right w:val="none" w:sz="0" w:space="0" w:color="auto"/>
          </w:divBdr>
        </w:div>
        <w:div w:id="1081372090">
          <w:marLeft w:val="0"/>
          <w:marRight w:val="0"/>
          <w:marTop w:val="0"/>
          <w:marBottom w:val="0"/>
          <w:divBdr>
            <w:top w:val="none" w:sz="0" w:space="0" w:color="auto"/>
            <w:left w:val="none" w:sz="0" w:space="0" w:color="auto"/>
            <w:bottom w:val="none" w:sz="0" w:space="0" w:color="auto"/>
            <w:right w:val="none" w:sz="0" w:space="0" w:color="auto"/>
          </w:divBdr>
        </w:div>
        <w:div w:id="675620824">
          <w:marLeft w:val="0"/>
          <w:marRight w:val="0"/>
          <w:marTop w:val="0"/>
          <w:marBottom w:val="0"/>
          <w:divBdr>
            <w:top w:val="none" w:sz="0" w:space="0" w:color="auto"/>
            <w:left w:val="none" w:sz="0" w:space="0" w:color="auto"/>
            <w:bottom w:val="none" w:sz="0" w:space="0" w:color="auto"/>
            <w:right w:val="none" w:sz="0" w:space="0" w:color="auto"/>
          </w:divBdr>
        </w:div>
        <w:div w:id="335574593">
          <w:marLeft w:val="0"/>
          <w:marRight w:val="0"/>
          <w:marTop w:val="0"/>
          <w:marBottom w:val="0"/>
          <w:divBdr>
            <w:top w:val="none" w:sz="0" w:space="0" w:color="auto"/>
            <w:left w:val="none" w:sz="0" w:space="0" w:color="auto"/>
            <w:bottom w:val="none" w:sz="0" w:space="0" w:color="auto"/>
            <w:right w:val="none" w:sz="0" w:space="0" w:color="auto"/>
          </w:divBdr>
        </w:div>
        <w:div w:id="1031691078">
          <w:marLeft w:val="0"/>
          <w:marRight w:val="0"/>
          <w:marTop w:val="0"/>
          <w:marBottom w:val="0"/>
          <w:divBdr>
            <w:top w:val="none" w:sz="0" w:space="0" w:color="auto"/>
            <w:left w:val="none" w:sz="0" w:space="0" w:color="auto"/>
            <w:bottom w:val="none" w:sz="0" w:space="0" w:color="auto"/>
            <w:right w:val="none" w:sz="0" w:space="0" w:color="auto"/>
          </w:divBdr>
        </w:div>
        <w:div w:id="851140754">
          <w:marLeft w:val="0"/>
          <w:marRight w:val="0"/>
          <w:marTop w:val="0"/>
          <w:marBottom w:val="0"/>
          <w:divBdr>
            <w:top w:val="none" w:sz="0" w:space="0" w:color="auto"/>
            <w:left w:val="none" w:sz="0" w:space="0" w:color="auto"/>
            <w:bottom w:val="none" w:sz="0" w:space="0" w:color="auto"/>
            <w:right w:val="none" w:sz="0" w:space="0" w:color="auto"/>
          </w:divBdr>
        </w:div>
        <w:div w:id="1963344172">
          <w:marLeft w:val="0"/>
          <w:marRight w:val="0"/>
          <w:marTop w:val="0"/>
          <w:marBottom w:val="0"/>
          <w:divBdr>
            <w:top w:val="none" w:sz="0" w:space="0" w:color="auto"/>
            <w:left w:val="none" w:sz="0" w:space="0" w:color="auto"/>
            <w:bottom w:val="none" w:sz="0" w:space="0" w:color="auto"/>
            <w:right w:val="none" w:sz="0" w:space="0" w:color="auto"/>
          </w:divBdr>
        </w:div>
        <w:div w:id="1585987370">
          <w:marLeft w:val="0"/>
          <w:marRight w:val="0"/>
          <w:marTop w:val="0"/>
          <w:marBottom w:val="0"/>
          <w:divBdr>
            <w:top w:val="none" w:sz="0" w:space="0" w:color="auto"/>
            <w:left w:val="none" w:sz="0" w:space="0" w:color="auto"/>
            <w:bottom w:val="none" w:sz="0" w:space="0" w:color="auto"/>
            <w:right w:val="none" w:sz="0" w:space="0" w:color="auto"/>
          </w:divBdr>
        </w:div>
        <w:div w:id="1488982159">
          <w:marLeft w:val="0"/>
          <w:marRight w:val="0"/>
          <w:marTop w:val="0"/>
          <w:marBottom w:val="0"/>
          <w:divBdr>
            <w:top w:val="none" w:sz="0" w:space="0" w:color="auto"/>
            <w:left w:val="none" w:sz="0" w:space="0" w:color="auto"/>
            <w:bottom w:val="none" w:sz="0" w:space="0" w:color="auto"/>
            <w:right w:val="none" w:sz="0" w:space="0" w:color="auto"/>
          </w:divBdr>
        </w:div>
        <w:div w:id="875627391">
          <w:marLeft w:val="0"/>
          <w:marRight w:val="0"/>
          <w:marTop w:val="0"/>
          <w:marBottom w:val="0"/>
          <w:divBdr>
            <w:top w:val="none" w:sz="0" w:space="0" w:color="auto"/>
            <w:left w:val="none" w:sz="0" w:space="0" w:color="auto"/>
            <w:bottom w:val="none" w:sz="0" w:space="0" w:color="auto"/>
            <w:right w:val="none" w:sz="0" w:space="0" w:color="auto"/>
          </w:divBdr>
        </w:div>
        <w:div w:id="457996272">
          <w:marLeft w:val="0"/>
          <w:marRight w:val="0"/>
          <w:marTop w:val="0"/>
          <w:marBottom w:val="0"/>
          <w:divBdr>
            <w:top w:val="none" w:sz="0" w:space="0" w:color="auto"/>
            <w:left w:val="none" w:sz="0" w:space="0" w:color="auto"/>
            <w:bottom w:val="none" w:sz="0" w:space="0" w:color="auto"/>
            <w:right w:val="none" w:sz="0" w:space="0" w:color="auto"/>
          </w:divBdr>
        </w:div>
        <w:div w:id="1300114351">
          <w:marLeft w:val="0"/>
          <w:marRight w:val="0"/>
          <w:marTop w:val="0"/>
          <w:marBottom w:val="0"/>
          <w:divBdr>
            <w:top w:val="none" w:sz="0" w:space="0" w:color="auto"/>
            <w:left w:val="none" w:sz="0" w:space="0" w:color="auto"/>
            <w:bottom w:val="none" w:sz="0" w:space="0" w:color="auto"/>
            <w:right w:val="none" w:sz="0" w:space="0" w:color="auto"/>
          </w:divBdr>
        </w:div>
        <w:div w:id="1859351796">
          <w:marLeft w:val="0"/>
          <w:marRight w:val="0"/>
          <w:marTop w:val="0"/>
          <w:marBottom w:val="0"/>
          <w:divBdr>
            <w:top w:val="none" w:sz="0" w:space="0" w:color="auto"/>
            <w:left w:val="none" w:sz="0" w:space="0" w:color="auto"/>
            <w:bottom w:val="none" w:sz="0" w:space="0" w:color="auto"/>
            <w:right w:val="none" w:sz="0" w:space="0" w:color="auto"/>
          </w:divBdr>
        </w:div>
        <w:div w:id="1575357611">
          <w:marLeft w:val="0"/>
          <w:marRight w:val="0"/>
          <w:marTop w:val="0"/>
          <w:marBottom w:val="0"/>
          <w:divBdr>
            <w:top w:val="none" w:sz="0" w:space="0" w:color="auto"/>
            <w:left w:val="none" w:sz="0" w:space="0" w:color="auto"/>
            <w:bottom w:val="none" w:sz="0" w:space="0" w:color="auto"/>
            <w:right w:val="none" w:sz="0" w:space="0" w:color="auto"/>
          </w:divBdr>
        </w:div>
        <w:div w:id="2028362123">
          <w:marLeft w:val="0"/>
          <w:marRight w:val="0"/>
          <w:marTop w:val="0"/>
          <w:marBottom w:val="0"/>
          <w:divBdr>
            <w:top w:val="none" w:sz="0" w:space="0" w:color="auto"/>
            <w:left w:val="none" w:sz="0" w:space="0" w:color="auto"/>
            <w:bottom w:val="none" w:sz="0" w:space="0" w:color="auto"/>
            <w:right w:val="none" w:sz="0" w:space="0" w:color="auto"/>
          </w:divBdr>
        </w:div>
        <w:div w:id="1368677098">
          <w:marLeft w:val="0"/>
          <w:marRight w:val="0"/>
          <w:marTop w:val="0"/>
          <w:marBottom w:val="0"/>
          <w:divBdr>
            <w:top w:val="none" w:sz="0" w:space="0" w:color="auto"/>
            <w:left w:val="none" w:sz="0" w:space="0" w:color="auto"/>
            <w:bottom w:val="none" w:sz="0" w:space="0" w:color="auto"/>
            <w:right w:val="none" w:sz="0" w:space="0" w:color="auto"/>
          </w:divBdr>
        </w:div>
        <w:div w:id="1593051178">
          <w:marLeft w:val="0"/>
          <w:marRight w:val="0"/>
          <w:marTop w:val="0"/>
          <w:marBottom w:val="0"/>
          <w:divBdr>
            <w:top w:val="none" w:sz="0" w:space="0" w:color="auto"/>
            <w:left w:val="none" w:sz="0" w:space="0" w:color="auto"/>
            <w:bottom w:val="none" w:sz="0" w:space="0" w:color="auto"/>
            <w:right w:val="none" w:sz="0" w:space="0" w:color="auto"/>
          </w:divBdr>
        </w:div>
        <w:div w:id="1094470596">
          <w:marLeft w:val="0"/>
          <w:marRight w:val="0"/>
          <w:marTop w:val="0"/>
          <w:marBottom w:val="0"/>
          <w:divBdr>
            <w:top w:val="none" w:sz="0" w:space="0" w:color="auto"/>
            <w:left w:val="none" w:sz="0" w:space="0" w:color="auto"/>
            <w:bottom w:val="none" w:sz="0" w:space="0" w:color="auto"/>
            <w:right w:val="none" w:sz="0" w:space="0" w:color="auto"/>
          </w:divBdr>
        </w:div>
        <w:div w:id="981812832">
          <w:marLeft w:val="0"/>
          <w:marRight w:val="0"/>
          <w:marTop w:val="0"/>
          <w:marBottom w:val="0"/>
          <w:divBdr>
            <w:top w:val="none" w:sz="0" w:space="0" w:color="auto"/>
            <w:left w:val="none" w:sz="0" w:space="0" w:color="auto"/>
            <w:bottom w:val="none" w:sz="0" w:space="0" w:color="auto"/>
            <w:right w:val="none" w:sz="0" w:space="0" w:color="auto"/>
          </w:divBdr>
        </w:div>
        <w:div w:id="1621103462">
          <w:marLeft w:val="0"/>
          <w:marRight w:val="0"/>
          <w:marTop w:val="0"/>
          <w:marBottom w:val="0"/>
          <w:divBdr>
            <w:top w:val="none" w:sz="0" w:space="0" w:color="auto"/>
            <w:left w:val="none" w:sz="0" w:space="0" w:color="auto"/>
            <w:bottom w:val="none" w:sz="0" w:space="0" w:color="auto"/>
            <w:right w:val="none" w:sz="0" w:space="0" w:color="auto"/>
          </w:divBdr>
        </w:div>
        <w:div w:id="975334100">
          <w:marLeft w:val="0"/>
          <w:marRight w:val="0"/>
          <w:marTop w:val="0"/>
          <w:marBottom w:val="0"/>
          <w:divBdr>
            <w:top w:val="none" w:sz="0" w:space="0" w:color="auto"/>
            <w:left w:val="none" w:sz="0" w:space="0" w:color="auto"/>
            <w:bottom w:val="none" w:sz="0" w:space="0" w:color="auto"/>
            <w:right w:val="none" w:sz="0" w:space="0" w:color="auto"/>
          </w:divBdr>
        </w:div>
        <w:div w:id="1728064664">
          <w:marLeft w:val="0"/>
          <w:marRight w:val="0"/>
          <w:marTop w:val="0"/>
          <w:marBottom w:val="0"/>
          <w:divBdr>
            <w:top w:val="none" w:sz="0" w:space="0" w:color="auto"/>
            <w:left w:val="none" w:sz="0" w:space="0" w:color="auto"/>
            <w:bottom w:val="none" w:sz="0" w:space="0" w:color="auto"/>
            <w:right w:val="none" w:sz="0" w:space="0" w:color="auto"/>
          </w:divBdr>
        </w:div>
        <w:div w:id="1225680403">
          <w:marLeft w:val="0"/>
          <w:marRight w:val="0"/>
          <w:marTop w:val="0"/>
          <w:marBottom w:val="0"/>
          <w:divBdr>
            <w:top w:val="none" w:sz="0" w:space="0" w:color="auto"/>
            <w:left w:val="none" w:sz="0" w:space="0" w:color="auto"/>
            <w:bottom w:val="none" w:sz="0" w:space="0" w:color="auto"/>
            <w:right w:val="none" w:sz="0" w:space="0" w:color="auto"/>
          </w:divBdr>
        </w:div>
        <w:div w:id="94981303">
          <w:marLeft w:val="0"/>
          <w:marRight w:val="0"/>
          <w:marTop w:val="0"/>
          <w:marBottom w:val="0"/>
          <w:divBdr>
            <w:top w:val="none" w:sz="0" w:space="0" w:color="auto"/>
            <w:left w:val="none" w:sz="0" w:space="0" w:color="auto"/>
            <w:bottom w:val="none" w:sz="0" w:space="0" w:color="auto"/>
            <w:right w:val="none" w:sz="0" w:space="0" w:color="auto"/>
          </w:divBdr>
        </w:div>
        <w:div w:id="867184447">
          <w:marLeft w:val="0"/>
          <w:marRight w:val="0"/>
          <w:marTop w:val="0"/>
          <w:marBottom w:val="0"/>
          <w:divBdr>
            <w:top w:val="none" w:sz="0" w:space="0" w:color="auto"/>
            <w:left w:val="none" w:sz="0" w:space="0" w:color="auto"/>
            <w:bottom w:val="none" w:sz="0" w:space="0" w:color="auto"/>
            <w:right w:val="none" w:sz="0" w:space="0" w:color="auto"/>
          </w:divBdr>
        </w:div>
        <w:div w:id="509412425">
          <w:marLeft w:val="0"/>
          <w:marRight w:val="0"/>
          <w:marTop w:val="0"/>
          <w:marBottom w:val="0"/>
          <w:divBdr>
            <w:top w:val="none" w:sz="0" w:space="0" w:color="auto"/>
            <w:left w:val="none" w:sz="0" w:space="0" w:color="auto"/>
            <w:bottom w:val="none" w:sz="0" w:space="0" w:color="auto"/>
            <w:right w:val="none" w:sz="0" w:space="0" w:color="auto"/>
          </w:divBdr>
        </w:div>
        <w:div w:id="1711758632">
          <w:marLeft w:val="0"/>
          <w:marRight w:val="0"/>
          <w:marTop w:val="0"/>
          <w:marBottom w:val="0"/>
          <w:divBdr>
            <w:top w:val="none" w:sz="0" w:space="0" w:color="auto"/>
            <w:left w:val="none" w:sz="0" w:space="0" w:color="auto"/>
            <w:bottom w:val="none" w:sz="0" w:space="0" w:color="auto"/>
            <w:right w:val="none" w:sz="0" w:space="0" w:color="auto"/>
          </w:divBdr>
        </w:div>
        <w:div w:id="1487430582">
          <w:marLeft w:val="0"/>
          <w:marRight w:val="0"/>
          <w:marTop w:val="0"/>
          <w:marBottom w:val="0"/>
          <w:divBdr>
            <w:top w:val="none" w:sz="0" w:space="0" w:color="auto"/>
            <w:left w:val="none" w:sz="0" w:space="0" w:color="auto"/>
            <w:bottom w:val="none" w:sz="0" w:space="0" w:color="auto"/>
            <w:right w:val="none" w:sz="0" w:space="0" w:color="auto"/>
          </w:divBdr>
        </w:div>
        <w:div w:id="1568609594">
          <w:marLeft w:val="0"/>
          <w:marRight w:val="0"/>
          <w:marTop w:val="0"/>
          <w:marBottom w:val="0"/>
          <w:divBdr>
            <w:top w:val="none" w:sz="0" w:space="0" w:color="auto"/>
            <w:left w:val="none" w:sz="0" w:space="0" w:color="auto"/>
            <w:bottom w:val="none" w:sz="0" w:space="0" w:color="auto"/>
            <w:right w:val="none" w:sz="0" w:space="0" w:color="auto"/>
          </w:divBdr>
        </w:div>
        <w:div w:id="1595090054">
          <w:marLeft w:val="0"/>
          <w:marRight w:val="0"/>
          <w:marTop w:val="0"/>
          <w:marBottom w:val="0"/>
          <w:divBdr>
            <w:top w:val="none" w:sz="0" w:space="0" w:color="auto"/>
            <w:left w:val="none" w:sz="0" w:space="0" w:color="auto"/>
            <w:bottom w:val="none" w:sz="0" w:space="0" w:color="auto"/>
            <w:right w:val="none" w:sz="0" w:space="0" w:color="auto"/>
          </w:divBdr>
        </w:div>
        <w:div w:id="1211455679">
          <w:marLeft w:val="0"/>
          <w:marRight w:val="0"/>
          <w:marTop w:val="0"/>
          <w:marBottom w:val="0"/>
          <w:divBdr>
            <w:top w:val="none" w:sz="0" w:space="0" w:color="auto"/>
            <w:left w:val="none" w:sz="0" w:space="0" w:color="auto"/>
            <w:bottom w:val="none" w:sz="0" w:space="0" w:color="auto"/>
            <w:right w:val="none" w:sz="0" w:space="0" w:color="auto"/>
          </w:divBdr>
        </w:div>
        <w:div w:id="1237209796">
          <w:marLeft w:val="0"/>
          <w:marRight w:val="0"/>
          <w:marTop w:val="0"/>
          <w:marBottom w:val="0"/>
          <w:divBdr>
            <w:top w:val="none" w:sz="0" w:space="0" w:color="auto"/>
            <w:left w:val="none" w:sz="0" w:space="0" w:color="auto"/>
            <w:bottom w:val="none" w:sz="0" w:space="0" w:color="auto"/>
            <w:right w:val="none" w:sz="0" w:space="0" w:color="auto"/>
          </w:divBdr>
        </w:div>
        <w:div w:id="1212183927">
          <w:marLeft w:val="0"/>
          <w:marRight w:val="0"/>
          <w:marTop w:val="0"/>
          <w:marBottom w:val="0"/>
          <w:divBdr>
            <w:top w:val="none" w:sz="0" w:space="0" w:color="auto"/>
            <w:left w:val="none" w:sz="0" w:space="0" w:color="auto"/>
            <w:bottom w:val="none" w:sz="0" w:space="0" w:color="auto"/>
            <w:right w:val="none" w:sz="0" w:space="0" w:color="auto"/>
          </w:divBdr>
        </w:div>
        <w:div w:id="282349957">
          <w:marLeft w:val="0"/>
          <w:marRight w:val="0"/>
          <w:marTop w:val="0"/>
          <w:marBottom w:val="0"/>
          <w:divBdr>
            <w:top w:val="none" w:sz="0" w:space="0" w:color="auto"/>
            <w:left w:val="none" w:sz="0" w:space="0" w:color="auto"/>
            <w:bottom w:val="none" w:sz="0" w:space="0" w:color="auto"/>
            <w:right w:val="none" w:sz="0" w:space="0" w:color="auto"/>
          </w:divBdr>
        </w:div>
        <w:div w:id="1885827678">
          <w:marLeft w:val="0"/>
          <w:marRight w:val="0"/>
          <w:marTop w:val="0"/>
          <w:marBottom w:val="0"/>
          <w:divBdr>
            <w:top w:val="none" w:sz="0" w:space="0" w:color="auto"/>
            <w:left w:val="none" w:sz="0" w:space="0" w:color="auto"/>
            <w:bottom w:val="none" w:sz="0" w:space="0" w:color="auto"/>
            <w:right w:val="none" w:sz="0" w:space="0" w:color="auto"/>
          </w:divBdr>
        </w:div>
        <w:div w:id="660814730">
          <w:marLeft w:val="0"/>
          <w:marRight w:val="0"/>
          <w:marTop w:val="0"/>
          <w:marBottom w:val="0"/>
          <w:divBdr>
            <w:top w:val="none" w:sz="0" w:space="0" w:color="auto"/>
            <w:left w:val="none" w:sz="0" w:space="0" w:color="auto"/>
            <w:bottom w:val="none" w:sz="0" w:space="0" w:color="auto"/>
            <w:right w:val="none" w:sz="0" w:space="0" w:color="auto"/>
          </w:divBdr>
        </w:div>
        <w:div w:id="1161043227">
          <w:marLeft w:val="0"/>
          <w:marRight w:val="0"/>
          <w:marTop w:val="0"/>
          <w:marBottom w:val="0"/>
          <w:divBdr>
            <w:top w:val="none" w:sz="0" w:space="0" w:color="auto"/>
            <w:left w:val="none" w:sz="0" w:space="0" w:color="auto"/>
            <w:bottom w:val="none" w:sz="0" w:space="0" w:color="auto"/>
            <w:right w:val="none" w:sz="0" w:space="0" w:color="auto"/>
          </w:divBdr>
        </w:div>
        <w:div w:id="499469863">
          <w:marLeft w:val="0"/>
          <w:marRight w:val="0"/>
          <w:marTop w:val="0"/>
          <w:marBottom w:val="0"/>
          <w:divBdr>
            <w:top w:val="none" w:sz="0" w:space="0" w:color="auto"/>
            <w:left w:val="none" w:sz="0" w:space="0" w:color="auto"/>
            <w:bottom w:val="none" w:sz="0" w:space="0" w:color="auto"/>
            <w:right w:val="none" w:sz="0" w:space="0" w:color="auto"/>
          </w:divBdr>
        </w:div>
        <w:div w:id="1343167787">
          <w:marLeft w:val="0"/>
          <w:marRight w:val="0"/>
          <w:marTop w:val="0"/>
          <w:marBottom w:val="0"/>
          <w:divBdr>
            <w:top w:val="none" w:sz="0" w:space="0" w:color="auto"/>
            <w:left w:val="none" w:sz="0" w:space="0" w:color="auto"/>
            <w:bottom w:val="none" w:sz="0" w:space="0" w:color="auto"/>
            <w:right w:val="none" w:sz="0" w:space="0" w:color="auto"/>
          </w:divBdr>
        </w:div>
        <w:div w:id="357435631">
          <w:marLeft w:val="0"/>
          <w:marRight w:val="0"/>
          <w:marTop w:val="0"/>
          <w:marBottom w:val="0"/>
          <w:divBdr>
            <w:top w:val="none" w:sz="0" w:space="0" w:color="auto"/>
            <w:left w:val="none" w:sz="0" w:space="0" w:color="auto"/>
            <w:bottom w:val="none" w:sz="0" w:space="0" w:color="auto"/>
            <w:right w:val="none" w:sz="0" w:space="0" w:color="auto"/>
          </w:divBdr>
        </w:div>
        <w:div w:id="890462724">
          <w:marLeft w:val="0"/>
          <w:marRight w:val="0"/>
          <w:marTop w:val="0"/>
          <w:marBottom w:val="0"/>
          <w:divBdr>
            <w:top w:val="none" w:sz="0" w:space="0" w:color="auto"/>
            <w:left w:val="none" w:sz="0" w:space="0" w:color="auto"/>
            <w:bottom w:val="none" w:sz="0" w:space="0" w:color="auto"/>
            <w:right w:val="none" w:sz="0" w:space="0" w:color="auto"/>
          </w:divBdr>
        </w:div>
        <w:div w:id="1596014912">
          <w:marLeft w:val="0"/>
          <w:marRight w:val="0"/>
          <w:marTop w:val="0"/>
          <w:marBottom w:val="0"/>
          <w:divBdr>
            <w:top w:val="none" w:sz="0" w:space="0" w:color="auto"/>
            <w:left w:val="none" w:sz="0" w:space="0" w:color="auto"/>
            <w:bottom w:val="none" w:sz="0" w:space="0" w:color="auto"/>
            <w:right w:val="none" w:sz="0" w:space="0" w:color="auto"/>
          </w:divBdr>
        </w:div>
        <w:div w:id="1129475634">
          <w:marLeft w:val="0"/>
          <w:marRight w:val="0"/>
          <w:marTop w:val="0"/>
          <w:marBottom w:val="0"/>
          <w:divBdr>
            <w:top w:val="none" w:sz="0" w:space="0" w:color="auto"/>
            <w:left w:val="none" w:sz="0" w:space="0" w:color="auto"/>
            <w:bottom w:val="none" w:sz="0" w:space="0" w:color="auto"/>
            <w:right w:val="none" w:sz="0" w:space="0" w:color="auto"/>
          </w:divBdr>
        </w:div>
        <w:div w:id="802163978">
          <w:marLeft w:val="0"/>
          <w:marRight w:val="0"/>
          <w:marTop w:val="0"/>
          <w:marBottom w:val="0"/>
          <w:divBdr>
            <w:top w:val="none" w:sz="0" w:space="0" w:color="auto"/>
            <w:left w:val="none" w:sz="0" w:space="0" w:color="auto"/>
            <w:bottom w:val="none" w:sz="0" w:space="0" w:color="auto"/>
            <w:right w:val="none" w:sz="0" w:space="0" w:color="auto"/>
          </w:divBdr>
        </w:div>
        <w:div w:id="1077895030">
          <w:marLeft w:val="0"/>
          <w:marRight w:val="0"/>
          <w:marTop w:val="0"/>
          <w:marBottom w:val="0"/>
          <w:divBdr>
            <w:top w:val="none" w:sz="0" w:space="0" w:color="auto"/>
            <w:left w:val="none" w:sz="0" w:space="0" w:color="auto"/>
            <w:bottom w:val="none" w:sz="0" w:space="0" w:color="auto"/>
            <w:right w:val="none" w:sz="0" w:space="0" w:color="auto"/>
          </w:divBdr>
        </w:div>
        <w:div w:id="1716542865">
          <w:marLeft w:val="0"/>
          <w:marRight w:val="0"/>
          <w:marTop w:val="0"/>
          <w:marBottom w:val="0"/>
          <w:divBdr>
            <w:top w:val="none" w:sz="0" w:space="0" w:color="auto"/>
            <w:left w:val="none" w:sz="0" w:space="0" w:color="auto"/>
            <w:bottom w:val="none" w:sz="0" w:space="0" w:color="auto"/>
            <w:right w:val="none" w:sz="0" w:space="0" w:color="auto"/>
          </w:divBdr>
        </w:div>
        <w:div w:id="867792301">
          <w:marLeft w:val="0"/>
          <w:marRight w:val="0"/>
          <w:marTop w:val="0"/>
          <w:marBottom w:val="0"/>
          <w:divBdr>
            <w:top w:val="none" w:sz="0" w:space="0" w:color="auto"/>
            <w:left w:val="none" w:sz="0" w:space="0" w:color="auto"/>
            <w:bottom w:val="none" w:sz="0" w:space="0" w:color="auto"/>
            <w:right w:val="none" w:sz="0" w:space="0" w:color="auto"/>
          </w:divBdr>
        </w:div>
        <w:div w:id="197205079">
          <w:marLeft w:val="0"/>
          <w:marRight w:val="0"/>
          <w:marTop w:val="0"/>
          <w:marBottom w:val="0"/>
          <w:divBdr>
            <w:top w:val="none" w:sz="0" w:space="0" w:color="auto"/>
            <w:left w:val="none" w:sz="0" w:space="0" w:color="auto"/>
            <w:bottom w:val="none" w:sz="0" w:space="0" w:color="auto"/>
            <w:right w:val="none" w:sz="0" w:space="0" w:color="auto"/>
          </w:divBdr>
        </w:div>
        <w:div w:id="1055617719">
          <w:marLeft w:val="0"/>
          <w:marRight w:val="0"/>
          <w:marTop w:val="0"/>
          <w:marBottom w:val="0"/>
          <w:divBdr>
            <w:top w:val="none" w:sz="0" w:space="0" w:color="auto"/>
            <w:left w:val="none" w:sz="0" w:space="0" w:color="auto"/>
            <w:bottom w:val="none" w:sz="0" w:space="0" w:color="auto"/>
            <w:right w:val="none" w:sz="0" w:space="0" w:color="auto"/>
          </w:divBdr>
        </w:div>
        <w:div w:id="110977760">
          <w:marLeft w:val="0"/>
          <w:marRight w:val="0"/>
          <w:marTop w:val="0"/>
          <w:marBottom w:val="0"/>
          <w:divBdr>
            <w:top w:val="none" w:sz="0" w:space="0" w:color="auto"/>
            <w:left w:val="none" w:sz="0" w:space="0" w:color="auto"/>
            <w:bottom w:val="none" w:sz="0" w:space="0" w:color="auto"/>
            <w:right w:val="none" w:sz="0" w:space="0" w:color="auto"/>
          </w:divBdr>
        </w:div>
        <w:div w:id="1629243532">
          <w:marLeft w:val="0"/>
          <w:marRight w:val="0"/>
          <w:marTop w:val="0"/>
          <w:marBottom w:val="0"/>
          <w:divBdr>
            <w:top w:val="none" w:sz="0" w:space="0" w:color="auto"/>
            <w:left w:val="none" w:sz="0" w:space="0" w:color="auto"/>
            <w:bottom w:val="none" w:sz="0" w:space="0" w:color="auto"/>
            <w:right w:val="none" w:sz="0" w:space="0" w:color="auto"/>
          </w:divBdr>
        </w:div>
        <w:div w:id="1302416765">
          <w:marLeft w:val="0"/>
          <w:marRight w:val="0"/>
          <w:marTop w:val="0"/>
          <w:marBottom w:val="0"/>
          <w:divBdr>
            <w:top w:val="none" w:sz="0" w:space="0" w:color="auto"/>
            <w:left w:val="none" w:sz="0" w:space="0" w:color="auto"/>
            <w:bottom w:val="none" w:sz="0" w:space="0" w:color="auto"/>
            <w:right w:val="none" w:sz="0" w:space="0" w:color="auto"/>
          </w:divBdr>
        </w:div>
        <w:div w:id="1146626747">
          <w:marLeft w:val="0"/>
          <w:marRight w:val="0"/>
          <w:marTop w:val="0"/>
          <w:marBottom w:val="0"/>
          <w:divBdr>
            <w:top w:val="none" w:sz="0" w:space="0" w:color="auto"/>
            <w:left w:val="none" w:sz="0" w:space="0" w:color="auto"/>
            <w:bottom w:val="none" w:sz="0" w:space="0" w:color="auto"/>
            <w:right w:val="none" w:sz="0" w:space="0" w:color="auto"/>
          </w:divBdr>
        </w:div>
        <w:div w:id="1782610426">
          <w:marLeft w:val="0"/>
          <w:marRight w:val="0"/>
          <w:marTop w:val="0"/>
          <w:marBottom w:val="0"/>
          <w:divBdr>
            <w:top w:val="none" w:sz="0" w:space="0" w:color="auto"/>
            <w:left w:val="none" w:sz="0" w:space="0" w:color="auto"/>
            <w:bottom w:val="none" w:sz="0" w:space="0" w:color="auto"/>
            <w:right w:val="none" w:sz="0" w:space="0" w:color="auto"/>
          </w:divBdr>
        </w:div>
        <w:div w:id="608856778">
          <w:marLeft w:val="0"/>
          <w:marRight w:val="0"/>
          <w:marTop w:val="0"/>
          <w:marBottom w:val="0"/>
          <w:divBdr>
            <w:top w:val="none" w:sz="0" w:space="0" w:color="auto"/>
            <w:left w:val="none" w:sz="0" w:space="0" w:color="auto"/>
            <w:bottom w:val="none" w:sz="0" w:space="0" w:color="auto"/>
            <w:right w:val="none" w:sz="0" w:space="0" w:color="auto"/>
          </w:divBdr>
        </w:div>
        <w:div w:id="1882398380">
          <w:marLeft w:val="0"/>
          <w:marRight w:val="0"/>
          <w:marTop w:val="0"/>
          <w:marBottom w:val="0"/>
          <w:divBdr>
            <w:top w:val="none" w:sz="0" w:space="0" w:color="auto"/>
            <w:left w:val="none" w:sz="0" w:space="0" w:color="auto"/>
            <w:bottom w:val="none" w:sz="0" w:space="0" w:color="auto"/>
            <w:right w:val="none" w:sz="0" w:space="0" w:color="auto"/>
          </w:divBdr>
        </w:div>
        <w:div w:id="1014502153">
          <w:marLeft w:val="0"/>
          <w:marRight w:val="0"/>
          <w:marTop w:val="0"/>
          <w:marBottom w:val="0"/>
          <w:divBdr>
            <w:top w:val="none" w:sz="0" w:space="0" w:color="auto"/>
            <w:left w:val="none" w:sz="0" w:space="0" w:color="auto"/>
            <w:bottom w:val="none" w:sz="0" w:space="0" w:color="auto"/>
            <w:right w:val="none" w:sz="0" w:space="0" w:color="auto"/>
          </w:divBdr>
        </w:div>
        <w:div w:id="1849757211">
          <w:marLeft w:val="0"/>
          <w:marRight w:val="0"/>
          <w:marTop w:val="0"/>
          <w:marBottom w:val="0"/>
          <w:divBdr>
            <w:top w:val="none" w:sz="0" w:space="0" w:color="auto"/>
            <w:left w:val="none" w:sz="0" w:space="0" w:color="auto"/>
            <w:bottom w:val="none" w:sz="0" w:space="0" w:color="auto"/>
            <w:right w:val="none" w:sz="0" w:space="0" w:color="auto"/>
          </w:divBdr>
        </w:div>
        <w:div w:id="565606608">
          <w:marLeft w:val="0"/>
          <w:marRight w:val="0"/>
          <w:marTop w:val="0"/>
          <w:marBottom w:val="0"/>
          <w:divBdr>
            <w:top w:val="none" w:sz="0" w:space="0" w:color="auto"/>
            <w:left w:val="none" w:sz="0" w:space="0" w:color="auto"/>
            <w:bottom w:val="none" w:sz="0" w:space="0" w:color="auto"/>
            <w:right w:val="none" w:sz="0" w:space="0" w:color="auto"/>
          </w:divBdr>
        </w:div>
        <w:div w:id="1800680232">
          <w:marLeft w:val="0"/>
          <w:marRight w:val="0"/>
          <w:marTop w:val="0"/>
          <w:marBottom w:val="0"/>
          <w:divBdr>
            <w:top w:val="none" w:sz="0" w:space="0" w:color="auto"/>
            <w:left w:val="none" w:sz="0" w:space="0" w:color="auto"/>
            <w:bottom w:val="none" w:sz="0" w:space="0" w:color="auto"/>
            <w:right w:val="none" w:sz="0" w:space="0" w:color="auto"/>
          </w:divBdr>
        </w:div>
        <w:div w:id="509412597">
          <w:marLeft w:val="0"/>
          <w:marRight w:val="0"/>
          <w:marTop w:val="0"/>
          <w:marBottom w:val="0"/>
          <w:divBdr>
            <w:top w:val="none" w:sz="0" w:space="0" w:color="auto"/>
            <w:left w:val="none" w:sz="0" w:space="0" w:color="auto"/>
            <w:bottom w:val="none" w:sz="0" w:space="0" w:color="auto"/>
            <w:right w:val="none" w:sz="0" w:space="0" w:color="auto"/>
          </w:divBdr>
        </w:div>
        <w:div w:id="578684476">
          <w:marLeft w:val="0"/>
          <w:marRight w:val="0"/>
          <w:marTop w:val="0"/>
          <w:marBottom w:val="0"/>
          <w:divBdr>
            <w:top w:val="none" w:sz="0" w:space="0" w:color="auto"/>
            <w:left w:val="none" w:sz="0" w:space="0" w:color="auto"/>
            <w:bottom w:val="none" w:sz="0" w:space="0" w:color="auto"/>
            <w:right w:val="none" w:sz="0" w:space="0" w:color="auto"/>
          </w:divBdr>
        </w:div>
        <w:div w:id="989869273">
          <w:marLeft w:val="0"/>
          <w:marRight w:val="0"/>
          <w:marTop w:val="0"/>
          <w:marBottom w:val="0"/>
          <w:divBdr>
            <w:top w:val="none" w:sz="0" w:space="0" w:color="auto"/>
            <w:left w:val="none" w:sz="0" w:space="0" w:color="auto"/>
            <w:bottom w:val="none" w:sz="0" w:space="0" w:color="auto"/>
            <w:right w:val="none" w:sz="0" w:space="0" w:color="auto"/>
          </w:divBdr>
        </w:div>
        <w:div w:id="149563264">
          <w:marLeft w:val="0"/>
          <w:marRight w:val="0"/>
          <w:marTop w:val="0"/>
          <w:marBottom w:val="0"/>
          <w:divBdr>
            <w:top w:val="none" w:sz="0" w:space="0" w:color="auto"/>
            <w:left w:val="none" w:sz="0" w:space="0" w:color="auto"/>
            <w:bottom w:val="none" w:sz="0" w:space="0" w:color="auto"/>
            <w:right w:val="none" w:sz="0" w:space="0" w:color="auto"/>
          </w:divBdr>
        </w:div>
        <w:div w:id="1895000556">
          <w:marLeft w:val="0"/>
          <w:marRight w:val="0"/>
          <w:marTop w:val="0"/>
          <w:marBottom w:val="0"/>
          <w:divBdr>
            <w:top w:val="none" w:sz="0" w:space="0" w:color="auto"/>
            <w:left w:val="none" w:sz="0" w:space="0" w:color="auto"/>
            <w:bottom w:val="none" w:sz="0" w:space="0" w:color="auto"/>
            <w:right w:val="none" w:sz="0" w:space="0" w:color="auto"/>
          </w:divBdr>
        </w:div>
        <w:div w:id="894976215">
          <w:marLeft w:val="0"/>
          <w:marRight w:val="0"/>
          <w:marTop w:val="0"/>
          <w:marBottom w:val="0"/>
          <w:divBdr>
            <w:top w:val="none" w:sz="0" w:space="0" w:color="auto"/>
            <w:left w:val="none" w:sz="0" w:space="0" w:color="auto"/>
            <w:bottom w:val="none" w:sz="0" w:space="0" w:color="auto"/>
            <w:right w:val="none" w:sz="0" w:space="0" w:color="auto"/>
          </w:divBdr>
        </w:div>
        <w:div w:id="5182801">
          <w:marLeft w:val="0"/>
          <w:marRight w:val="0"/>
          <w:marTop w:val="0"/>
          <w:marBottom w:val="0"/>
          <w:divBdr>
            <w:top w:val="none" w:sz="0" w:space="0" w:color="auto"/>
            <w:left w:val="none" w:sz="0" w:space="0" w:color="auto"/>
            <w:bottom w:val="none" w:sz="0" w:space="0" w:color="auto"/>
            <w:right w:val="none" w:sz="0" w:space="0" w:color="auto"/>
          </w:divBdr>
        </w:div>
        <w:div w:id="1241452768">
          <w:marLeft w:val="0"/>
          <w:marRight w:val="0"/>
          <w:marTop w:val="0"/>
          <w:marBottom w:val="0"/>
          <w:divBdr>
            <w:top w:val="none" w:sz="0" w:space="0" w:color="auto"/>
            <w:left w:val="none" w:sz="0" w:space="0" w:color="auto"/>
            <w:bottom w:val="none" w:sz="0" w:space="0" w:color="auto"/>
            <w:right w:val="none" w:sz="0" w:space="0" w:color="auto"/>
          </w:divBdr>
        </w:div>
        <w:div w:id="1797481410">
          <w:marLeft w:val="0"/>
          <w:marRight w:val="0"/>
          <w:marTop w:val="0"/>
          <w:marBottom w:val="0"/>
          <w:divBdr>
            <w:top w:val="none" w:sz="0" w:space="0" w:color="auto"/>
            <w:left w:val="none" w:sz="0" w:space="0" w:color="auto"/>
            <w:bottom w:val="none" w:sz="0" w:space="0" w:color="auto"/>
            <w:right w:val="none" w:sz="0" w:space="0" w:color="auto"/>
          </w:divBdr>
        </w:div>
        <w:div w:id="489831094">
          <w:marLeft w:val="0"/>
          <w:marRight w:val="0"/>
          <w:marTop w:val="0"/>
          <w:marBottom w:val="0"/>
          <w:divBdr>
            <w:top w:val="none" w:sz="0" w:space="0" w:color="auto"/>
            <w:left w:val="none" w:sz="0" w:space="0" w:color="auto"/>
            <w:bottom w:val="none" w:sz="0" w:space="0" w:color="auto"/>
            <w:right w:val="none" w:sz="0" w:space="0" w:color="auto"/>
          </w:divBdr>
        </w:div>
        <w:div w:id="1741637126">
          <w:marLeft w:val="0"/>
          <w:marRight w:val="0"/>
          <w:marTop w:val="0"/>
          <w:marBottom w:val="0"/>
          <w:divBdr>
            <w:top w:val="none" w:sz="0" w:space="0" w:color="auto"/>
            <w:left w:val="none" w:sz="0" w:space="0" w:color="auto"/>
            <w:bottom w:val="none" w:sz="0" w:space="0" w:color="auto"/>
            <w:right w:val="none" w:sz="0" w:space="0" w:color="auto"/>
          </w:divBdr>
        </w:div>
        <w:div w:id="2131821015">
          <w:marLeft w:val="0"/>
          <w:marRight w:val="0"/>
          <w:marTop w:val="0"/>
          <w:marBottom w:val="0"/>
          <w:divBdr>
            <w:top w:val="none" w:sz="0" w:space="0" w:color="auto"/>
            <w:left w:val="none" w:sz="0" w:space="0" w:color="auto"/>
            <w:bottom w:val="none" w:sz="0" w:space="0" w:color="auto"/>
            <w:right w:val="none" w:sz="0" w:space="0" w:color="auto"/>
          </w:divBdr>
        </w:div>
        <w:div w:id="760174840">
          <w:marLeft w:val="0"/>
          <w:marRight w:val="0"/>
          <w:marTop w:val="0"/>
          <w:marBottom w:val="0"/>
          <w:divBdr>
            <w:top w:val="none" w:sz="0" w:space="0" w:color="auto"/>
            <w:left w:val="none" w:sz="0" w:space="0" w:color="auto"/>
            <w:bottom w:val="none" w:sz="0" w:space="0" w:color="auto"/>
            <w:right w:val="none" w:sz="0" w:space="0" w:color="auto"/>
          </w:divBdr>
        </w:div>
        <w:div w:id="1008941299">
          <w:marLeft w:val="0"/>
          <w:marRight w:val="0"/>
          <w:marTop w:val="0"/>
          <w:marBottom w:val="0"/>
          <w:divBdr>
            <w:top w:val="none" w:sz="0" w:space="0" w:color="auto"/>
            <w:left w:val="none" w:sz="0" w:space="0" w:color="auto"/>
            <w:bottom w:val="none" w:sz="0" w:space="0" w:color="auto"/>
            <w:right w:val="none" w:sz="0" w:space="0" w:color="auto"/>
          </w:divBdr>
        </w:div>
        <w:div w:id="1682584436">
          <w:marLeft w:val="0"/>
          <w:marRight w:val="0"/>
          <w:marTop w:val="0"/>
          <w:marBottom w:val="0"/>
          <w:divBdr>
            <w:top w:val="none" w:sz="0" w:space="0" w:color="auto"/>
            <w:left w:val="none" w:sz="0" w:space="0" w:color="auto"/>
            <w:bottom w:val="none" w:sz="0" w:space="0" w:color="auto"/>
            <w:right w:val="none" w:sz="0" w:space="0" w:color="auto"/>
          </w:divBdr>
        </w:div>
        <w:div w:id="2035182024">
          <w:marLeft w:val="0"/>
          <w:marRight w:val="0"/>
          <w:marTop w:val="0"/>
          <w:marBottom w:val="0"/>
          <w:divBdr>
            <w:top w:val="none" w:sz="0" w:space="0" w:color="auto"/>
            <w:left w:val="none" w:sz="0" w:space="0" w:color="auto"/>
            <w:bottom w:val="none" w:sz="0" w:space="0" w:color="auto"/>
            <w:right w:val="none" w:sz="0" w:space="0" w:color="auto"/>
          </w:divBdr>
        </w:div>
        <w:div w:id="1417551165">
          <w:marLeft w:val="0"/>
          <w:marRight w:val="0"/>
          <w:marTop w:val="0"/>
          <w:marBottom w:val="0"/>
          <w:divBdr>
            <w:top w:val="none" w:sz="0" w:space="0" w:color="auto"/>
            <w:left w:val="none" w:sz="0" w:space="0" w:color="auto"/>
            <w:bottom w:val="none" w:sz="0" w:space="0" w:color="auto"/>
            <w:right w:val="none" w:sz="0" w:space="0" w:color="auto"/>
          </w:divBdr>
        </w:div>
        <w:div w:id="405343127">
          <w:marLeft w:val="0"/>
          <w:marRight w:val="0"/>
          <w:marTop w:val="0"/>
          <w:marBottom w:val="0"/>
          <w:divBdr>
            <w:top w:val="none" w:sz="0" w:space="0" w:color="auto"/>
            <w:left w:val="none" w:sz="0" w:space="0" w:color="auto"/>
            <w:bottom w:val="none" w:sz="0" w:space="0" w:color="auto"/>
            <w:right w:val="none" w:sz="0" w:space="0" w:color="auto"/>
          </w:divBdr>
        </w:div>
        <w:div w:id="664481387">
          <w:marLeft w:val="0"/>
          <w:marRight w:val="0"/>
          <w:marTop w:val="0"/>
          <w:marBottom w:val="0"/>
          <w:divBdr>
            <w:top w:val="none" w:sz="0" w:space="0" w:color="auto"/>
            <w:left w:val="none" w:sz="0" w:space="0" w:color="auto"/>
            <w:bottom w:val="none" w:sz="0" w:space="0" w:color="auto"/>
            <w:right w:val="none" w:sz="0" w:space="0" w:color="auto"/>
          </w:divBdr>
        </w:div>
        <w:div w:id="1546285322">
          <w:marLeft w:val="0"/>
          <w:marRight w:val="0"/>
          <w:marTop w:val="0"/>
          <w:marBottom w:val="0"/>
          <w:divBdr>
            <w:top w:val="none" w:sz="0" w:space="0" w:color="auto"/>
            <w:left w:val="none" w:sz="0" w:space="0" w:color="auto"/>
            <w:bottom w:val="none" w:sz="0" w:space="0" w:color="auto"/>
            <w:right w:val="none" w:sz="0" w:space="0" w:color="auto"/>
          </w:divBdr>
        </w:div>
        <w:div w:id="1073703168">
          <w:marLeft w:val="0"/>
          <w:marRight w:val="0"/>
          <w:marTop w:val="0"/>
          <w:marBottom w:val="0"/>
          <w:divBdr>
            <w:top w:val="none" w:sz="0" w:space="0" w:color="auto"/>
            <w:left w:val="none" w:sz="0" w:space="0" w:color="auto"/>
            <w:bottom w:val="none" w:sz="0" w:space="0" w:color="auto"/>
            <w:right w:val="none" w:sz="0" w:space="0" w:color="auto"/>
          </w:divBdr>
        </w:div>
        <w:div w:id="1421680111">
          <w:marLeft w:val="0"/>
          <w:marRight w:val="0"/>
          <w:marTop w:val="0"/>
          <w:marBottom w:val="0"/>
          <w:divBdr>
            <w:top w:val="none" w:sz="0" w:space="0" w:color="auto"/>
            <w:left w:val="none" w:sz="0" w:space="0" w:color="auto"/>
            <w:bottom w:val="none" w:sz="0" w:space="0" w:color="auto"/>
            <w:right w:val="none" w:sz="0" w:space="0" w:color="auto"/>
          </w:divBdr>
        </w:div>
        <w:div w:id="1559901517">
          <w:marLeft w:val="0"/>
          <w:marRight w:val="0"/>
          <w:marTop w:val="0"/>
          <w:marBottom w:val="0"/>
          <w:divBdr>
            <w:top w:val="none" w:sz="0" w:space="0" w:color="auto"/>
            <w:left w:val="none" w:sz="0" w:space="0" w:color="auto"/>
            <w:bottom w:val="none" w:sz="0" w:space="0" w:color="auto"/>
            <w:right w:val="none" w:sz="0" w:space="0" w:color="auto"/>
          </w:divBdr>
        </w:div>
        <w:div w:id="1797480314">
          <w:marLeft w:val="0"/>
          <w:marRight w:val="0"/>
          <w:marTop w:val="0"/>
          <w:marBottom w:val="0"/>
          <w:divBdr>
            <w:top w:val="none" w:sz="0" w:space="0" w:color="auto"/>
            <w:left w:val="none" w:sz="0" w:space="0" w:color="auto"/>
            <w:bottom w:val="none" w:sz="0" w:space="0" w:color="auto"/>
            <w:right w:val="none" w:sz="0" w:space="0" w:color="auto"/>
          </w:divBdr>
        </w:div>
        <w:div w:id="158583">
          <w:marLeft w:val="0"/>
          <w:marRight w:val="0"/>
          <w:marTop w:val="0"/>
          <w:marBottom w:val="0"/>
          <w:divBdr>
            <w:top w:val="none" w:sz="0" w:space="0" w:color="auto"/>
            <w:left w:val="none" w:sz="0" w:space="0" w:color="auto"/>
            <w:bottom w:val="none" w:sz="0" w:space="0" w:color="auto"/>
            <w:right w:val="none" w:sz="0" w:space="0" w:color="auto"/>
          </w:divBdr>
        </w:div>
        <w:div w:id="1645230509">
          <w:marLeft w:val="0"/>
          <w:marRight w:val="0"/>
          <w:marTop w:val="0"/>
          <w:marBottom w:val="0"/>
          <w:divBdr>
            <w:top w:val="none" w:sz="0" w:space="0" w:color="auto"/>
            <w:left w:val="none" w:sz="0" w:space="0" w:color="auto"/>
            <w:bottom w:val="none" w:sz="0" w:space="0" w:color="auto"/>
            <w:right w:val="none" w:sz="0" w:space="0" w:color="auto"/>
          </w:divBdr>
        </w:div>
        <w:div w:id="1147354364">
          <w:marLeft w:val="0"/>
          <w:marRight w:val="0"/>
          <w:marTop w:val="0"/>
          <w:marBottom w:val="0"/>
          <w:divBdr>
            <w:top w:val="none" w:sz="0" w:space="0" w:color="auto"/>
            <w:left w:val="none" w:sz="0" w:space="0" w:color="auto"/>
            <w:bottom w:val="none" w:sz="0" w:space="0" w:color="auto"/>
            <w:right w:val="none" w:sz="0" w:space="0" w:color="auto"/>
          </w:divBdr>
        </w:div>
        <w:div w:id="989094136">
          <w:marLeft w:val="0"/>
          <w:marRight w:val="0"/>
          <w:marTop w:val="0"/>
          <w:marBottom w:val="0"/>
          <w:divBdr>
            <w:top w:val="none" w:sz="0" w:space="0" w:color="auto"/>
            <w:left w:val="none" w:sz="0" w:space="0" w:color="auto"/>
            <w:bottom w:val="none" w:sz="0" w:space="0" w:color="auto"/>
            <w:right w:val="none" w:sz="0" w:space="0" w:color="auto"/>
          </w:divBdr>
        </w:div>
        <w:div w:id="1046828909">
          <w:marLeft w:val="0"/>
          <w:marRight w:val="0"/>
          <w:marTop w:val="0"/>
          <w:marBottom w:val="0"/>
          <w:divBdr>
            <w:top w:val="none" w:sz="0" w:space="0" w:color="auto"/>
            <w:left w:val="none" w:sz="0" w:space="0" w:color="auto"/>
            <w:bottom w:val="none" w:sz="0" w:space="0" w:color="auto"/>
            <w:right w:val="none" w:sz="0" w:space="0" w:color="auto"/>
          </w:divBdr>
        </w:div>
        <w:div w:id="207377716">
          <w:marLeft w:val="0"/>
          <w:marRight w:val="0"/>
          <w:marTop w:val="0"/>
          <w:marBottom w:val="0"/>
          <w:divBdr>
            <w:top w:val="none" w:sz="0" w:space="0" w:color="auto"/>
            <w:left w:val="none" w:sz="0" w:space="0" w:color="auto"/>
            <w:bottom w:val="none" w:sz="0" w:space="0" w:color="auto"/>
            <w:right w:val="none" w:sz="0" w:space="0" w:color="auto"/>
          </w:divBdr>
        </w:div>
        <w:div w:id="1463035961">
          <w:marLeft w:val="0"/>
          <w:marRight w:val="0"/>
          <w:marTop w:val="0"/>
          <w:marBottom w:val="0"/>
          <w:divBdr>
            <w:top w:val="none" w:sz="0" w:space="0" w:color="auto"/>
            <w:left w:val="none" w:sz="0" w:space="0" w:color="auto"/>
            <w:bottom w:val="none" w:sz="0" w:space="0" w:color="auto"/>
            <w:right w:val="none" w:sz="0" w:space="0" w:color="auto"/>
          </w:divBdr>
        </w:div>
        <w:div w:id="865555907">
          <w:marLeft w:val="0"/>
          <w:marRight w:val="0"/>
          <w:marTop w:val="0"/>
          <w:marBottom w:val="0"/>
          <w:divBdr>
            <w:top w:val="none" w:sz="0" w:space="0" w:color="auto"/>
            <w:left w:val="none" w:sz="0" w:space="0" w:color="auto"/>
            <w:bottom w:val="none" w:sz="0" w:space="0" w:color="auto"/>
            <w:right w:val="none" w:sz="0" w:space="0" w:color="auto"/>
          </w:divBdr>
        </w:div>
        <w:div w:id="1034386967">
          <w:marLeft w:val="0"/>
          <w:marRight w:val="0"/>
          <w:marTop w:val="0"/>
          <w:marBottom w:val="0"/>
          <w:divBdr>
            <w:top w:val="none" w:sz="0" w:space="0" w:color="auto"/>
            <w:left w:val="none" w:sz="0" w:space="0" w:color="auto"/>
            <w:bottom w:val="none" w:sz="0" w:space="0" w:color="auto"/>
            <w:right w:val="none" w:sz="0" w:space="0" w:color="auto"/>
          </w:divBdr>
        </w:div>
        <w:div w:id="1411583568">
          <w:marLeft w:val="0"/>
          <w:marRight w:val="0"/>
          <w:marTop w:val="0"/>
          <w:marBottom w:val="0"/>
          <w:divBdr>
            <w:top w:val="none" w:sz="0" w:space="0" w:color="auto"/>
            <w:left w:val="none" w:sz="0" w:space="0" w:color="auto"/>
            <w:bottom w:val="none" w:sz="0" w:space="0" w:color="auto"/>
            <w:right w:val="none" w:sz="0" w:space="0" w:color="auto"/>
          </w:divBdr>
        </w:div>
        <w:div w:id="479272403">
          <w:marLeft w:val="0"/>
          <w:marRight w:val="0"/>
          <w:marTop w:val="0"/>
          <w:marBottom w:val="0"/>
          <w:divBdr>
            <w:top w:val="none" w:sz="0" w:space="0" w:color="auto"/>
            <w:left w:val="none" w:sz="0" w:space="0" w:color="auto"/>
            <w:bottom w:val="none" w:sz="0" w:space="0" w:color="auto"/>
            <w:right w:val="none" w:sz="0" w:space="0" w:color="auto"/>
          </w:divBdr>
        </w:div>
        <w:div w:id="1212154310">
          <w:marLeft w:val="0"/>
          <w:marRight w:val="0"/>
          <w:marTop w:val="0"/>
          <w:marBottom w:val="0"/>
          <w:divBdr>
            <w:top w:val="none" w:sz="0" w:space="0" w:color="auto"/>
            <w:left w:val="none" w:sz="0" w:space="0" w:color="auto"/>
            <w:bottom w:val="none" w:sz="0" w:space="0" w:color="auto"/>
            <w:right w:val="none" w:sz="0" w:space="0" w:color="auto"/>
          </w:divBdr>
        </w:div>
        <w:div w:id="152331445">
          <w:marLeft w:val="0"/>
          <w:marRight w:val="0"/>
          <w:marTop w:val="0"/>
          <w:marBottom w:val="0"/>
          <w:divBdr>
            <w:top w:val="none" w:sz="0" w:space="0" w:color="auto"/>
            <w:left w:val="none" w:sz="0" w:space="0" w:color="auto"/>
            <w:bottom w:val="none" w:sz="0" w:space="0" w:color="auto"/>
            <w:right w:val="none" w:sz="0" w:space="0" w:color="auto"/>
          </w:divBdr>
        </w:div>
        <w:div w:id="521936251">
          <w:marLeft w:val="0"/>
          <w:marRight w:val="0"/>
          <w:marTop w:val="0"/>
          <w:marBottom w:val="0"/>
          <w:divBdr>
            <w:top w:val="none" w:sz="0" w:space="0" w:color="auto"/>
            <w:left w:val="none" w:sz="0" w:space="0" w:color="auto"/>
            <w:bottom w:val="none" w:sz="0" w:space="0" w:color="auto"/>
            <w:right w:val="none" w:sz="0" w:space="0" w:color="auto"/>
          </w:divBdr>
        </w:div>
        <w:div w:id="219365061">
          <w:marLeft w:val="0"/>
          <w:marRight w:val="0"/>
          <w:marTop w:val="0"/>
          <w:marBottom w:val="0"/>
          <w:divBdr>
            <w:top w:val="none" w:sz="0" w:space="0" w:color="auto"/>
            <w:left w:val="none" w:sz="0" w:space="0" w:color="auto"/>
            <w:bottom w:val="none" w:sz="0" w:space="0" w:color="auto"/>
            <w:right w:val="none" w:sz="0" w:space="0" w:color="auto"/>
          </w:divBdr>
        </w:div>
        <w:div w:id="344478989">
          <w:marLeft w:val="0"/>
          <w:marRight w:val="0"/>
          <w:marTop w:val="0"/>
          <w:marBottom w:val="0"/>
          <w:divBdr>
            <w:top w:val="none" w:sz="0" w:space="0" w:color="auto"/>
            <w:left w:val="none" w:sz="0" w:space="0" w:color="auto"/>
            <w:bottom w:val="none" w:sz="0" w:space="0" w:color="auto"/>
            <w:right w:val="none" w:sz="0" w:space="0" w:color="auto"/>
          </w:divBdr>
        </w:div>
        <w:div w:id="61487427">
          <w:marLeft w:val="0"/>
          <w:marRight w:val="0"/>
          <w:marTop w:val="0"/>
          <w:marBottom w:val="0"/>
          <w:divBdr>
            <w:top w:val="none" w:sz="0" w:space="0" w:color="auto"/>
            <w:left w:val="none" w:sz="0" w:space="0" w:color="auto"/>
            <w:bottom w:val="none" w:sz="0" w:space="0" w:color="auto"/>
            <w:right w:val="none" w:sz="0" w:space="0" w:color="auto"/>
          </w:divBdr>
        </w:div>
        <w:div w:id="1281374272">
          <w:marLeft w:val="0"/>
          <w:marRight w:val="0"/>
          <w:marTop w:val="0"/>
          <w:marBottom w:val="0"/>
          <w:divBdr>
            <w:top w:val="none" w:sz="0" w:space="0" w:color="auto"/>
            <w:left w:val="none" w:sz="0" w:space="0" w:color="auto"/>
            <w:bottom w:val="none" w:sz="0" w:space="0" w:color="auto"/>
            <w:right w:val="none" w:sz="0" w:space="0" w:color="auto"/>
          </w:divBdr>
        </w:div>
        <w:div w:id="249890615">
          <w:marLeft w:val="0"/>
          <w:marRight w:val="0"/>
          <w:marTop w:val="0"/>
          <w:marBottom w:val="0"/>
          <w:divBdr>
            <w:top w:val="none" w:sz="0" w:space="0" w:color="auto"/>
            <w:left w:val="none" w:sz="0" w:space="0" w:color="auto"/>
            <w:bottom w:val="none" w:sz="0" w:space="0" w:color="auto"/>
            <w:right w:val="none" w:sz="0" w:space="0" w:color="auto"/>
          </w:divBdr>
        </w:div>
        <w:div w:id="1271932820">
          <w:marLeft w:val="0"/>
          <w:marRight w:val="0"/>
          <w:marTop w:val="0"/>
          <w:marBottom w:val="0"/>
          <w:divBdr>
            <w:top w:val="none" w:sz="0" w:space="0" w:color="auto"/>
            <w:left w:val="none" w:sz="0" w:space="0" w:color="auto"/>
            <w:bottom w:val="none" w:sz="0" w:space="0" w:color="auto"/>
            <w:right w:val="none" w:sz="0" w:space="0" w:color="auto"/>
          </w:divBdr>
        </w:div>
        <w:div w:id="1785809571">
          <w:marLeft w:val="0"/>
          <w:marRight w:val="0"/>
          <w:marTop w:val="0"/>
          <w:marBottom w:val="0"/>
          <w:divBdr>
            <w:top w:val="none" w:sz="0" w:space="0" w:color="auto"/>
            <w:left w:val="none" w:sz="0" w:space="0" w:color="auto"/>
            <w:bottom w:val="none" w:sz="0" w:space="0" w:color="auto"/>
            <w:right w:val="none" w:sz="0" w:space="0" w:color="auto"/>
          </w:divBdr>
        </w:div>
        <w:div w:id="2064713486">
          <w:marLeft w:val="0"/>
          <w:marRight w:val="0"/>
          <w:marTop w:val="0"/>
          <w:marBottom w:val="0"/>
          <w:divBdr>
            <w:top w:val="none" w:sz="0" w:space="0" w:color="auto"/>
            <w:left w:val="none" w:sz="0" w:space="0" w:color="auto"/>
            <w:bottom w:val="none" w:sz="0" w:space="0" w:color="auto"/>
            <w:right w:val="none" w:sz="0" w:space="0" w:color="auto"/>
          </w:divBdr>
        </w:div>
        <w:div w:id="1001398699">
          <w:marLeft w:val="0"/>
          <w:marRight w:val="0"/>
          <w:marTop w:val="0"/>
          <w:marBottom w:val="0"/>
          <w:divBdr>
            <w:top w:val="none" w:sz="0" w:space="0" w:color="auto"/>
            <w:left w:val="none" w:sz="0" w:space="0" w:color="auto"/>
            <w:bottom w:val="none" w:sz="0" w:space="0" w:color="auto"/>
            <w:right w:val="none" w:sz="0" w:space="0" w:color="auto"/>
          </w:divBdr>
        </w:div>
        <w:div w:id="885528196">
          <w:marLeft w:val="0"/>
          <w:marRight w:val="0"/>
          <w:marTop w:val="0"/>
          <w:marBottom w:val="0"/>
          <w:divBdr>
            <w:top w:val="none" w:sz="0" w:space="0" w:color="auto"/>
            <w:left w:val="none" w:sz="0" w:space="0" w:color="auto"/>
            <w:bottom w:val="none" w:sz="0" w:space="0" w:color="auto"/>
            <w:right w:val="none" w:sz="0" w:space="0" w:color="auto"/>
          </w:divBdr>
        </w:div>
        <w:div w:id="1557082795">
          <w:marLeft w:val="0"/>
          <w:marRight w:val="0"/>
          <w:marTop w:val="0"/>
          <w:marBottom w:val="0"/>
          <w:divBdr>
            <w:top w:val="none" w:sz="0" w:space="0" w:color="auto"/>
            <w:left w:val="none" w:sz="0" w:space="0" w:color="auto"/>
            <w:bottom w:val="none" w:sz="0" w:space="0" w:color="auto"/>
            <w:right w:val="none" w:sz="0" w:space="0" w:color="auto"/>
          </w:divBdr>
        </w:div>
        <w:div w:id="1602957067">
          <w:marLeft w:val="0"/>
          <w:marRight w:val="0"/>
          <w:marTop w:val="0"/>
          <w:marBottom w:val="0"/>
          <w:divBdr>
            <w:top w:val="none" w:sz="0" w:space="0" w:color="auto"/>
            <w:left w:val="none" w:sz="0" w:space="0" w:color="auto"/>
            <w:bottom w:val="none" w:sz="0" w:space="0" w:color="auto"/>
            <w:right w:val="none" w:sz="0" w:space="0" w:color="auto"/>
          </w:divBdr>
        </w:div>
        <w:div w:id="1442384960">
          <w:marLeft w:val="0"/>
          <w:marRight w:val="0"/>
          <w:marTop w:val="0"/>
          <w:marBottom w:val="0"/>
          <w:divBdr>
            <w:top w:val="none" w:sz="0" w:space="0" w:color="auto"/>
            <w:left w:val="none" w:sz="0" w:space="0" w:color="auto"/>
            <w:bottom w:val="none" w:sz="0" w:space="0" w:color="auto"/>
            <w:right w:val="none" w:sz="0" w:space="0" w:color="auto"/>
          </w:divBdr>
        </w:div>
        <w:div w:id="2116636591">
          <w:marLeft w:val="0"/>
          <w:marRight w:val="0"/>
          <w:marTop w:val="0"/>
          <w:marBottom w:val="0"/>
          <w:divBdr>
            <w:top w:val="none" w:sz="0" w:space="0" w:color="auto"/>
            <w:left w:val="none" w:sz="0" w:space="0" w:color="auto"/>
            <w:bottom w:val="none" w:sz="0" w:space="0" w:color="auto"/>
            <w:right w:val="none" w:sz="0" w:space="0" w:color="auto"/>
          </w:divBdr>
        </w:div>
        <w:div w:id="519129048">
          <w:marLeft w:val="0"/>
          <w:marRight w:val="0"/>
          <w:marTop w:val="0"/>
          <w:marBottom w:val="0"/>
          <w:divBdr>
            <w:top w:val="none" w:sz="0" w:space="0" w:color="auto"/>
            <w:left w:val="none" w:sz="0" w:space="0" w:color="auto"/>
            <w:bottom w:val="none" w:sz="0" w:space="0" w:color="auto"/>
            <w:right w:val="none" w:sz="0" w:space="0" w:color="auto"/>
          </w:divBdr>
        </w:div>
        <w:div w:id="1497845044">
          <w:marLeft w:val="0"/>
          <w:marRight w:val="0"/>
          <w:marTop w:val="0"/>
          <w:marBottom w:val="0"/>
          <w:divBdr>
            <w:top w:val="none" w:sz="0" w:space="0" w:color="auto"/>
            <w:left w:val="none" w:sz="0" w:space="0" w:color="auto"/>
            <w:bottom w:val="none" w:sz="0" w:space="0" w:color="auto"/>
            <w:right w:val="none" w:sz="0" w:space="0" w:color="auto"/>
          </w:divBdr>
        </w:div>
        <w:div w:id="1652714546">
          <w:marLeft w:val="0"/>
          <w:marRight w:val="0"/>
          <w:marTop w:val="0"/>
          <w:marBottom w:val="0"/>
          <w:divBdr>
            <w:top w:val="none" w:sz="0" w:space="0" w:color="auto"/>
            <w:left w:val="none" w:sz="0" w:space="0" w:color="auto"/>
            <w:bottom w:val="none" w:sz="0" w:space="0" w:color="auto"/>
            <w:right w:val="none" w:sz="0" w:space="0" w:color="auto"/>
          </w:divBdr>
        </w:div>
        <w:div w:id="1965888572">
          <w:marLeft w:val="0"/>
          <w:marRight w:val="0"/>
          <w:marTop w:val="0"/>
          <w:marBottom w:val="0"/>
          <w:divBdr>
            <w:top w:val="none" w:sz="0" w:space="0" w:color="auto"/>
            <w:left w:val="none" w:sz="0" w:space="0" w:color="auto"/>
            <w:bottom w:val="none" w:sz="0" w:space="0" w:color="auto"/>
            <w:right w:val="none" w:sz="0" w:space="0" w:color="auto"/>
          </w:divBdr>
        </w:div>
        <w:div w:id="1182747637">
          <w:marLeft w:val="0"/>
          <w:marRight w:val="0"/>
          <w:marTop w:val="0"/>
          <w:marBottom w:val="0"/>
          <w:divBdr>
            <w:top w:val="none" w:sz="0" w:space="0" w:color="auto"/>
            <w:left w:val="none" w:sz="0" w:space="0" w:color="auto"/>
            <w:bottom w:val="none" w:sz="0" w:space="0" w:color="auto"/>
            <w:right w:val="none" w:sz="0" w:space="0" w:color="auto"/>
          </w:divBdr>
        </w:div>
        <w:div w:id="37709004">
          <w:marLeft w:val="0"/>
          <w:marRight w:val="0"/>
          <w:marTop w:val="0"/>
          <w:marBottom w:val="0"/>
          <w:divBdr>
            <w:top w:val="none" w:sz="0" w:space="0" w:color="auto"/>
            <w:left w:val="none" w:sz="0" w:space="0" w:color="auto"/>
            <w:bottom w:val="none" w:sz="0" w:space="0" w:color="auto"/>
            <w:right w:val="none" w:sz="0" w:space="0" w:color="auto"/>
          </w:divBdr>
        </w:div>
        <w:div w:id="484515958">
          <w:marLeft w:val="0"/>
          <w:marRight w:val="0"/>
          <w:marTop w:val="0"/>
          <w:marBottom w:val="0"/>
          <w:divBdr>
            <w:top w:val="none" w:sz="0" w:space="0" w:color="auto"/>
            <w:left w:val="none" w:sz="0" w:space="0" w:color="auto"/>
            <w:bottom w:val="none" w:sz="0" w:space="0" w:color="auto"/>
            <w:right w:val="none" w:sz="0" w:space="0" w:color="auto"/>
          </w:divBdr>
        </w:div>
        <w:div w:id="1471291445">
          <w:marLeft w:val="0"/>
          <w:marRight w:val="0"/>
          <w:marTop w:val="0"/>
          <w:marBottom w:val="0"/>
          <w:divBdr>
            <w:top w:val="none" w:sz="0" w:space="0" w:color="auto"/>
            <w:left w:val="none" w:sz="0" w:space="0" w:color="auto"/>
            <w:bottom w:val="none" w:sz="0" w:space="0" w:color="auto"/>
            <w:right w:val="none" w:sz="0" w:space="0" w:color="auto"/>
          </w:divBdr>
        </w:div>
        <w:div w:id="414713725">
          <w:marLeft w:val="0"/>
          <w:marRight w:val="0"/>
          <w:marTop w:val="0"/>
          <w:marBottom w:val="0"/>
          <w:divBdr>
            <w:top w:val="none" w:sz="0" w:space="0" w:color="auto"/>
            <w:left w:val="none" w:sz="0" w:space="0" w:color="auto"/>
            <w:bottom w:val="none" w:sz="0" w:space="0" w:color="auto"/>
            <w:right w:val="none" w:sz="0" w:space="0" w:color="auto"/>
          </w:divBdr>
        </w:div>
        <w:div w:id="1549488570">
          <w:marLeft w:val="0"/>
          <w:marRight w:val="0"/>
          <w:marTop w:val="0"/>
          <w:marBottom w:val="0"/>
          <w:divBdr>
            <w:top w:val="none" w:sz="0" w:space="0" w:color="auto"/>
            <w:left w:val="none" w:sz="0" w:space="0" w:color="auto"/>
            <w:bottom w:val="none" w:sz="0" w:space="0" w:color="auto"/>
            <w:right w:val="none" w:sz="0" w:space="0" w:color="auto"/>
          </w:divBdr>
        </w:div>
        <w:div w:id="1790776144">
          <w:marLeft w:val="0"/>
          <w:marRight w:val="0"/>
          <w:marTop w:val="0"/>
          <w:marBottom w:val="0"/>
          <w:divBdr>
            <w:top w:val="none" w:sz="0" w:space="0" w:color="auto"/>
            <w:left w:val="none" w:sz="0" w:space="0" w:color="auto"/>
            <w:bottom w:val="none" w:sz="0" w:space="0" w:color="auto"/>
            <w:right w:val="none" w:sz="0" w:space="0" w:color="auto"/>
          </w:divBdr>
        </w:div>
        <w:div w:id="1998609215">
          <w:marLeft w:val="0"/>
          <w:marRight w:val="0"/>
          <w:marTop w:val="0"/>
          <w:marBottom w:val="0"/>
          <w:divBdr>
            <w:top w:val="none" w:sz="0" w:space="0" w:color="auto"/>
            <w:left w:val="none" w:sz="0" w:space="0" w:color="auto"/>
            <w:bottom w:val="none" w:sz="0" w:space="0" w:color="auto"/>
            <w:right w:val="none" w:sz="0" w:space="0" w:color="auto"/>
          </w:divBdr>
        </w:div>
        <w:div w:id="811097788">
          <w:marLeft w:val="0"/>
          <w:marRight w:val="0"/>
          <w:marTop w:val="0"/>
          <w:marBottom w:val="0"/>
          <w:divBdr>
            <w:top w:val="none" w:sz="0" w:space="0" w:color="auto"/>
            <w:left w:val="none" w:sz="0" w:space="0" w:color="auto"/>
            <w:bottom w:val="none" w:sz="0" w:space="0" w:color="auto"/>
            <w:right w:val="none" w:sz="0" w:space="0" w:color="auto"/>
          </w:divBdr>
        </w:div>
        <w:div w:id="1867785747">
          <w:marLeft w:val="0"/>
          <w:marRight w:val="0"/>
          <w:marTop w:val="0"/>
          <w:marBottom w:val="0"/>
          <w:divBdr>
            <w:top w:val="none" w:sz="0" w:space="0" w:color="auto"/>
            <w:left w:val="none" w:sz="0" w:space="0" w:color="auto"/>
            <w:bottom w:val="none" w:sz="0" w:space="0" w:color="auto"/>
            <w:right w:val="none" w:sz="0" w:space="0" w:color="auto"/>
          </w:divBdr>
        </w:div>
        <w:div w:id="1283850847">
          <w:marLeft w:val="0"/>
          <w:marRight w:val="0"/>
          <w:marTop w:val="0"/>
          <w:marBottom w:val="0"/>
          <w:divBdr>
            <w:top w:val="none" w:sz="0" w:space="0" w:color="auto"/>
            <w:left w:val="none" w:sz="0" w:space="0" w:color="auto"/>
            <w:bottom w:val="none" w:sz="0" w:space="0" w:color="auto"/>
            <w:right w:val="none" w:sz="0" w:space="0" w:color="auto"/>
          </w:divBdr>
        </w:div>
        <w:div w:id="44453807">
          <w:marLeft w:val="0"/>
          <w:marRight w:val="0"/>
          <w:marTop w:val="0"/>
          <w:marBottom w:val="0"/>
          <w:divBdr>
            <w:top w:val="none" w:sz="0" w:space="0" w:color="auto"/>
            <w:left w:val="none" w:sz="0" w:space="0" w:color="auto"/>
            <w:bottom w:val="none" w:sz="0" w:space="0" w:color="auto"/>
            <w:right w:val="none" w:sz="0" w:space="0" w:color="auto"/>
          </w:divBdr>
        </w:div>
        <w:div w:id="146214655">
          <w:marLeft w:val="0"/>
          <w:marRight w:val="0"/>
          <w:marTop w:val="0"/>
          <w:marBottom w:val="0"/>
          <w:divBdr>
            <w:top w:val="none" w:sz="0" w:space="0" w:color="auto"/>
            <w:left w:val="none" w:sz="0" w:space="0" w:color="auto"/>
            <w:bottom w:val="none" w:sz="0" w:space="0" w:color="auto"/>
            <w:right w:val="none" w:sz="0" w:space="0" w:color="auto"/>
          </w:divBdr>
        </w:div>
        <w:div w:id="1475565345">
          <w:marLeft w:val="0"/>
          <w:marRight w:val="0"/>
          <w:marTop w:val="0"/>
          <w:marBottom w:val="0"/>
          <w:divBdr>
            <w:top w:val="none" w:sz="0" w:space="0" w:color="auto"/>
            <w:left w:val="none" w:sz="0" w:space="0" w:color="auto"/>
            <w:bottom w:val="none" w:sz="0" w:space="0" w:color="auto"/>
            <w:right w:val="none" w:sz="0" w:space="0" w:color="auto"/>
          </w:divBdr>
        </w:div>
        <w:div w:id="547839189">
          <w:marLeft w:val="0"/>
          <w:marRight w:val="0"/>
          <w:marTop w:val="0"/>
          <w:marBottom w:val="0"/>
          <w:divBdr>
            <w:top w:val="none" w:sz="0" w:space="0" w:color="auto"/>
            <w:left w:val="none" w:sz="0" w:space="0" w:color="auto"/>
            <w:bottom w:val="none" w:sz="0" w:space="0" w:color="auto"/>
            <w:right w:val="none" w:sz="0" w:space="0" w:color="auto"/>
          </w:divBdr>
        </w:div>
        <w:div w:id="174617953">
          <w:marLeft w:val="0"/>
          <w:marRight w:val="0"/>
          <w:marTop w:val="0"/>
          <w:marBottom w:val="0"/>
          <w:divBdr>
            <w:top w:val="none" w:sz="0" w:space="0" w:color="auto"/>
            <w:left w:val="none" w:sz="0" w:space="0" w:color="auto"/>
            <w:bottom w:val="none" w:sz="0" w:space="0" w:color="auto"/>
            <w:right w:val="none" w:sz="0" w:space="0" w:color="auto"/>
          </w:divBdr>
        </w:div>
        <w:div w:id="641235019">
          <w:marLeft w:val="0"/>
          <w:marRight w:val="0"/>
          <w:marTop w:val="0"/>
          <w:marBottom w:val="0"/>
          <w:divBdr>
            <w:top w:val="none" w:sz="0" w:space="0" w:color="auto"/>
            <w:left w:val="none" w:sz="0" w:space="0" w:color="auto"/>
            <w:bottom w:val="none" w:sz="0" w:space="0" w:color="auto"/>
            <w:right w:val="none" w:sz="0" w:space="0" w:color="auto"/>
          </w:divBdr>
        </w:div>
        <w:div w:id="232663070">
          <w:marLeft w:val="0"/>
          <w:marRight w:val="0"/>
          <w:marTop w:val="0"/>
          <w:marBottom w:val="0"/>
          <w:divBdr>
            <w:top w:val="none" w:sz="0" w:space="0" w:color="auto"/>
            <w:left w:val="none" w:sz="0" w:space="0" w:color="auto"/>
            <w:bottom w:val="none" w:sz="0" w:space="0" w:color="auto"/>
            <w:right w:val="none" w:sz="0" w:space="0" w:color="auto"/>
          </w:divBdr>
        </w:div>
        <w:div w:id="414933888">
          <w:marLeft w:val="0"/>
          <w:marRight w:val="0"/>
          <w:marTop w:val="0"/>
          <w:marBottom w:val="0"/>
          <w:divBdr>
            <w:top w:val="none" w:sz="0" w:space="0" w:color="auto"/>
            <w:left w:val="none" w:sz="0" w:space="0" w:color="auto"/>
            <w:bottom w:val="none" w:sz="0" w:space="0" w:color="auto"/>
            <w:right w:val="none" w:sz="0" w:space="0" w:color="auto"/>
          </w:divBdr>
        </w:div>
        <w:div w:id="995260672">
          <w:marLeft w:val="0"/>
          <w:marRight w:val="0"/>
          <w:marTop w:val="0"/>
          <w:marBottom w:val="0"/>
          <w:divBdr>
            <w:top w:val="none" w:sz="0" w:space="0" w:color="auto"/>
            <w:left w:val="none" w:sz="0" w:space="0" w:color="auto"/>
            <w:bottom w:val="none" w:sz="0" w:space="0" w:color="auto"/>
            <w:right w:val="none" w:sz="0" w:space="0" w:color="auto"/>
          </w:divBdr>
        </w:div>
        <w:div w:id="381029386">
          <w:marLeft w:val="0"/>
          <w:marRight w:val="0"/>
          <w:marTop w:val="0"/>
          <w:marBottom w:val="0"/>
          <w:divBdr>
            <w:top w:val="none" w:sz="0" w:space="0" w:color="auto"/>
            <w:left w:val="none" w:sz="0" w:space="0" w:color="auto"/>
            <w:bottom w:val="none" w:sz="0" w:space="0" w:color="auto"/>
            <w:right w:val="none" w:sz="0" w:space="0" w:color="auto"/>
          </w:divBdr>
        </w:div>
        <w:div w:id="1763993311">
          <w:marLeft w:val="0"/>
          <w:marRight w:val="0"/>
          <w:marTop w:val="0"/>
          <w:marBottom w:val="0"/>
          <w:divBdr>
            <w:top w:val="none" w:sz="0" w:space="0" w:color="auto"/>
            <w:left w:val="none" w:sz="0" w:space="0" w:color="auto"/>
            <w:bottom w:val="none" w:sz="0" w:space="0" w:color="auto"/>
            <w:right w:val="none" w:sz="0" w:space="0" w:color="auto"/>
          </w:divBdr>
        </w:div>
        <w:div w:id="533419675">
          <w:marLeft w:val="0"/>
          <w:marRight w:val="0"/>
          <w:marTop w:val="0"/>
          <w:marBottom w:val="0"/>
          <w:divBdr>
            <w:top w:val="none" w:sz="0" w:space="0" w:color="auto"/>
            <w:left w:val="none" w:sz="0" w:space="0" w:color="auto"/>
            <w:bottom w:val="none" w:sz="0" w:space="0" w:color="auto"/>
            <w:right w:val="none" w:sz="0" w:space="0" w:color="auto"/>
          </w:divBdr>
        </w:div>
        <w:div w:id="484131995">
          <w:marLeft w:val="0"/>
          <w:marRight w:val="0"/>
          <w:marTop w:val="0"/>
          <w:marBottom w:val="0"/>
          <w:divBdr>
            <w:top w:val="none" w:sz="0" w:space="0" w:color="auto"/>
            <w:left w:val="none" w:sz="0" w:space="0" w:color="auto"/>
            <w:bottom w:val="none" w:sz="0" w:space="0" w:color="auto"/>
            <w:right w:val="none" w:sz="0" w:space="0" w:color="auto"/>
          </w:divBdr>
        </w:div>
        <w:div w:id="69424620">
          <w:marLeft w:val="0"/>
          <w:marRight w:val="0"/>
          <w:marTop w:val="0"/>
          <w:marBottom w:val="0"/>
          <w:divBdr>
            <w:top w:val="none" w:sz="0" w:space="0" w:color="auto"/>
            <w:left w:val="none" w:sz="0" w:space="0" w:color="auto"/>
            <w:bottom w:val="none" w:sz="0" w:space="0" w:color="auto"/>
            <w:right w:val="none" w:sz="0" w:space="0" w:color="auto"/>
          </w:divBdr>
        </w:div>
        <w:div w:id="1362587904">
          <w:marLeft w:val="0"/>
          <w:marRight w:val="0"/>
          <w:marTop w:val="0"/>
          <w:marBottom w:val="0"/>
          <w:divBdr>
            <w:top w:val="none" w:sz="0" w:space="0" w:color="auto"/>
            <w:left w:val="none" w:sz="0" w:space="0" w:color="auto"/>
            <w:bottom w:val="none" w:sz="0" w:space="0" w:color="auto"/>
            <w:right w:val="none" w:sz="0" w:space="0" w:color="auto"/>
          </w:divBdr>
        </w:div>
        <w:div w:id="1144275584">
          <w:marLeft w:val="0"/>
          <w:marRight w:val="0"/>
          <w:marTop w:val="0"/>
          <w:marBottom w:val="0"/>
          <w:divBdr>
            <w:top w:val="none" w:sz="0" w:space="0" w:color="auto"/>
            <w:left w:val="none" w:sz="0" w:space="0" w:color="auto"/>
            <w:bottom w:val="none" w:sz="0" w:space="0" w:color="auto"/>
            <w:right w:val="none" w:sz="0" w:space="0" w:color="auto"/>
          </w:divBdr>
        </w:div>
        <w:div w:id="1389495627">
          <w:marLeft w:val="0"/>
          <w:marRight w:val="0"/>
          <w:marTop w:val="0"/>
          <w:marBottom w:val="0"/>
          <w:divBdr>
            <w:top w:val="none" w:sz="0" w:space="0" w:color="auto"/>
            <w:left w:val="none" w:sz="0" w:space="0" w:color="auto"/>
            <w:bottom w:val="none" w:sz="0" w:space="0" w:color="auto"/>
            <w:right w:val="none" w:sz="0" w:space="0" w:color="auto"/>
          </w:divBdr>
        </w:div>
        <w:div w:id="145631358">
          <w:marLeft w:val="0"/>
          <w:marRight w:val="0"/>
          <w:marTop w:val="0"/>
          <w:marBottom w:val="0"/>
          <w:divBdr>
            <w:top w:val="none" w:sz="0" w:space="0" w:color="auto"/>
            <w:left w:val="none" w:sz="0" w:space="0" w:color="auto"/>
            <w:bottom w:val="none" w:sz="0" w:space="0" w:color="auto"/>
            <w:right w:val="none" w:sz="0" w:space="0" w:color="auto"/>
          </w:divBdr>
        </w:div>
        <w:div w:id="2134129070">
          <w:marLeft w:val="0"/>
          <w:marRight w:val="0"/>
          <w:marTop w:val="0"/>
          <w:marBottom w:val="0"/>
          <w:divBdr>
            <w:top w:val="none" w:sz="0" w:space="0" w:color="auto"/>
            <w:left w:val="none" w:sz="0" w:space="0" w:color="auto"/>
            <w:bottom w:val="none" w:sz="0" w:space="0" w:color="auto"/>
            <w:right w:val="none" w:sz="0" w:space="0" w:color="auto"/>
          </w:divBdr>
        </w:div>
        <w:div w:id="1586376015">
          <w:marLeft w:val="0"/>
          <w:marRight w:val="0"/>
          <w:marTop w:val="0"/>
          <w:marBottom w:val="0"/>
          <w:divBdr>
            <w:top w:val="none" w:sz="0" w:space="0" w:color="auto"/>
            <w:left w:val="none" w:sz="0" w:space="0" w:color="auto"/>
            <w:bottom w:val="none" w:sz="0" w:space="0" w:color="auto"/>
            <w:right w:val="none" w:sz="0" w:space="0" w:color="auto"/>
          </w:divBdr>
        </w:div>
        <w:div w:id="1438914703">
          <w:marLeft w:val="0"/>
          <w:marRight w:val="0"/>
          <w:marTop w:val="0"/>
          <w:marBottom w:val="0"/>
          <w:divBdr>
            <w:top w:val="none" w:sz="0" w:space="0" w:color="auto"/>
            <w:left w:val="none" w:sz="0" w:space="0" w:color="auto"/>
            <w:bottom w:val="none" w:sz="0" w:space="0" w:color="auto"/>
            <w:right w:val="none" w:sz="0" w:space="0" w:color="auto"/>
          </w:divBdr>
        </w:div>
        <w:div w:id="960457174">
          <w:marLeft w:val="0"/>
          <w:marRight w:val="0"/>
          <w:marTop w:val="0"/>
          <w:marBottom w:val="0"/>
          <w:divBdr>
            <w:top w:val="none" w:sz="0" w:space="0" w:color="auto"/>
            <w:left w:val="none" w:sz="0" w:space="0" w:color="auto"/>
            <w:bottom w:val="none" w:sz="0" w:space="0" w:color="auto"/>
            <w:right w:val="none" w:sz="0" w:space="0" w:color="auto"/>
          </w:divBdr>
        </w:div>
        <w:div w:id="1290821514">
          <w:marLeft w:val="0"/>
          <w:marRight w:val="0"/>
          <w:marTop w:val="0"/>
          <w:marBottom w:val="0"/>
          <w:divBdr>
            <w:top w:val="none" w:sz="0" w:space="0" w:color="auto"/>
            <w:left w:val="none" w:sz="0" w:space="0" w:color="auto"/>
            <w:bottom w:val="none" w:sz="0" w:space="0" w:color="auto"/>
            <w:right w:val="none" w:sz="0" w:space="0" w:color="auto"/>
          </w:divBdr>
        </w:div>
        <w:div w:id="1636523036">
          <w:marLeft w:val="0"/>
          <w:marRight w:val="0"/>
          <w:marTop w:val="0"/>
          <w:marBottom w:val="0"/>
          <w:divBdr>
            <w:top w:val="none" w:sz="0" w:space="0" w:color="auto"/>
            <w:left w:val="none" w:sz="0" w:space="0" w:color="auto"/>
            <w:bottom w:val="none" w:sz="0" w:space="0" w:color="auto"/>
            <w:right w:val="none" w:sz="0" w:space="0" w:color="auto"/>
          </w:divBdr>
        </w:div>
        <w:div w:id="1108424972">
          <w:marLeft w:val="0"/>
          <w:marRight w:val="0"/>
          <w:marTop w:val="0"/>
          <w:marBottom w:val="0"/>
          <w:divBdr>
            <w:top w:val="none" w:sz="0" w:space="0" w:color="auto"/>
            <w:left w:val="none" w:sz="0" w:space="0" w:color="auto"/>
            <w:bottom w:val="none" w:sz="0" w:space="0" w:color="auto"/>
            <w:right w:val="none" w:sz="0" w:space="0" w:color="auto"/>
          </w:divBdr>
        </w:div>
        <w:div w:id="565266874">
          <w:marLeft w:val="0"/>
          <w:marRight w:val="0"/>
          <w:marTop w:val="0"/>
          <w:marBottom w:val="0"/>
          <w:divBdr>
            <w:top w:val="none" w:sz="0" w:space="0" w:color="auto"/>
            <w:left w:val="none" w:sz="0" w:space="0" w:color="auto"/>
            <w:bottom w:val="none" w:sz="0" w:space="0" w:color="auto"/>
            <w:right w:val="none" w:sz="0" w:space="0" w:color="auto"/>
          </w:divBdr>
        </w:div>
        <w:div w:id="68117756">
          <w:marLeft w:val="0"/>
          <w:marRight w:val="0"/>
          <w:marTop w:val="0"/>
          <w:marBottom w:val="0"/>
          <w:divBdr>
            <w:top w:val="none" w:sz="0" w:space="0" w:color="auto"/>
            <w:left w:val="none" w:sz="0" w:space="0" w:color="auto"/>
            <w:bottom w:val="none" w:sz="0" w:space="0" w:color="auto"/>
            <w:right w:val="none" w:sz="0" w:space="0" w:color="auto"/>
          </w:divBdr>
        </w:div>
        <w:div w:id="1248227286">
          <w:marLeft w:val="0"/>
          <w:marRight w:val="0"/>
          <w:marTop w:val="0"/>
          <w:marBottom w:val="0"/>
          <w:divBdr>
            <w:top w:val="none" w:sz="0" w:space="0" w:color="auto"/>
            <w:left w:val="none" w:sz="0" w:space="0" w:color="auto"/>
            <w:bottom w:val="none" w:sz="0" w:space="0" w:color="auto"/>
            <w:right w:val="none" w:sz="0" w:space="0" w:color="auto"/>
          </w:divBdr>
        </w:div>
        <w:div w:id="476532511">
          <w:marLeft w:val="0"/>
          <w:marRight w:val="0"/>
          <w:marTop w:val="0"/>
          <w:marBottom w:val="0"/>
          <w:divBdr>
            <w:top w:val="none" w:sz="0" w:space="0" w:color="auto"/>
            <w:left w:val="none" w:sz="0" w:space="0" w:color="auto"/>
            <w:bottom w:val="none" w:sz="0" w:space="0" w:color="auto"/>
            <w:right w:val="none" w:sz="0" w:space="0" w:color="auto"/>
          </w:divBdr>
        </w:div>
        <w:div w:id="150295122">
          <w:marLeft w:val="0"/>
          <w:marRight w:val="0"/>
          <w:marTop w:val="0"/>
          <w:marBottom w:val="0"/>
          <w:divBdr>
            <w:top w:val="none" w:sz="0" w:space="0" w:color="auto"/>
            <w:left w:val="none" w:sz="0" w:space="0" w:color="auto"/>
            <w:bottom w:val="none" w:sz="0" w:space="0" w:color="auto"/>
            <w:right w:val="none" w:sz="0" w:space="0" w:color="auto"/>
          </w:divBdr>
        </w:div>
        <w:div w:id="886260366">
          <w:marLeft w:val="0"/>
          <w:marRight w:val="0"/>
          <w:marTop w:val="0"/>
          <w:marBottom w:val="0"/>
          <w:divBdr>
            <w:top w:val="none" w:sz="0" w:space="0" w:color="auto"/>
            <w:left w:val="none" w:sz="0" w:space="0" w:color="auto"/>
            <w:bottom w:val="none" w:sz="0" w:space="0" w:color="auto"/>
            <w:right w:val="none" w:sz="0" w:space="0" w:color="auto"/>
          </w:divBdr>
        </w:div>
        <w:div w:id="1460877344">
          <w:marLeft w:val="0"/>
          <w:marRight w:val="0"/>
          <w:marTop w:val="0"/>
          <w:marBottom w:val="0"/>
          <w:divBdr>
            <w:top w:val="none" w:sz="0" w:space="0" w:color="auto"/>
            <w:left w:val="none" w:sz="0" w:space="0" w:color="auto"/>
            <w:bottom w:val="none" w:sz="0" w:space="0" w:color="auto"/>
            <w:right w:val="none" w:sz="0" w:space="0" w:color="auto"/>
          </w:divBdr>
        </w:div>
        <w:div w:id="699430328">
          <w:marLeft w:val="0"/>
          <w:marRight w:val="0"/>
          <w:marTop w:val="0"/>
          <w:marBottom w:val="0"/>
          <w:divBdr>
            <w:top w:val="none" w:sz="0" w:space="0" w:color="auto"/>
            <w:left w:val="none" w:sz="0" w:space="0" w:color="auto"/>
            <w:bottom w:val="none" w:sz="0" w:space="0" w:color="auto"/>
            <w:right w:val="none" w:sz="0" w:space="0" w:color="auto"/>
          </w:divBdr>
        </w:div>
        <w:div w:id="808011451">
          <w:marLeft w:val="0"/>
          <w:marRight w:val="0"/>
          <w:marTop w:val="0"/>
          <w:marBottom w:val="0"/>
          <w:divBdr>
            <w:top w:val="none" w:sz="0" w:space="0" w:color="auto"/>
            <w:left w:val="none" w:sz="0" w:space="0" w:color="auto"/>
            <w:bottom w:val="none" w:sz="0" w:space="0" w:color="auto"/>
            <w:right w:val="none" w:sz="0" w:space="0" w:color="auto"/>
          </w:divBdr>
        </w:div>
        <w:div w:id="84233145">
          <w:marLeft w:val="0"/>
          <w:marRight w:val="0"/>
          <w:marTop w:val="0"/>
          <w:marBottom w:val="0"/>
          <w:divBdr>
            <w:top w:val="none" w:sz="0" w:space="0" w:color="auto"/>
            <w:left w:val="none" w:sz="0" w:space="0" w:color="auto"/>
            <w:bottom w:val="none" w:sz="0" w:space="0" w:color="auto"/>
            <w:right w:val="none" w:sz="0" w:space="0" w:color="auto"/>
          </w:divBdr>
        </w:div>
        <w:div w:id="528182331">
          <w:marLeft w:val="0"/>
          <w:marRight w:val="0"/>
          <w:marTop w:val="0"/>
          <w:marBottom w:val="0"/>
          <w:divBdr>
            <w:top w:val="none" w:sz="0" w:space="0" w:color="auto"/>
            <w:left w:val="none" w:sz="0" w:space="0" w:color="auto"/>
            <w:bottom w:val="none" w:sz="0" w:space="0" w:color="auto"/>
            <w:right w:val="none" w:sz="0" w:space="0" w:color="auto"/>
          </w:divBdr>
        </w:div>
        <w:div w:id="1057512900">
          <w:marLeft w:val="0"/>
          <w:marRight w:val="0"/>
          <w:marTop w:val="0"/>
          <w:marBottom w:val="0"/>
          <w:divBdr>
            <w:top w:val="none" w:sz="0" w:space="0" w:color="auto"/>
            <w:left w:val="none" w:sz="0" w:space="0" w:color="auto"/>
            <w:bottom w:val="none" w:sz="0" w:space="0" w:color="auto"/>
            <w:right w:val="none" w:sz="0" w:space="0" w:color="auto"/>
          </w:divBdr>
        </w:div>
        <w:div w:id="1067647888">
          <w:marLeft w:val="0"/>
          <w:marRight w:val="0"/>
          <w:marTop w:val="0"/>
          <w:marBottom w:val="0"/>
          <w:divBdr>
            <w:top w:val="none" w:sz="0" w:space="0" w:color="auto"/>
            <w:left w:val="none" w:sz="0" w:space="0" w:color="auto"/>
            <w:bottom w:val="none" w:sz="0" w:space="0" w:color="auto"/>
            <w:right w:val="none" w:sz="0" w:space="0" w:color="auto"/>
          </w:divBdr>
        </w:div>
        <w:div w:id="644046855">
          <w:marLeft w:val="0"/>
          <w:marRight w:val="0"/>
          <w:marTop w:val="0"/>
          <w:marBottom w:val="0"/>
          <w:divBdr>
            <w:top w:val="none" w:sz="0" w:space="0" w:color="auto"/>
            <w:left w:val="none" w:sz="0" w:space="0" w:color="auto"/>
            <w:bottom w:val="none" w:sz="0" w:space="0" w:color="auto"/>
            <w:right w:val="none" w:sz="0" w:space="0" w:color="auto"/>
          </w:divBdr>
        </w:div>
        <w:div w:id="288442348">
          <w:marLeft w:val="0"/>
          <w:marRight w:val="0"/>
          <w:marTop w:val="0"/>
          <w:marBottom w:val="0"/>
          <w:divBdr>
            <w:top w:val="none" w:sz="0" w:space="0" w:color="auto"/>
            <w:left w:val="none" w:sz="0" w:space="0" w:color="auto"/>
            <w:bottom w:val="none" w:sz="0" w:space="0" w:color="auto"/>
            <w:right w:val="none" w:sz="0" w:space="0" w:color="auto"/>
          </w:divBdr>
        </w:div>
        <w:div w:id="1082222968">
          <w:marLeft w:val="0"/>
          <w:marRight w:val="0"/>
          <w:marTop w:val="0"/>
          <w:marBottom w:val="0"/>
          <w:divBdr>
            <w:top w:val="none" w:sz="0" w:space="0" w:color="auto"/>
            <w:left w:val="none" w:sz="0" w:space="0" w:color="auto"/>
            <w:bottom w:val="none" w:sz="0" w:space="0" w:color="auto"/>
            <w:right w:val="none" w:sz="0" w:space="0" w:color="auto"/>
          </w:divBdr>
        </w:div>
        <w:div w:id="1312439661">
          <w:marLeft w:val="0"/>
          <w:marRight w:val="0"/>
          <w:marTop w:val="0"/>
          <w:marBottom w:val="0"/>
          <w:divBdr>
            <w:top w:val="none" w:sz="0" w:space="0" w:color="auto"/>
            <w:left w:val="none" w:sz="0" w:space="0" w:color="auto"/>
            <w:bottom w:val="none" w:sz="0" w:space="0" w:color="auto"/>
            <w:right w:val="none" w:sz="0" w:space="0" w:color="auto"/>
          </w:divBdr>
        </w:div>
        <w:div w:id="558788887">
          <w:marLeft w:val="0"/>
          <w:marRight w:val="0"/>
          <w:marTop w:val="0"/>
          <w:marBottom w:val="0"/>
          <w:divBdr>
            <w:top w:val="none" w:sz="0" w:space="0" w:color="auto"/>
            <w:left w:val="none" w:sz="0" w:space="0" w:color="auto"/>
            <w:bottom w:val="none" w:sz="0" w:space="0" w:color="auto"/>
            <w:right w:val="none" w:sz="0" w:space="0" w:color="auto"/>
          </w:divBdr>
        </w:div>
        <w:div w:id="414522311">
          <w:marLeft w:val="0"/>
          <w:marRight w:val="0"/>
          <w:marTop w:val="0"/>
          <w:marBottom w:val="0"/>
          <w:divBdr>
            <w:top w:val="none" w:sz="0" w:space="0" w:color="auto"/>
            <w:left w:val="none" w:sz="0" w:space="0" w:color="auto"/>
            <w:bottom w:val="none" w:sz="0" w:space="0" w:color="auto"/>
            <w:right w:val="none" w:sz="0" w:space="0" w:color="auto"/>
          </w:divBdr>
        </w:div>
        <w:div w:id="660039271">
          <w:marLeft w:val="0"/>
          <w:marRight w:val="0"/>
          <w:marTop w:val="0"/>
          <w:marBottom w:val="0"/>
          <w:divBdr>
            <w:top w:val="none" w:sz="0" w:space="0" w:color="auto"/>
            <w:left w:val="none" w:sz="0" w:space="0" w:color="auto"/>
            <w:bottom w:val="none" w:sz="0" w:space="0" w:color="auto"/>
            <w:right w:val="none" w:sz="0" w:space="0" w:color="auto"/>
          </w:divBdr>
        </w:div>
        <w:div w:id="340552724">
          <w:marLeft w:val="0"/>
          <w:marRight w:val="0"/>
          <w:marTop w:val="0"/>
          <w:marBottom w:val="0"/>
          <w:divBdr>
            <w:top w:val="none" w:sz="0" w:space="0" w:color="auto"/>
            <w:left w:val="none" w:sz="0" w:space="0" w:color="auto"/>
            <w:bottom w:val="none" w:sz="0" w:space="0" w:color="auto"/>
            <w:right w:val="none" w:sz="0" w:space="0" w:color="auto"/>
          </w:divBdr>
        </w:div>
        <w:div w:id="1761757180">
          <w:marLeft w:val="0"/>
          <w:marRight w:val="0"/>
          <w:marTop w:val="0"/>
          <w:marBottom w:val="0"/>
          <w:divBdr>
            <w:top w:val="none" w:sz="0" w:space="0" w:color="auto"/>
            <w:left w:val="none" w:sz="0" w:space="0" w:color="auto"/>
            <w:bottom w:val="none" w:sz="0" w:space="0" w:color="auto"/>
            <w:right w:val="none" w:sz="0" w:space="0" w:color="auto"/>
          </w:divBdr>
        </w:div>
        <w:div w:id="817916152">
          <w:marLeft w:val="0"/>
          <w:marRight w:val="0"/>
          <w:marTop w:val="0"/>
          <w:marBottom w:val="0"/>
          <w:divBdr>
            <w:top w:val="none" w:sz="0" w:space="0" w:color="auto"/>
            <w:left w:val="none" w:sz="0" w:space="0" w:color="auto"/>
            <w:bottom w:val="none" w:sz="0" w:space="0" w:color="auto"/>
            <w:right w:val="none" w:sz="0" w:space="0" w:color="auto"/>
          </w:divBdr>
        </w:div>
        <w:div w:id="286859792">
          <w:marLeft w:val="0"/>
          <w:marRight w:val="0"/>
          <w:marTop w:val="0"/>
          <w:marBottom w:val="0"/>
          <w:divBdr>
            <w:top w:val="none" w:sz="0" w:space="0" w:color="auto"/>
            <w:left w:val="none" w:sz="0" w:space="0" w:color="auto"/>
            <w:bottom w:val="none" w:sz="0" w:space="0" w:color="auto"/>
            <w:right w:val="none" w:sz="0" w:space="0" w:color="auto"/>
          </w:divBdr>
        </w:div>
        <w:div w:id="1086220355">
          <w:marLeft w:val="0"/>
          <w:marRight w:val="0"/>
          <w:marTop w:val="0"/>
          <w:marBottom w:val="0"/>
          <w:divBdr>
            <w:top w:val="none" w:sz="0" w:space="0" w:color="auto"/>
            <w:left w:val="none" w:sz="0" w:space="0" w:color="auto"/>
            <w:bottom w:val="none" w:sz="0" w:space="0" w:color="auto"/>
            <w:right w:val="none" w:sz="0" w:space="0" w:color="auto"/>
          </w:divBdr>
        </w:div>
        <w:div w:id="209195063">
          <w:marLeft w:val="0"/>
          <w:marRight w:val="0"/>
          <w:marTop w:val="0"/>
          <w:marBottom w:val="0"/>
          <w:divBdr>
            <w:top w:val="none" w:sz="0" w:space="0" w:color="auto"/>
            <w:left w:val="none" w:sz="0" w:space="0" w:color="auto"/>
            <w:bottom w:val="none" w:sz="0" w:space="0" w:color="auto"/>
            <w:right w:val="none" w:sz="0" w:space="0" w:color="auto"/>
          </w:divBdr>
        </w:div>
        <w:div w:id="294995879">
          <w:marLeft w:val="0"/>
          <w:marRight w:val="0"/>
          <w:marTop w:val="0"/>
          <w:marBottom w:val="0"/>
          <w:divBdr>
            <w:top w:val="none" w:sz="0" w:space="0" w:color="auto"/>
            <w:left w:val="none" w:sz="0" w:space="0" w:color="auto"/>
            <w:bottom w:val="none" w:sz="0" w:space="0" w:color="auto"/>
            <w:right w:val="none" w:sz="0" w:space="0" w:color="auto"/>
          </w:divBdr>
        </w:div>
        <w:div w:id="1619220604">
          <w:marLeft w:val="0"/>
          <w:marRight w:val="0"/>
          <w:marTop w:val="0"/>
          <w:marBottom w:val="0"/>
          <w:divBdr>
            <w:top w:val="none" w:sz="0" w:space="0" w:color="auto"/>
            <w:left w:val="none" w:sz="0" w:space="0" w:color="auto"/>
            <w:bottom w:val="none" w:sz="0" w:space="0" w:color="auto"/>
            <w:right w:val="none" w:sz="0" w:space="0" w:color="auto"/>
          </w:divBdr>
        </w:div>
        <w:div w:id="853418463">
          <w:marLeft w:val="0"/>
          <w:marRight w:val="0"/>
          <w:marTop w:val="0"/>
          <w:marBottom w:val="0"/>
          <w:divBdr>
            <w:top w:val="none" w:sz="0" w:space="0" w:color="auto"/>
            <w:left w:val="none" w:sz="0" w:space="0" w:color="auto"/>
            <w:bottom w:val="none" w:sz="0" w:space="0" w:color="auto"/>
            <w:right w:val="none" w:sz="0" w:space="0" w:color="auto"/>
          </w:divBdr>
        </w:div>
        <w:div w:id="1768430384">
          <w:marLeft w:val="0"/>
          <w:marRight w:val="0"/>
          <w:marTop w:val="0"/>
          <w:marBottom w:val="0"/>
          <w:divBdr>
            <w:top w:val="none" w:sz="0" w:space="0" w:color="auto"/>
            <w:left w:val="none" w:sz="0" w:space="0" w:color="auto"/>
            <w:bottom w:val="none" w:sz="0" w:space="0" w:color="auto"/>
            <w:right w:val="none" w:sz="0" w:space="0" w:color="auto"/>
          </w:divBdr>
        </w:div>
        <w:div w:id="432019482">
          <w:marLeft w:val="0"/>
          <w:marRight w:val="0"/>
          <w:marTop w:val="0"/>
          <w:marBottom w:val="0"/>
          <w:divBdr>
            <w:top w:val="none" w:sz="0" w:space="0" w:color="auto"/>
            <w:left w:val="none" w:sz="0" w:space="0" w:color="auto"/>
            <w:bottom w:val="none" w:sz="0" w:space="0" w:color="auto"/>
            <w:right w:val="none" w:sz="0" w:space="0" w:color="auto"/>
          </w:divBdr>
        </w:div>
        <w:div w:id="955908582">
          <w:marLeft w:val="0"/>
          <w:marRight w:val="0"/>
          <w:marTop w:val="0"/>
          <w:marBottom w:val="0"/>
          <w:divBdr>
            <w:top w:val="none" w:sz="0" w:space="0" w:color="auto"/>
            <w:left w:val="none" w:sz="0" w:space="0" w:color="auto"/>
            <w:bottom w:val="none" w:sz="0" w:space="0" w:color="auto"/>
            <w:right w:val="none" w:sz="0" w:space="0" w:color="auto"/>
          </w:divBdr>
        </w:div>
        <w:div w:id="1781947225">
          <w:marLeft w:val="0"/>
          <w:marRight w:val="0"/>
          <w:marTop w:val="0"/>
          <w:marBottom w:val="0"/>
          <w:divBdr>
            <w:top w:val="none" w:sz="0" w:space="0" w:color="auto"/>
            <w:left w:val="none" w:sz="0" w:space="0" w:color="auto"/>
            <w:bottom w:val="none" w:sz="0" w:space="0" w:color="auto"/>
            <w:right w:val="none" w:sz="0" w:space="0" w:color="auto"/>
          </w:divBdr>
        </w:div>
        <w:div w:id="2055500984">
          <w:marLeft w:val="0"/>
          <w:marRight w:val="0"/>
          <w:marTop w:val="0"/>
          <w:marBottom w:val="0"/>
          <w:divBdr>
            <w:top w:val="none" w:sz="0" w:space="0" w:color="auto"/>
            <w:left w:val="none" w:sz="0" w:space="0" w:color="auto"/>
            <w:bottom w:val="none" w:sz="0" w:space="0" w:color="auto"/>
            <w:right w:val="none" w:sz="0" w:space="0" w:color="auto"/>
          </w:divBdr>
        </w:div>
        <w:div w:id="1336111153">
          <w:marLeft w:val="0"/>
          <w:marRight w:val="0"/>
          <w:marTop w:val="0"/>
          <w:marBottom w:val="0"/>
          <w:divBdr>
            <w:top w:val="none" w:sz="0" w:space="0" w:color="auto"/>
            <w:left w:val="none" w:sz="0" w:space="0" w:color="auto"/>
            <w:bottom w:val="none" w:sz="0" w:space="0" w:color="auto"/>
            <w:right w:val="none" w:sz="0" w:space="0" w:color="auto"/>
          </w:divBdr>
        </w:div>
        <w:div w:id="814638405">
          <w:marLeft w:val="0"/>
          <w:marRight w:val="0"/>
          <w:marTop w:val="0"/>
          <w:marBottom w:val="0"/>
          <w:divBdr>
            <w:top w:val="none" w:sz="0" w:space="0" w:color="auto"/>
            <w:left w:val="none" w:sz="0" w:space="0" w:color="auto"/>
            <w:bottom w:val="none" w:sz="0" w:space="0" w:color="auto"/>
            <w:right w:val="none" w:sz="0" w:space="0" w:color="auto"/>
          </w:divBdr>
        </w:div>
        <w:div w:id="980353501">
          <w:marLeft w:val="0"/>
          <w:marRight w:val="0"/>
          <w:marTop w:val="0"/>
          <w:marBottom w:val="0"/>
          <w:divBdr>
            <w:top w:val="none" w:sz="0" w:space="0" w:color="auto"/>
            <w:left w:val="none" w:sz="0" w:space="0" w:color="auto"/>
            <w:bottom w:val="none" w:sz="0" w:space="0" w:color="auto"/>
            <w:right w:val="none" w:sz="0" w:space="0" w:color="auto"/>
          </w:divBdr>
        </w:div>
        <w:div w:id="2039701760">
          <w:marLeft w:val="0"/>
          <w:marRight w:val="0"/>
          <w:marTop w:val="0"/>
          <w:marBottom w:val="0"/>
          <w:divBdr>
            <w:top w:val="none" w:sz="0" w:space="0" w:color="auto"/>
            <w:left w:val="none" w:sz="0" w:space="0" w:color="auto"/>
            <w:bottom w:val="none" w:sz="0" w:space="0" w:color="auto"/>
            <w:right w:val="none" w:sz="0" w:space="0" w:color="auto"/>
          </w:divBdr>
        </w:div>
        <w:div w:id="1433742349">
          <w:marLeft w:val="0"/>
          <w:marRight w:val="0"/>
          <w:marTop w:val="0"/>
          <w:marBottom w:val="0"/>
          <w:divBdr>
            <w:top w:val="none" w:sz="0" w:space="0" w:color="auto"/>
            <w:left w:val="none" w:sz="0" w:space="0" w:color="auto"/>
            <w:bottom w:val="none" w:sz="0" w:space="0" w:color="auto"/>
            <w:right w:val="none" w:sz="0" w:space="0" w:color="auto"/>
          </w:divBdr>
        </w:div>
        <w:div w:id="1923251066">
          <w:marLeft w:val="0"/>
          <w:marRight w:val="0"/>
          <w:marTop w:val="0"/>
          <w:marBottom w:val="0"/>
          <w:divBdr>
            <w:top w:val="none" w:sz="0" w:space="0" w:color="auto"/>
            <w:left w:val="none" w:sz="0" w:space="0" w:color="auto"/>
            <w:bottom w:val="none" w:sz="0" w:space="0" w:color="auto"/>
            <w:right w:val="none" w:sz="0" w:space="0" w:color="auto"/>
          </w:divBdr>
        </w:div>
        <w:div w:id="642004082">
          <w:marLeft w:val="0"/>
          <w:marRight w:val="0"/>
          <w:marTop w:val="0"/>
          <w:marBottom w:val="0"/>
          <w:divBdr>
            <w:top w:val="none" w:sz="0" w:space="0" w:color="auto"/>
            <w:left w:val="none" w:sz="0" w:space="0" w:color="auto"/>
            <w:bottom w:val="none" w:sz="0" w:space="0" w:color="auto"/>
            <w:right w:val="none" w:sz="0" w:space="0" w:color="auto"/>
          </w:divBdr>
        </w:div>
        <w:div w:id="290671734">
          <w:marLeft w:val="0"/>
          <w:marRight w:val="0"/>
          <w:marTop w:val="0"/>
          <w:marBottom w:val="0"/>
          <w:divBdr>
            <w:top w:val="none" w:sz="0" w:space="0" w:color="auto"/>
            <w:left w:val="none" w:sz="0" w:space="0" w:color="auto"/>
            <w:bottom w:val="none" w:sz="0" w:space="0" w:color="auto"/>
            <w:right w:val="none" w:sz="0" w:space="0" w:color="auto"/>
          </w:divBdr>
        </w:div>
        <w:div w:id="2048725017">
          <w:marLeft w:val="0"/>
          <w:marRight w:val="0"/>
          <w:marTop w:val="0"/>
          <w:marBottom w:val="0"/>
          <w:divBdr>
            <w:top w:val="none" w:sz="0" w:space="0" w:color="auto"/>
            <w:left w:val="none" w:sz="0" w:space="0" w:color="auto"/>
            <w:bottom w:val="none" w:sz="0" w:space="0" w:color="auto"/>
            <w:right w:val="none" w:sz="0" w:space="0" w:color="auto"/>
          </w:divBdr>
        </w:div>
        <w:div w:id="539363270">
          <w:marLeft w:val="0"/>
          <w:marRight w:val="0"/>
          <w:marTop w:val="0"/>
          <w:marBottom w:val="0"/>
          <w:divBdr>
            <w:top w:val="none" w:sz="0" w:space="0" w:color="auto"/>
            <w:left w:val="none" w:sz="0" w:space="0" w:color="auto"/>
            <w:bottom w:val="none" w:sz="0" w:space="0" w:color="auto"/>
            <w:right w:val="none" w:sz="0" w:space="0" w:color="auto"/>
          </w:divBdr>
        </w:div>
        <w:div w:id="1083138915">
          <w:marLeft w:val="0"/>
          <w:marRight w:val="0"/>
          <w:marTop w:val="0"/>
          <w:marBottom w:val="0"/>
          <w:divBdr>
            <w:top w:val="none" w:sz="0" w:space="0" w:color="auto"/>
            <w:left w:val="none" w:sz="0" w:space="0" w:color="auto"/>
            <w:bottom w:val="none" w:sz="0" w:space="0" w:color="auto"/>
            <w:right w:val="none" w:sz="0" w:space="0" w:color="auto"/>
          </w:divBdr>
        </w:div>
        <w:div w:id="943421692">
          <w:marLeft w:val="0"/>
          <w:marRight w:val="0"/>
          <w:marTop w:val="0"/>
          <w:marBottom w:val="0"/>
          <w:divBdr>
            <w:top w:val="none" w:sz="0" w:space="0" w:color="auto"/>
            <w:left w:val="none" w:sz="0" w:space="0" w:color="auto"/>
            <w:bottom w:val="none" w:sz="0" w:space="0" w:color="auto"/>
            <w:right w:val="none" w:sz="0" w:space="0" w:color="auto"/>
          </w:divBdr>
        </w:div>
        <w:div w:id="364063365">
          <w:marLeft w:val="0"/>
          <w:marRight w:val="0"/>
          <w:marTop w:val="0"/>
          <w:marBottom w:val="0"/>
          <w:divBdr>
            <w:top w:val="none" w:sz="0" w:space="0" w:color="auto"/>
            <w:left w:val="none" w:sz="0" w:space="0" w:color="auto"/>
            <w:bottom w:val="none" w:sz="0" w:space="0" w:color="auto"/>
            <w:right w:val="none" w:sz="0" w:space="0" w:color="auto"/>
          </w:divBdr>
        </w:div>
        <w:div w:id="864486931">
          <w:marLeft w:val="0"/>
          <w:marRight w:val="0"/>
          <w:marTop w:val="0"/>
          <w:marBottom w:val="0"/>
          <w:divBdr>
            <w:top w:val="none" w:sz="0" w:space="0" w:color="auto"/>
            <w:left w:val="none" w:sz="0" w:space="0" w:color="auto"/>
            <w:bottom w:val="none" w:sz="0" w:space="0" w:color="auto"/>
            <w:right w:val="none" w:sz="0" w:space="0" w:color="auto"/>
          </w:divBdr>
        </w:div>
        <w:div w:id="340208526">
          <w:marLeft w:val="0"/>
          <w:marRight w:val="0"/>
          <w:marTop w:val="0"/>
          <w:marBottom w:val="0"/>
          <w:divBdr>
            <w:top w:val="none" w:sz="0" w:space="0" w:color="auto"/>
            <w:left w:val="none" w:sz="0" w:space="0" w:color="auto"/>
            <w:bottom w:val="none" w:sz="0" w:space="0" w:color="auto"/>
            <w:right w:val="none" w:sz="0" w:space="0" w:color="auto"/>
          </w:divBdr>
        </w:div>
        <w:div w:id="1766804440">
          <w:marLeft w:val="0"/>
          <w:marRight w:val="0"/>
          <w:marTop w:val="0"/>
          <w:marBottom w:val="0"/>
          <w:divBdr>
            <w:top w:val="none" w:sz="0" w:space="0" w:color="auto"/>
            <w:left w:val="none" w:sz="0" w:space="0" w:color="auto"/>
            <w:bottom w:val="none" w:sz="0" w:space="0" w:color="auto"/>
            <w:right w:val="none" w:sz="0" w:space="0" w:color="auto"/>
          </w:divBdr>
        </w:div>
        <w:div w:id="1172140545">
          <w:marLeft w:val="0"/>
          <w:marRight w:val="0"/>
          <w:marTop w:val="0"/>
          <w:marBottom w:val="0"/>
          <w:divBdr>
            <w:top w:val="none" w:sz="0" w:space="0" w:color="auto"/>
            <w:left w:val="none" w:sz="0" w:space="0" w:color="auto"/>
            <w:bottom w:val="none" w:sz="0" w:space="0" w:color="auto"/>
            <w:right w:val="none" w:sz="0" w:space="0" w:color="auto"/>
          </w:divBdr>
        </w:div>
        <w:div w:id="859053578">
          <w:marLeft w:val="0"/>
          <w:marRight w:val="0"/>
          <w:marTop w:val="0"/>
          <w:marBottom w:val="0"/>
          <w:divBdr>
            <w:top w:val="none" w:sz="0" w:space="0" w:color="auto"/>
            <w:left w:val="none" w:sz="0" w:space="0" w:color="auto"/>
            <w:bottom w:val="none" w:sz="0" w:space="0" w:color="auto"/>
            <w:right w:val="none" w:sz="0" w:space="0" w:color="auto"/>
          </w:divBdr>
        </w:div>
        <w:div w:id="2090878958">
          <w:marLeft w:val="0"/>
          <w:marRight w:val="0"/>
          <w:marTop w:val="0"/>
          <w:marBottom w:val="0"/>
          <w:divBdr>
            <w:top w:val="none" w:sz="0" w:space="0" w:color="auto"/>
            <w:left w:val="none" w:sz="0" w:space="0" w:color="auto"/>
            <w:bottom w:val="none" w:sz="0" w:space="0" w:color="auto"/>
            <w:right w:val="none" w:sz="0" w:space="0" w:color="auto"/>
          </w:divBdr>
        </w:div>
        <w:div w:id="311375449">
          <w:marLeft w:val="0"/>
          <w:marRight w:val="0"/>
          <w:marTop w:val="0"/>
          <w:marBottom w:val="0"/>
          <w:divBdr>
            <w:top w:val="none" w:sz="0" w:space="0" w:color="auto"/>
            <w:left w:val="none" w:sz="0" w:space="0" w:color="auto"/>
            <w:bottom w:val="none" w:sz="0" w:space="0" w:color="auto"/>
            <w:right w:val="none" w:sz="0" w:space="0" w:color="auto"/>
          </w:divBdr>
        </w:div>
        <w:div w:id="323053376">
          <w:marLeft w:val="0"/>
          <w:marRight w:val="0"/>
          <w:marTop w:val="0"/>
          <w:marBottom w:val="0"/>
          <w:divBdr>
            <w:top w:val="none" w:sz="0" w:space="0" w:color="auto"/>
            <w:left w:val="none" w:sz="0" w:space="0" w:color="auto"/>
            <w:bottom w:val="none" w:sz="0" w:space="0" w:color="auto"/>
            <w:right w:val="none" w:sz="0" w:space="0" w:color="auto"/>
          </w:divBdr>
        </w:div>
        <w:div w:id="890849388">
          <w:marLeft w:val="0"/>
          <w:marRight w:val="0"/>
          <w:marTop w:val="0"/>
          <w:marBottom w:val="0"/>
          <w:divBdr>
            <w:top w:val="none" w:sz="0" w:space="0" w:color="auto"/>
            <w:left w:val="none" w:sz="0" w:space="0" w:color="auto"/>
            <w:bottom w:val="none" w:sz="0" w:space="0" w:color="auto"/>
            <w:right w:val="none" w:sz="0" w:space="0" w:color="auto"/>
          </w:divBdr>
        </w:div>
        <w:div w:id="1796215945">
          <w:marLeft w:val="0"/>
          <w:marRight w:val="0"/>
          <w:marTop w:val="0"/>
          <w:marBottom w:val="0"/>
          <w:divBdr>
            <w:top w:val="none" w:sz="0" w:space="0" w:color="auto"/>
            <w:left w:val="none" w:sz="0" w:space="0" w:color="auto"/>
            <w:bottom w:val="none" w:sz="0" w:space="0" w:color="auto"/>
            <w:right w:val="none" w:sz="0" w:space="0" w:color="auto"/>
          </w:divBdr>
        </w:div>
        <w:div w:id="1312171614">
          <w:marLeft w:val="0"/>
          <w:marRight w:val="0"/>
          <w:marTop w:val="0"/>
          <w:marBottom w:val="0"/>
          <w:divBdr>
            <w:top w:val="none" w:sz="0" w:space="0" w:color="auto"/>
            <w:left w:val="none" w:sz="0" w:space="0" w:color="auto"/>
            <w:bottom w:val="none" w:sz="0" w:space="0" w:color="auto"/>
            <w:right w:val="none" w:sz="0" w:space="0" w:color="auto"/>
          </w:divBdr>
        </w:div>
        <w:div w:id="1842550495">
          <w:marLeft w:val="0"/>
          <w:marRight w:val="0"/>
          <w:marTop w:val="0"/>
          <w:marBottom w:val="0"/>
          <w:divBdr>
            <w:top w:val="none" w:sz="0" w:space="0" w:color="auto"/>
            <w:left w:val="none" w:sz="0" w:space="0" w:color="auto"/>
            <w:bottom w:val="none" w:sz="0" w:space="0" w:color="auto"/>
            <w:right w:val="none" w:sz="0" w:space="0" w:color="auto"/>
          </w:divBdr>
        </w:div>
        <w:div w:id="83066190">
          <w:marLeft w:val="0"/>
          <w:marRight w:val="0"/>
          <w:marTop w:val="0"/>
          <w:marBottom w:val="0"/>
          <w:divBdr>
            <w:top w:val="none" w:sz="0" w:space="0" w:color="auto"/>
            <w:left w:val="none" w:sz="0" w:space="0" w:color="auto"/>
            <w:bottom w:val="none" w:sz="0" w:space="0" w:color="auto"/>
            <w:right w:val="none" w:sz="0" w:space="0" w:color="auto"/>
          </w:divBdr>
        </w:div>
        <w:div w:id="1286232659">
          <w:marLeft w:val="0"/>
          <w:marRight w:val="0"/>
          <w:marTop w:val="0"/>
          <w:marBottom w:val="0"/>
          <w:divBdr>
            <w:top w:val="none" w:sz="0" w:space="0" w:color="auto"/>
            <w:left w:val="none" w:sz="0" w:space="0" w:color="auto"/>
            <w:bottom w:val="none" w:sz="0" w:space="0" w:color="auto"/>
            <w:right w:val="none" w:sz="0" w:space="0" w:color="auto"/>
          </w:divBdr>
        </w:div>
        <w:div w:id="1306354102">
          <w:marLeft w:val="0"/>
          <w:marRight w:val="0"/>
          <w:marTop w:val="0"/>
          <w:marBottom w:val="0"/>
          <w:divBdr>
            <w:top w:val="none" w:sz="0" w:space="0" w:color="auto"/>
            <w:left w:val="none" w:sz="0" w:space="0" w:color="auto"/>
            <w:bottom w:val="none" w:sz="0" w:space="0" w:color="auto"/>
            <w:right w:val="none" w:sz="0" w:space="0" w:color="auto"/>
          </w:divBdr>
        </w:div>
        <w:div w:id="497384280">
          <w:marLeft w:val="0"/>
          <w:marRight w:val="0"/>
          <w:marTop w:val="0"/>
          <w:marBottom w:val="0"/>
          <w:divBdr>
            <w:top w:val="none" w:sz="0" w:space="0" w:color="auto"/>
            <w:left w:val="none" w:sz="0" w:space="0" w:color="auto"/>
            <w:bottom w:val="none" w:sz="0" w:space="0" w:color="auto"/>
            <w:right w:val="none" w:sz="0" w:space="0" w:color="auto"/>
          </w:divBdr>
        </w:div>
        <w:div w:id="28771991">
          <w:marLeft w:val="0"/>
          <w:marRight w:val="0"/>
          <w:marTop w:val="0"/>
          <w:marBottom w:val="0"/>
          <w:divBdr>
            <w:top w:val="none" w:sz="0" w:space="0" w:color="auto"/>
            <w:left w:val="none" w:sz="0" w:space="0" w:color="auto"/>
            <w:bottom w:val="none" w:sz="0" w:space="0" w:color="auto"/>
            <w:right w:val="none" w:sz="0" w:space="0" w:color="auto"/>
          </w:divBdr>
        </w:div>
        <w:div w:id="1290747904">
          <w:marLeft w:val="0"/>
          <w:marRight w:val="0"/>
          <w:marTop w:val="0"/>
          <w:marBottom w:val="0"/>
          <w:divBdr>
            <w:top w:val="none" w:sz="0" w:space="0" w:color="auto"/>
            <w:left w:val="none" w:sz="0" w:space="0" w:color="auto"/>
            <w:bottom w:val="none" w:sz="0" w:space="0" w:color="auto"/>
            <w:right w:val="none" w:sz="0" w:space="0" w:color="auto"/>
          </w:divBdr>
        </w:div>
        <w:div w:id="1533881681">
          <w:marLeft w:val="0"/>
          <w:marRight w:val="0"/>
          <w:marTop w:val="0"/>
          <w:marBottom w:val="0"/>
          <w:divBdr>
            <w:top w:val="none" w:sz="0" w:space="0" w:color="auto"/>
            <w:left w:val="none" w:sz="0" w:space="0" w:color="auto"/>
            <w:bottom w:val="none" w:sz="0" w:space="0" w:color="auto"/>
            <w:right w:val="none" w:sz="0" w:space="0" w:color="auto"/>
          </w:divBdr>
        </w:div>
        <w:div w:id="144595082">
          <w:marLeft w:val="0"/>
          <w:marRight w:val="0"/>
          <w:marTop w:val="0"/>
          <w:marBottom w:val="0"/>
          <w:divBdr>
            <w:top w:val="none" w:sz="0" w:space="0" w:color="auto"/>
            <w:left w:val="none" w:sz="0" w:space="0" w:color="auto"/>
            <w:bottom w:val="none" w:sz="0" w:space="0" w:color="auto"/>
            <w:right w:val="none" w:sz="0" w:space="0" w:color="auto"/>
          </w:divBdr>
        </w:div>
        <w:div w:id="1090617151">
          <w:marLeft w:val="0"/>
          <w:marRight w:val="0"/>
          <w:marTop w:val="0"/>
          <w:marBottom w:val="0"/>
          <w:divBdr>
            <w:top w:val="none" w:sz="0" w:space="0" w:color="auto"/>
            <w:left w:val="none" w:sz="0" w:space="0" w:color="auto"/>
            <w:bottom w:val="none" w:sz="0" w:space="0" w:color="auto"/>
            <w:right w:val="none" w:sz="0" w:space="0" w:color="auto"/>
          </w:divBdr>
        </w:div>
        <w:div w:id="1290358210">
          <w:marLeft w:val="0"/>
          <w:marRight w:val="0"/>
          <w:marTop w:val="0"/>
          <w:marBottom w:val="0"/>
          <w:divBdr>
            <w:top w:val="none" w:sz="0" w:space="0" w:color="auto"/>
            <w:left w:val="none" w:sz="0" w:space="0" w:color="auto"/>
            <w:bottom w:val="none" w:sz="0" w:space="0" w:color="auto"/>
            <w:right w:val="none" w:sz="0" w:space="0" w:color="auto"/>
          </w:divBdr>
        </w:div>
        <w:div w:id="690569824">
          <w:marLeft w:val="0"/>
          <w:marRight w:val="0"/>
          <w:marTop w:val="0"/>
          <w:marBottom w:val="0"/>
          <w:divBdr>
            <w:top w:val="none" w:sz="0" w:space="0" w:color="auto"/>
            <w:left w:val="none" w:sz="0" w:space="0" w:color="auto"/>
            <w:bottom w:val="none" w:sz="0" w:space="0" w:color="auto"/>
            <w:right w:val="none" w:sz="0" w:space="0" w:color="auto"/>
          </w:divBdr>
        </w:div>
        <w:div w:id="2071801315">
          <w:marLeft w:val="0"/>
          <w:marRight w:val="0"/>
          <w:marTop w:val="0"/>
          <w:marBottom w:val="0"/>
          <w:divBdr>
            <w:top w:val="none" w:sz="0" w:space="0" w:color="auto"/>
            <w:left w:val="none" w:sz="0" w:space="0" w:color="auto"/>
            <w:bottom w:val="none" w:sz="0" w:space="0" w:color="auto"/>
            <w:right w:val="none" w:sz="0" w:space="0" w:color="auto"/>
          </w:divBdr>
        </w:div>
        <w:div w:id="1739591184">
          <w:marLeft w:val="0"/>
          <w:marRight w:val="0"/>
          <w:marTop w:val="0"/>
          <w:marBottom w:val="0"/>
          <w:divBdr>
            <w:top w:val="none" w:sz="0" w:space="0" w:color="auto"/>
            <w:left w:val="none" w:sz="0" w:space="0" w:color="auto"/>
            <w:bottom w:val="none" w:sz="0" w:space="0" w:color="auto"/>
            <w:right w:val="none" w:sz="0" w:space="0" w:color="auto"/>
          </w:divBdr>
        </w:div>
        <w:div w:id="317734875">
          <w:marLeft w:val="0"/>
          <w:marRight w:val="0"/>
          <w:marTop w:val="0"/>
          <w:marBottom w:val="0"/>
          <w:divBdr>
            <w:top w:val="none" w:sz="0" w:space="0" w:color="auto"/>
            <w:left w:val="none" w:sz="0" w:space="0" w:color="auto"/>
            <w:bottom w:val="none" w:sz="0" w:space="0" w:color="auto"/>
            <w:right w:val="none" w:sz="0" w:space="0" w:color="auto"/>
          </w:divBdr>
        </w:div>
        <w:div w:id="1262030186">
          <w:marLeft w:val="0"/>
          <w:marRight w:val="0"/>
          <w:marTop w:val="0"/>
          <w:marBottom w:val="0"/>
          <w:divBdr>
            <w:top w:val="none" w:sz="0" w:space="0" w:color="auto"/>
            <w:left w:val="none" w:sz="0" w:space="0" w:color="auto"/>
            <w:bottom w:val="none" w:sz="0" w:space="0" w:color="auto"/>
            <w:right w:val="none" w:sz="0" w:space="0" w:color="auto"/>
          </w:divBdr>
        </w:div>
        <w:div w:id="964505543">
          <w:marLeft w:val="0"/>
          <w:marRight w:val="0"/>
          <w:marTop w:val="0"/>
          <w:marBottom w:val="0"/>
          <w:divBdr>
            <w:top w:val="none" w:sz="0" w:space="0" w:color="auto"/>
            <w:left w:val="none" w:sz="0" w:space="0" w:color="auto"/>
            <w:bottom w:val="none" w:sz="0" w:space="0" w:color="auto"/>
            <w:right w:val="none" w:sz="0" w:space="0" w:color="auto"/>
          </w:divBdr>
        </w:div>
        <w:div w:id="155347636">
          <w:marLeft w:val="0"/>
          <w:marRight w:val="0"/>
          <w:marTop w:val="0"/>
          <w:marBottom w:val="0"/>
          <w:divBdr>
            <w:top w:val="none" w:sz="0" w:space="0" w:color="auto"/>
            <w:left w:val="none" w:sz="0" w:space="0" w:color="auto"/>
            <w:bottom w:val="none" w:sz="0" w:space="0" w:color="auto"/>
            <w:right w:val="none" w:sz="0" w:space="0" w:color="auto"/>
          </w:divBdr>
        </w:div>
        <w:div w:id="795754111">
          <w:marLeft w:val="0"/>
          <w:marRight w:val="0"/>
          <w:marTop w:val="0"/>
          <w:marBottom w:val="0"/>
          <w:divBdr>
            <w:top w:val="none" w:sz="0" w:space="0" w:color="auto"/>
            <w:left w:val="none" w:sz="0" w:space="0" w:color="auto"/>
            <w:bottom w:val="none" w:sz="0" w:space="0" w:color="auto"/>
            <w:right w:val="none" w:sz="0" w:space="0" w:color="auto"/>
          </w:divBdr>
        </w:div>
        <w:div w:id="529610614">
          <w:marLeft w:val="0"/>
          <w:marRight w:val="0"/>
          <w:marTop w:val="0"/>
          <w:marBottom w:val="0"/>
          <w:divBdr>
            <w:top w:val="none" w:sz="0" w:space="0" w:color="auto"/>
            <w:left w:val="none" w:sz="0" w:space="0" w:color="auto"/>
            <w:bottom w:val="none" w:sz="0" w:space="0" w:color="auto"/>
            <w:right w:val="none" w:sz="0" w:space="0" w:color="auto"/>
          </w:divBdr>
        </w:div>
        <w:div w:id="1385643807">
          <w:marLeft w:val="0"/>
          <w:marRight w:val="0"/>
          <w:marTop w:val="0"/>
          <w:marBottom w:val="0"/>
          <w:divBdr>
            <w:top w:val="none" w:sz="0" w:space="0" w:color="auto"/>
            <w:left w:val="none" w:sz="0" w:space="0" w:color="auto"/>
            <w:bottom w:val="none" w:sz="0" w:space="0" w:color="auto"/>
            <w:right w:val="none" w:sz="0" w:space="0" w:color="auto"/>
          </w:divBdr>
        </w:div>
        <w:div w:id="467015047">
          <w:marLeft w:val="0"/>
          <w:marRight w:val="0"/>
          <w:marTop w:val="0"/>
          <w:marBottom w:val="0"/>
          <w:divBdr>
            <w:top w:val="none" w:sz="0" w:space="0" w:color="auto"/>
            <w:left w:val="none" w:sz="0" w:space="0" w:color="auto"/>
            <w:bottom w:val="none" w:sz="0" w:space="0" w:color="auto"/>
            <w:right w:val="none" w:sz="0" w:space="0" w:color="auto"/>
          </w:divBdr>
        </w:div>
        <w:div w:id="1682707682">
          <w:marLeft w:val="0"/>
          <w:marRight w:val="0"/>
          <w:marTop w:val="0"/>
          <w:marBottom w:val="0"/>
          <w:divBdr>
            <w:top w:val="none" w:sz="0" w:space="0" w:color="auto"/>
            <w:left w:val="none" w:sz="0" w:space="0" w:color="auto"/>
            <w:bottom w:val="none" w:sz="0" w:space="0" w:color="auto"/>
            <w:right w:val="none" w:sz="0" w:space="0" w:color="auto"/>
          </w:divBdr>
        </w:div>
        <w:div w:id="622422202">
          <w:marLeft w:val="0"/>
          <w:marRight w:val="0"/>
          <w:marTop w:val="0"/>
          <w:marBottom w:val="0"/>
          <w:divBdr>
            <w:top w:val="none" w:sz="0" w:space="0" w:color="auto"/>
            <w:left w:val="none" w:sz="0" w:space="0" w:color="auto"/>
            <w:bottom w:val="none" w:sz="0" w:space="0" w:color="auto"/>
            <w:right w:val="none" w:sz="0" w:space="0" w:color="auto"/>
          </w:divBdr>
        </w:div>
        <w:div w:id="1092317329">
          <w:marLeft w:val="0"/>
          <w:marRight w:val="0"/>
          <w:marTop w:val="0"/>
          <w:marBottom w:val="0"/>
          <w:divBdr>
            <w:top w:val="none" w:sz="0" w:space="0" w:color="auto"/>
            <w:left w:val="none" w:sz="0" w:space="0" w:color="auto"/>
            <w:bottom w:val="none" w:sz="0" w:space="0" w:color="auto"/>
            <w:right w:val="none" w:sz="0" w:space="0" w:color="auto"/>
          </w:divBdr>
        </w:div>
        <w:div w:id="120273523">
          <w:marLeft w:val="0"/>
          <w:marRight w:val="0"/>
          <w:marTop w:val="0"/>
          <w:marBottom w:val="0"/>
          <w:divBdr>
            <w:top w:val="none" w:sz="0" w:space="0" w:color="auto"/>
            <w:left w:val="none" w:sz="0" w:space="0" w:color="auto"/>
            <w:bottom w:val="none" w:sz="0" w:space="0" w:color="auto"/>
            <w:right w:val="none" w:sz="0" w:space="0" w:color="auto"/>
          </w:divBdr>
        </w:div>
        <w:div w:id="1537431379">
          <w:marLeft w:val="0"/>
          <w:marRight w:val="0"/>
          <w:marTop w:val="0"/>
          <w:marBottom w:val="0"/>
          <w:divBdr>
            <w:top w:val="none" w:sz="0" w:space="0" w:color="auto"/>
            <w:left w:val="none" w:sz="0" w:space="0" w:color="auto"/>
            <w:bottom w:val="none" w:sz="0" w:space="0" w:color="auto"/>
            <w:right w:val="none" w:sz="0" w:space="0" w:color="auto"/>
          </w:divBdr>
        </w:div>
        <w:div w:id="667946037">
          <w:marLeft w:val="0"/>
          <w:marRight w:val="0"/>
          <w:marTop w:val="0"/>
          <w:marBottom w:val="0"/>
          <w:divBdr>
            <w:top w:val="none" w:sz="0" w:space="0" w:color="auto"/>
            <w:left w:val="none" w:sz="0" w:space="0" w:color="auto"/>
            <w:bottom w:val="none" w:sz="0" w:space="0" w:color="auto"/>
            <w:right w:val="none" w:sz="0" w:space="0" w:color="auto"/>
          </w:divBdr>
        </w:div>
        <w:div w:id="1544826881">
          <w:marLeft w:val="0"/>
          <w:marRight w:val="0"/>
          <w:marTop w:val="0"/>
          <w:marBottom w:val="0"/>
          <w:divBdr>
            <w:top w:val="none" w:sz="0" w:space="0" w:color="auto"/>
            <w:left w:val="none" w:sz="0" w:space="0" w:color="auto"/>
            <w:bottom w:val="none" w:sz="0" w:space="0" w:color="auto"/>
            <w:right w:val="none" w:sz="0" w:space="0" w:color="auto"/>
          </w:divBdr>
        </w:div>
        <w:div w:id="975524186">
          <w:marLeft w:val="0"/>
          <w:marRight w:val="0"/>
          <w:marTop w:val="0"/>
          <w:marBottom w:val="0"/>
          <w:divBdr>
            <w:top w:val="none" w:sz="0" w:space="0" w:color="auto"/>
            <w:left w:val="none" w:sz="0" w:space="0" w:color="auto"/>
            <w:bottom w:val="none" w:sz="0" w:space="0" w:color="auto"/>
            <w:right w:val="none" w:sz="0" w:space="0" w:color="auto"/>
          </w:divBdr>
        </w:div>
        <w:div w:id="2078940975">
          <w:marLeft w:val="0"/>
          <w:marRight w:val="0"/>
          <w:marTop w:val="0"/>
          <w:marBottom w:val="0"/>
          <w:divBdr>
            <w:top w:val="none" w:sz="0" w:space="0" w:color="auto"/>
            <w:left w:val="none" w:sz="0" w:space="0" w:color="auto"/>
            <w:bottom w:val="none" w:sz="0" w:space="0" w:color="auto"/>
            <w:right w:val="none" w:sz="0" w:space="0" w:color="auto"/>
          </w:divBdr>
        </w:div>
        <w:div w:id="1537280096">
          <w:marLeft w:val="0"/>
          <w:marRight w:val="0"/>
          <w:marTop w:val="0"/>
          <w:marBottom w:val="0"/>
          <w:divBdr>
            <w:top w:val="none" w:sz="0" w:space="0" w:color="auto"/>
            <w:left w:val="none" w:sz="0" w:space="0" w:color="auto"/>
            <w:bottom w:val="none" w:sz="0" w:space="0" w:color="auto"/>
            <w:right w:val="none" w:sz="0" w:space="0" w:color="auto"/>
          </w:divBdr>
        </w:div>
        <w:div w:id="1320423892">
          <w:marLeft w:val="0"/>
          <w:marRight w:val="0"/>
          <w:marTop w:val="0"/>
          <w:marBottom w:val="0"/>
          <w:divBdr>
            <w:top w:val="none" w:sz="0" w:space="0" w:color="auto"/>
            <w:left w:val="none" w:sz="0" w:space="0" w:color="auto"/>
            <w:bottom w:val="none" w:sz="0" w:space="0" w:color="auto"/>
            <w:right w:val="none" w:sz="0" w:space="0" w:color="auto"/>
          </w:divBdr>
        </w:div>
        <w:div w:id="143931802">
          <w:marLeft w:val="0"/>
          <w:marRight w:val="0"/>
          <w:marTop w:val="0"/>
          <w:marBottom w:val="0"/>
          <w:divBdr>
            <w:top w:val="none" w:sz="0" w:space="0" w:color="auto"/>
            <w:left w:val="none" w:sz="0" w:space="0" w:color="auto"/>
            <w:bottom w:val="none" w:sz="0" w:space="0" w:color="auto"/>
            <w:right w:val="none" w:sz="0" w:space="0" w:color="auto"/>
          </w:divBdr>
        </w:div>
        <w:div w:id="1765296729">
          <w:marLeft w:val="0"/>
          <w:marRight w:val="0"/>
          <w:marTop w:val="0"/>
          <w:marBottom w:val="0"/>
          <w:divBdr>
            <w:top w:val="none" w:sz="0" w:space="0" w:color="auto"/>
            <w:left w:val="none" w:sz="0" w:space="0" w:color="auto"/>
            <w:bottom w:val="none" w:sz="0" w:space="0" w:color="auto"/>
            <w:right w:val="none" w:sz="0" w:space="0" w:color="auto"/>
          </w:divBdr>
        </w:div>
        <w:div w:id="1237713324">
          <w:marLeft w:val="0"/>
          <w:marRight w:val="0"/>
          <w:marTop w:val="0"/>
          <w:marBottom w:val="0"/>
          <w:divBdr>
            <w:top w:val="none" w:sz="0" w:space="0" w:color="auto"/>
            <w:left w:val="none" w:sz="0" w:space="0" w:color="auto"/>
            <w:bottom w:val="none" w:sz="0" w:space="0" w:color="auto"/>
            <w:right w:val="none" w:sz="0" w:space="0" w:color="auto"/>
          </w:divBdr>
        </w:div>
        <w:div w:id="660276461">
          <w:marLeft w:val="0"/>
          <w:marRight w:val="0"/>
          <w:marTop w:val="0"/>
          <w:marBottom w:val="0"/>
          <w:divBdr>
            <w:top w:val="none" w:sz="0" w:space="0" w:color="auto"/>
            <w:left w:val="none" w:sz="0" w:space="0" w:color="auto"/>
            <w:bottom w:val="none" w:sz="0" w:space="0" w:color="auto"/>
            <w:right w:val="none" w:sz="0" w:space="0" w:color="auto"/>
          </w:divBdr>
        </w:div>
        <w:div w:id="2093891636">
          <w:marLeft w:val="0"/>
          <w:marRight w:val="0"/>
          <w:marTop w:val="0"/>
          <w:marBottom w:val="0"/>
          <w:divBdr>
            <w:top w:val="none" w:sz="0" w:space="0" w:color="auto"/>
            <w:left w:val="none" w:sz="0" w:space="0" w:color="auto"/>
            <w:bottom w:val="none" w:sz="0" w:space="0" w:color="auto"/>
            <w:right w:val="none" w:sz="0" w:space="0" w:color="auto"/>
          </w:divBdr>
        </w:div>
        <w:div w:id="673456205">
          <w:marLeft w:val="0"/>
          <w:marRight w:val="0"/>
          <w:marTop w:val="0"/>
          <w:marBottom w:val="0"/>
          <w:divBdr>
            <w:top w:val="none" w:sz="0" w:space="0" w:color="auto"/>
            <w:left w:val="none" w:sz="0" w:space="0" w:color="auto"/>
            <w:bottom w:val="none" w:sz="0" w:space="0" w:color="auto"/>
            <w:right w:val="none" w:sz="0" w:space="0" w:color="auto"/>
          </w:divBdr>
        </w:div>
        <w:div w:id="1022826128">
          <w:marLeft w:val="0"/>
          <w:marRight w:val="0"/>
          <w:marTop w:val="0"/>
          <w:marBottom w:val="0"/>
          <w:divBdr>
            <w:top w:val="none" w:sz="0" w:space="0" w:color="auto"/>
            <w:left w:val="none" w:sz="0" w:space="0" w:color="auto"/>
            <w:bottom w:val="none" w:sz="0" w:space="0" w:color="auto"/>
            <w:right w:val="none" w:sz="0" w:space="0" w:color="auto"/>
          </w:divBdr>
        </w:div>
        <w:div w:id="839197807">
          <w:marLeft w:val="0"/>
          <w:marRight w:val="0"/>
          <w:marTop w:val="0"/>
          <w:marBottom w:val="0"/>
          <w:divBdr>
            <w:top w:val="none" w:sz="0" w:space="0" w:color="auto"/>
            <w:left w:val="none" w:sz="0" w:space="0" w:color="auto"/>
            <w:bottom w:val="none" w:sz="0" w:space="0" w:color="auto"/>
            <w:right w:val="none" w:sz="0" w:space="0" w:color="auto"/>
          </w:divBdr>
        </w:div>
        <w:div w:id="918757032">
          <w:marLeft w:val="0"/>
          <w:marRight w:val="0"/>
          <w:marTop w:val="0"/>
          <w:marBottom w:val="0"/>
          <w:divBdr>
            <w:top w:val="none" w:sz="0" w:space="0" w:color="auto"/>
            <w:left w:val="none" w:sz="0" w:space="0" w:color="auto"/>
            <w:bottom w:val="none" w:sz="0" w:space="0" w:color="auto"/>
            <w:right w:val="none" w:sz="0" w:space="0" w:color="auto"/>
          </w:divBdr>
        </w:div>
        <w:div w:id="808472361">
          <w:marLeft w:val="0"/>
          <w:marRight w:val="0"/>
          <w:marTop w:val="0"/>
          <w:marBottom w:val="0"/>
          <w:divBdr>
            <w:top w:val="none" w:sz="0" w:space="0" w:color="auto"/>
            <w:left w:val="none" w:sz="0" w:space="0" w:color="auto"/>
            <w:bottom w:val="none" w:sz="0" w:space="0" w:color="auto"/>
            <w:right w:val="none" w:sz="0" w:space="0" w:color="auto"/>
          </w:divBdr>
        </w:div>
        <w:div w:id="77867441">
          <w:marLeft w:val="0"/>
          <w:marRight w:val="0"/>
          <w:marTop w:val="0"/>
          <w:marBottom w:val="0"/>
          <w:divBdr>
            <w:top w:val="none" w:sz="0" w:space="0" w:color="auto"/>
            <w:left w:val="none" w:sz="0" w:space="0" w:color="auto"/>
            <w:bottom w:val="none" w:sz="0" w:space="0" w:color="auto"/>
            <w:right w:val="none" w:sz="0" w:space="0" w:color="auto"/>
          </w:divBdr>
        </w:div>
        <w:div w:id="290793276">
          <w:marLeft w:val="0"/>
          <w:marRight w:val="0"/>
          <w:marTop w:val="0"/>
          <w:marBottom w:val="0"/>
          <w:divBdr>
            <w:top w:val="none" w:sz="0" w:space="0" w:color="auto"/>
            <w:left w:val="none" w:sz="0" w:space="0" w:color="auto"/>
            <w:bottom w:val="none" w:sz="0" w:space="0" w:color="auto"/>
            <w:right w:val="none" w:sz="0" w:space="0" w:color="auto"/>
          </w:divBdr>
        </w:div>
        <w:div w:id="1007370925">
          <w:marLeft w:val="0"/>
          <w:marRight w:val="0"/>
          <w:marTop w:val="0"/>
          <w:marBottom w:val="0"/>
          <w:divBdr>
            <w:top w:val="none" w:sz="0" w:space="0" w:color="auto"/>
            <w:left w:val="none" w:sz="0" w:space="0" w:color="auto"/>
            <w:bottom w:val="none" w:sz="0" w:space="0" w:color="auto"/>
            <w:right w:val="none" w:sz="0" w:space="0" w:color="auto"/>
          </w:divBdr>
        </w:div>
        <w:div w:id="24598903">
          <w:marLeft w:val="0"/>
          <w:marRight w:val="0"/>
          <w:marTop w:val="0"/>
          <w:marBottom w:val="0"/>
          <w:divBdr>
            <w:top w:val="none" w:sz="0" w:space="0" w:color="auto"/>
            <w:left w:val="none" w:sz="0" w:space="0" w:color="auto"/>
            <w:bottom w:val="none" w:sz="0" w:space="0" w:color="auto"/>
            <w:right w:val="none" w:sz="0" w:space="0" w:color="auto"/>
          </w:divBdr>
        </w:div>
        <w:div w:id="1580745125">
          <w:marLeft w:val="0"/>
          <w:marRight w:val="0"/>
          <w:marTop w:val="0"/>
          <w:marBottom w:val="0"/>
          <w:divBdr>
            <w:top w:val="none" w:sz="0" w:space="0" w:color="auto"/>
            <w:left w:val="none" w:sz="0" w:space="0" w:color="auto"/>
            <w:bottom w:val="none" w:sz="0" w:space="0" w:color="auto"/>
            <w:right w:val="none" w:sz="0" w:space="0" w:color="auto"/>
          </w:divBdr>
        </w:div>
        <w:div w:id="11154348">
          <w:marLeft w:val="0"/>
          <w:marRight w:val="0"/>
          <w:marTop w:val="0"/>
          <w:marBottom w:val="0"/>
          <w:divBdr>
            <w:top w:val="none" w:sz="0" w:space="0" w:color="auto"/>
            <w:left w:val="none" w:sz="0" w:space="0" w:color="auto"/>
            <w:bottom w:val="none" w:sz="0" w:space="0" w:color="auto"/>
            <w:right w:val="none" w:sz="0" w:space="0" w:color="auto"/>
          </w:divBdr>
        </w:div>
        <w:div w:id="1921670239">
          <w:marLeft w:val="0"/>
          <w:marRight w:val="0"/>
          <w:marTop w:val="0"/>
          <w:marBottom w:val="0"/>
          <w:divBdr>
            <w:top w:val="none" w:sz="0" w:space="0" w:color="auto"/>
            <w:left w:val="none" w:sz="0" w:space="0" w:color="auto"/>
            <w:bottom w:val="none" w:sz="0" w:space="0" w:color="auto"/>
            <w:right w:val="none" w:sz="0" w:space="0" w:color="auto"/>
          </w:divBdr>
        </w:div>
        <w:div w:id="1233664885">
          <w:marLeft w:val="0"/>
          <w:marRight w:val="0"/>
          <w:marTop w:val="0"/>
          <w:marBottom w:val="0"/>
          <w:divBdr>
            <w:top w:val="none" w:sz="0" w:space="0" w:color="auto"/>
            <w:left w:val="none" w:sz="0" w:space="0" w:color="auto"/>
            <w:bottom w:val="none" w:sz="0" w:space="0" w:color="auto"/>
            <w:right w:val="none" w:sz="0" w:space="0" w:color="auto"/>
          </w:divBdr>
        </w:div>
        <w:div w:id="107043389">
          <w:marLeft w:val="0"/>
          <w:marRight w:val="0"/>
          <w:marTop w:val="0"/>
          <w:marBottom w:val="0"/>
          <w:divBdr>
            <w:top w:val="none" w:sz="0" w:space="0" w:color="auto"/>
            <w:left w:val="none" w:sz="0" w:space="0" w:color="auto"/>
            <w:bottom w:val="none" w:sz="0" w:space="0" w:color="auto"/>
            <w:right w:val="none" w:sz="0" w:space="0" w:color="auto"/>
          </w:divBdr>
        </w:div>
        <w:div w:id="1855923756">
          <w:marLeft w:val="0"/>
          <w:marRight w:val="0"/>
          <w:marTop w:val="0"/>
          <w:marBottom w:val="0"/>
          <w:divBdr>
            <w:top w:val="none" w:sz="0" w:space="0" w:color="auto"/>
            <w:left w:val="none" w:sz="0" w:space="0" w:color="auto"/>
            <w:bottom w:val="none" w:sz="0" w:space="0" w:color="auto"/>
            <w:right w:val="none" w:sz="0" w:space="0" w:color="auto"/>
          </w:divBdr>
        </w:div>
        <w:div w:id="1847669352">
          <w:marLeft w:val="0"/>
          <w:marRight w:val="0"/>
          <w:marTop w:val="0"/>
          <w:marBottom w:val="0"/>
          <w:divBdr>
            <w:top w:val="none" w:sz="0" w:space="0" w:color="auto"/>
            <w:left w:val="none" w:sz="0" w:space="0" w:color="auto"/>
            <w:bottom w:val="none" w:sz="0" w:space="0" w:color="auto"/>
            <w:right w:val="none" w:sz="0" w:space="0" w:color="auto"/>
          </w:divBdr>
        </w:div>
        <w:div w:id="1233733710">
          <w:marLeft w:val="0"/>
          <w:marRight w:val="0"/>
          <w:marTop w:val="0"/>
          <w:marBottom w:val="0"/>
          <w:divBdr>
            <w:top w:val="none" w:sz="0" w:space="0" w:color="auto"/>
            <w:left w:val="none" w:sz="0" w:space="0" w:color="auto"/>
            <w:bottom w:val="none" w:sz="0" w:space="0" w:color="auto"/>
            <w:right w:val="none" w:sz="0" w:space="0" w:color="auto"/>
          </w:divBdr>
        </w:div>
        <w:div w:id="1844853709">
          <w:marLeft w:val="0"/>
          <w:marRight w:val="0"/>
          <w:marTop w:val="0"/>
          <w:marBottom w:val="0"/>
          <w:divBdr>
            <w:top w:val="none" w:sz="0" w:space="0" w:color="auto"/>
            <w:left w:val="none" w:sz="0" w:space="0" w:color="auto"/>
            <w:bottom w:val="none" w:sz="0" w:space="0" w:color="auto"/>
            <w:right w:val="none" w:sz="0" w:space="0" w:color="auto"/>
          </w:divBdr>
        </w:div>
        <w:div w:id="1028219293">
          <w:marLeft w:val="0"/>
          <w:marRight w:val="0"/>
          <w:marTop w:val="0"/>
          <w:marBottom w:val="0"/>
          <w:divBdr>
            <w:top w:val="none" w:sz="0" w:space="0" w:color="auto"/>
            <w:left w:val="none" w:sz="0" w:space="0" w:color="auto"/>
            <w:bottom w:val="none" w:sz="0" w:space="0" w:color="auto"/>
            <w:right w:val="none" w:sz="0" w:space="0" w:color="auto"/>
          </w:divBdr>
        </w:div>
        <w:div w:id="2010980674">
          <w:marLeft w:val="0"/>
          <w:marRight w:val="0"/>
          <w:marTop w:val="0"/>
          <w:marBottom w:val="0"/>
          <w:divBdr>
            <w:top w:val="none" w:sz="0" w:space="0" w:color="auto"/>
            <w:left w:val="none" w:sz="0" w:space="0" w:color="auto"/>
            <w:bottom w:val="none" w:sz="0" w:space="0" w:color="auto"/>
            <w:right w:val="none" w:sz="0" w:space="0" w:color="auto"/>
          </w:divBdr>
        </w:div>
        <w:div w:id="1986473296">
          <w:marLeft w:val="0"/>
          <w:marRight w:val="0"/>
          <w:marTop w:val="0"/>
          <w:marBottom w:val="0"/>
          <w:divBdr>
            <w:top w:val="none" w:sz="0" w:space="0" w:color="auto"/>
            <w:left w:val="none" w:sz="0" w:space="0" w:color="auto"/>
            <w:bottom w:val="none" w:sz="0" w:space="0" w:color="auto"/>
            <w:right w:val="none" w:sz="0" w:space="0" w:color="auto"/>
          </w:divBdr>
        </w:div>
        <w:div w:id="1864707742">
          <w:marLeft w:val="0"/>
          <w:marRight w:val="0"/>
          <w:marTop w:val="0"/>
          <w:marBottom w:val="0"/>
          <w:divBdr>
            <w:top w:val="none" w:sz="0" w:space="0" w:color="auto"/>
            <w:left w:val="none" w:sz="0" w:space="0" w:color="auto"/>
            <w:bottom w:val="none" w:sz="0" w:space="0" w:color="auto"/>
            <w:right w:val="none" w:sz="0" w:space="0" w:color="auto"/>
          </w:divBdr>
        </w:div>
        <w:div w:id="2040547886">
          <w:marLeft w:val="0"/>
          <w:marRight w:val="0"/>
          <w:marTop w:val="0"/>
          <w:marBottom w:val="0"/>
          <w:divBdr>
            <w:top w:val="none" w:sz="0" w:space="0" w:color="auto"/>
            <w:left w:val="none" w:sz="0" w:space="0" w:color="auto"/>
            <w:bottom w:val="none" w:sz="0" w:space="0" w:color="auto"/>
            <w:right w:val="none" w:sz="0" w:space="0" w:color="auto"/>
          </w:divBdr>
        </w:div>
        <w:div w:id="1535540105">
          <w:marLeft w:val="0"/>
          <w:marRight w:val="0"/>
          <w:marTop w:val="0"/>
          <w:marBottom w:val="0"/>
          <w:divBdr>
            <w:top w:val="none" w:sz="0" w:space="0" w:color="auto"/>
            <w:left w:val="none" w:sz="0" w:space="0" w:color="auto"/>
            <w:bottom w:val="none" w:sz="0" w:space="0" w:color="auto"/>
            <w:right w:val="none" w:sz="0" w:space="0" w:color="auto"/>
          </w:divBdr>
        </w:div>
        <w:div w:id="1721250270">
          <w:marLeft w:val="0"/>
          <w:marRight w:val="0"/>
          <w:marTop w:val="0"/>
          <w:marBottom w:val="0"/>
          <w:divBdr>
            <w:top w:val="none" w:sz="0" w:space="0" w:color="auto"/>
            <w:left w:val="none" w:sz="0" w:space="0" w:color="auto"/>
            <w:bottom w:val="none" w:sz="0" w:space="0" w:color="auto"/>
            <w:right w:val="none" w:sz="0" w:space="0" w:color="auto"/>
          </w:divBdr>
        </w:div>
        <w:div w:id="633293210">
          <w:marLeft w:val="0"/>
          <w:marRight w:val="0"/>
          <w:marTop w:val="0"/>
          <w:marBottom w:val="0"/>
          <w:divBdr>
            <w:top w:val="none" w:sz="0" w:space="0" w:color="auto"/>
            <w:left w:val="none" w:sz="0" w:space="0" w:color="auto"/>
            <w:bottom w:val="none" w:sz="0" w:space="0" w:color="auto"/>
            <w:right w:val="none" w:sz="0" w:space="0" w:color="auto"/>
          </w:divBdr>
        </w:div>
        <w:div w:id="648703832">
          <w:marLeft w:val="0"/>
          <w:marRight w:val="0"/>
          <w:marTop w:val="0"/>
          <w:marBottom w:val="0"/>
          <w:divBdr>
            <w:top w:val="none" w:sz="0" w:space="0" w:color="auto"/>
            <w:left w:val="none" w:sz="0" w:space="0" w:color="auto"/>
            <w:bottom w:val="none" w:sz="0" w:space="0" w:color="auto"/>
            <w:right w:val="none" w:sz="0" w:space="0" w:color="auto"/>
          </w:divBdr>
        </w:div>
        <w:div w:id="983655632">
          <w:marLeft w:val="0"/>
          <w:marRight w:val="0"/>
          <w:marTop w:val="0"/>
          <w:marBottom w:val="0"/>
          <w:divBdr>
            <w:top w:val="none" w:sz="0" w:space="0" w:color="auto"/>
            <w:left w:val="none" w:sz="0" w:space="0" w:color="auto"/>
            <w:bottom w:val="none" w:sz="0" w:space="0" w:color="auto"/>
            <w:right w:val="none" w:sz="0" w:space="0" w:color="auto"/>
          </w:divBdr>
        </w:div>
        <w:div w:id="447165827">
          <w:marLeft w:val="0"/>
          <w:marRight w:val="0"/>
          <w:marTop w:val="0"/>
          <w:marBottom w:val="0"/>
          <w:divBdr>
            <w:top w:val="none" w:sz="0" w:space="0" w:color="auto"/>
            <w:left w:val="none" w:sz="0" w:space="0" w:color="auto"/>
            <w:bottom w:val="none" w:sz="0" w:space="0" w:color="auto"/>
            <w:right w:val="none" w:sz="0" w:space="0" w:color="auto"/>
          </w:divBdr>
        </w:div>
        <w:div w:id="93980285">
          <w:marLeft w:val="0"/>
          <w:marRight w:val="0"/>
          <w:marTop w:val="0"/>
          <w:marBottom w:val="0"/>
          <w:divBdr>
            <w:top w:val="none" w:sz="0" w:space="0" w:color="auto"/>
            <w:left w:val="none" w:sz="0" w:space="0" w:color="auto"/>
            <w:bottom w:val="none" w:sz="0" w:space="0" w:color="auto"/>
            <w:right w:val="none" w:sz="0" w:space="0" w:color="auto"/>
          </w:divBdr>
        </w:div>
        <w:div w:id="2136870213">
          <w:marLeft w:val="0"/>
          <w:marRight w:val="0"/>
          <w:marTop w:val="0"/>
          <w:marBottom w:val="0"/>
          <w:divBdr>
            <w:top w:val="none" w:sz="0" w:space="0" w:color="auto"/>
            <w:left w:val="none" w:sz="0" w:space="0" w:color="auto"/>
            <w:bottom w:val="none" w:sz="0" w:space="0" w:color="auto"/>
            <w:right w:val="none" w:sz="0" w:space="0" w:color="auto"/>
          </w:divBdr>
        </w:div>
        <w:div w:id="477648149">
          <w:marLeft w:val="0"/>
          <w:marRight w:val="0"/>
          <w:marTop w:val="0"/>
          <w:marBottom w:val="0"/>
          <w:divBdr>
            <w:top w:val="none" w:sz="0" w:space="0" w:color="auto"/>
            <w:left w:val="none" w:sz="0" w:space="0" w:color="auto"/>
            <w:bottom w:val="none" w:sz="0" w:space="0" w:color="auto"/>
            <w:right w:val="none" w:sz="0" w:space="0" w:color="auto"/>
          </w:divBdr>
        </w:div>
        <w:div w:id="414322881">
          <w:marLeft w:val="0"/>
          <w:marRight w:val="0"/>
          <w:marTop w:val="0"/>
          <w:marBottom w:val="0"/>
          <w:divBdr>
            <w:top w:val="none" w:sz="0" w:space="0" w:color="auto"/>
            <w:left w:val="none" w:sz="0" w:space="0" w:color="auto"/>
            <w:bottom w:val="none" w:sz="0" w:space="0" w:color="auto"/>
            <w:right w:val="none" w:sz="0" w:space="0" w:color="auto"/>
          </w:divBdr>
        </w:div>
        <w:div w:id="1388645609">
          <w:marLeft w:val="0"/>
          <w:marRight w:val="0"/>
          <w:marTop w:val="0"/>
          <w:marBottom w:val="0"/>
          <w:divBdr>
            <w:top w:val="none" w:sz="0" w:space="0" w:color="auto"/>
            <w:left w:val="none" w:sz="0" w:space="0" w:color="auto"/>
            <w:bottom w:val="none" w:sz="0" w:space="0" w:color="auto"/>
            <w:right w:val="none" w:sz="0" w:space="0" w:color="auto"/>
          </w:divBdr>
        </w:div>
        <w:div w:id="1519808414">
          <w:marLeft w:val="0"/>
          <w:marRight w:val="0"/>
          <w:marTop w:val="0"/>
          <w:marBottom w:val="0"/>
          <w:divBdr>
            <w:top w:val="none" w:sz="0" w:space="0" w:color="auto"/>
            <w:left w:val="none" w:sz="0" w:space="0" w:color="auto"/>
            <w:bottom w:val="none" w:sz="0" w:space="0" w:color="auto"/>
            <w:right w:val="none" w:sz="0" w:space="0" w:color="auto"/>
          </w:divBdr>
        </w:div>
        <w:div w:id="1021273388">
          <w:marLeft w:val="0"/>
          <w:marRight w:val="0"/>
          <w:marTop w:val="0"/>
          <w:marBottom w:val="0"/>
          <w:divBdr>
            <w:top w:val="none" w:sz="0" w:space="0" w:color="auto"/>
            <w:left w:val="none" w:sz="0" w:space="0" w:color="auto"/>
            <w:bottom w:val="none" w:sz="0" w:space="0" w:color="auto"/>
            <w:right w:val="none" w:sz="0" w:space="0" w:color="auto"/>
          </w:divBdr>
        </w:div>
        <w:div w:id="2088460364">
          <w:marLeft w:val="0"/>
          <w:marRight w:val="0"/>
          <w:marTop w:val="0"/>
          <w:marBottom w:val="0"/>
          <w:divBdr>
            <w:top w:val="none" w:sz="0" w:space="0" w:color="auto"/>
            <w:left w:val="none" w:sz="0" w:space="0" w:color="auto"/>
            <w:bottom w:val="none" w:sz="0" w:space="0" w:color="auto"/>
            <w:right w:val="none" w:sz="0" w:space="0" w:color="auto"/>
          </w:divBdr>
        </w:div>
        <w:div w:id="1977103586">
          <w:marLeft w:val="0"/>
          <w:marRight w:val="0"/>
          <w:marTop w:val="0"/>
          <w:marBottom w:val="0"/>
          <w:divBdr>
            <w:top w:val="none" w:sz="0" w:space="0" w:color="auto"/>
            <w:left w:val="none" w:sz="0" w:space="0" w:color="auto"/>
            <w:bottom w:val="none" w:sz="0" w:space="0" w:color="auto"/>
            <w:right w:val="none" w:sz="0" w:space="0" w:color="auto"/>
          </w:divBdr>
        </w:div>
        <w:div w:id="1211963990">
          <w:marLeft w:val="0"/>
          <w:marRight w:val="0"/>
          <w:marTop w:val="0"/>
          <w:marBottom w:val="0"/>
          <w:divBdr>
            <w:top w:val="none" w:sz="0" w:space="0" w:color="auto"/>
            <w:left w:val="none" w:sz="0" w:space="0" w:color="auto"/>
            <w:bottom w:val="none" w:sz="0" w:space="0" w:color="auto"/>
            <w:right w:val="none" w:sz="0" w:space="0" w:color="auto"/>
          </w:divBdr>
        </w:div>
        <w:div w:id="1428044190">
          <w:marLeft w:val="0"/>
          <w:marRight w:val="0"/>
          <w:marTop w:val="0"/>
          <w:marBottom w:val="0"/>
          <w:divBdr>
            <w:top w:val="none" w:sz="0" w:space="0" w:color="auto"/>
            <w:left w:val="none" w:sz="0" w:space="0" w:color="auto"/>
            <w:bottom w:val="none" w:sz="0" w:space="0" w:color="auto"/>
            <w:right w:val="none" w:sz="0" w:space="0" w:color="auto"/>
          </w:divBdr>
        </w:div>
        <w:div w:id="145630028">
          <w:marLeft w:val="0"/>
          <w:marRight w:val="0"/>
          <w:marTop w:val="0"/>
          <w:marBottom w:val="0"/>
          <w:divBdr>
            <w:top w:val="none" w:sz="0" w:space="0" w:color="auto"/>
            <w:left w:val="none" w:sz="0" w:space="0" w:color="auto"/>
            <w:bottom w:val="none" w:sz="0" w:space="0" w:color="auto"/>
            <w:right w:val="none" w:sz="0" w:space="0" w:color="auto"/>
          </w:divBdr>
        </w:div>
        <w:div w:id="443304050">
          <w:marLeft w:val="0"/>
          <w:marRight w:val="0"/>
          <w:marTop w:val="0"/>
          <w:marBottom w:val="0"/>
          <w:divBdr>
            <w:top w:val="none" w:sz="0" w:space="0" w:color="auto"/>
            <w:left w:val="none" w:sz="0" w:space="0" w:color="auto"/>
            <w:bottom w:val="none" w:sz="0" w:space="0" w:color="auto"/>
            <w:right w:val="none" w:sz="0" w:space="0" w:color="auto"/>
          </w:divBdr>
        </w:div>
        <w:div w:id="1278948714">
          <w:marLeft w:val="0"/>
          <w:marRight w:val="0"/>
          <w:marTop w:val="0"/>
          <w:marBottom w:val="0"/>
          <w:divBdr>
            <w:top w:val="none" w:sz="0" w:space="0" w:color="auto"/>
            <w:left w:val="none" w:sz="0" w:space="0" w:color="auto"/>
            <w:bottom w:val="none" w:sz="0" w:space="0" w:color="auto"/>
            <w:right w:val="none" w:sz="0" w:space="0" w:color="auto"/>
          </w:divBdr>
        </w:div>
        <w:div w:id="842815209">
          <w:marLeft w:val="0"/>
          <w:marRight w:val="0"/>
          <w:marTop w:val="0"/>
          <w:marBottom w:val="0"/>
          <w:divBdr>
            <w:top w:val="none" w:sz="0" w:space="0" w:color="auto"/>
            <w:left w:val="none" w:sz="0" w:space="0" w:color="auto"/>
            <w:bottom w:val="none" w:sz="0" w:space="0" w:color="auto"/>
            <w:right w:val="none" w:sz="0" w:space="0" w:color="auto"/>
          </w:divBdr>
        </w:div>
        <w:div w:id="1119882592">
          <w:marLeft w:val="0"/>
          <w:marRight w:val="0"/>
          <w:marTop w:val="0"/>
          <w:marBottom w:val="0"/>
          <w:divBdr>
            <w:top w:val="none" w:sz="0" w:space="0" w:color="auto"/>
            <w:left w:val="none" w:sz="0" w:space="0" w:color="auto"/>
            <w:bottom w:val="none" w:sz="0" w:space="0" w:color="auto"/>
            <w:right w:val="none" w:sz="0" w:space="0" w:color="auto"/>
          </w:divBdr>
        </w:div>
        <w:div w:id="617956419">
          <w:marLeft w:val="0"/>
          <w:marRight w:val="0"/>
          <w:marTop w:val="0"/>
          <w:marBottom w:val="0"/>
          <w:divBdr>
            <w:top w:val="none" w:sz="0" w:space="0" w:color="auto"/>
            <w:left w:val="none" w:sz="0" w:space="0" w:color="auto"/>
            <w:bottom w:val="none" w:sz="0" w:space="0" w:color="auto"/>
            <w:right w:val="none" w:sz="0" w:space="0" w:color="auto"/>
          </w:divBdr>
        </w:div>
        <w:div w:id="1365251994">
          <w:marLeft w:val="0"/>
          <w:marRight w:val="0"/>
          <w:marTop w:val="0"/>
          <w:marBottom w:val="0"/>
          <w:divBdr>
            <w:top w:val="none" w:sz="0" w:space="0" w:color="auto"/>
            <w:left w:val="none" w:sz="0" w:space="0" w:color="auto"/>
            <w:bottom w:val="none" w:sz="0" w:space="0" w:color="auto"/>
            <w:right w:val="none" w:sz="0" w:space="0" w:color="auto"/>
          </w:divBdr>
        </w:div>
        <w:div w:id="1893805892">
          <w:marLeft w:val="0"/>
          <w:marRight w:val="0"/>
          <w:marTop w:val="0"/>
          <w:marBottom w:val="0"/>
          <w:divBdr>
            <w:top w:val="none" w:sz="0" w:space="0" w:color="auto"/>
            <w:left w:val="none" w:sz="0" w:space="0" w:color="auto"/>
            <w:bottom w:val="none" w:sz="0" w:space="0" w:color="auto"/>
            <w:right w:val="none" w:sz="0" w:space="0" w:color="auto"/>
          </w:divBdr>
        </w:div>
        <w:div w:id="1275475477">
          <w:marLeft w:val="0"/>
          <w:marRight w:val="0"/>
          <w:marTop w:val="0"/>
          <w:marBottom w:val="0"/>
          <w:divBdr>
            <w:top w:val="none" w:sz="0" w:space="0" w:color="auto"/>
            <w:left w:val="none" w:sz="0" w:space="0" w:color="auto"/>
            <w:bottom w:val="none" w:sz="0" w:space="0" w:color="auto"/>
            <w:right w:val="none" w:sz="0" w:space="0" w:color="auto"/>
          </w:divBdr>
        </w:div>
        <w:div w:id="1679968513">
          <w:marLeft w:val="0"/>
          <w:marRight w:val="0"/>
          <w:marTop w:val="0"/>
          <w:marBottom w:val="0"/>
          <w:divBdr>
            <w:top w:val="none" w:sz="0" w:space="0" w:color="auto"/>
            <w:left w:val="none" w:sz="0" w:space="0" w:color="auto"/>
            <w:bottom w:val="none" w:sz="0" w:space="0" w:color="auto"/>
            <w:right w:val="none" w:sz="0" w:space="0" w:color="auto"/>
          </w:divBdr>
        </w:div>
        <w:div w:id="1452824003">
          <w:marLeft w:val="0"/>
          <w:marRight w:val="0"/>
          <w:marTop w:val="0"/>
          <w:marBottom w:val="0"/>
          <w:divBdr>
            <w:top w:val="none" w:sz="0" w:space="0" w:color="auto"/>
            <w:left w:val="none" w:sz="0" w:space="0" w:color="auto"/>
            <w:bottom w:val="none" w:sz="0" w:space="0" w:color="auto"/>
            <w:right w:val="none" w:sz="0" w:space="0" w:color="auto"/>
          </w:divBdr>
        </w:div>
        <w:div w:id="973295418">
          <w:marLeft w:val="0"/>
          <w:marRight w:val="0"/>
          <w:marTop w:val="0"/>
          <w:marBottom w:val="0"/>
          <w:divBdr>
            <w:top w:val="none" w:sz="0" w:space="0" w:color="auto"/>
            <w:left w:val="none" w:sz="0" w:space="0" w:color="auto"/>
            <w:bottom w:val="none" w:sz="0" w:space="0" w:color="auto"/>
            <w:right w:val="none" w:sz="0" w:space="0" w:color="auto"/>
          </w:divBdr>
        </w:div>
        <w:div w:id="284166677">
          <w:marLeft w:val="0"/>
          <w:marRight w:val="0"/>
          <w:marTop w:val="0"/>
          <w:marBottom w:val="0"/>
          <w:divBdr>
            <w:top w:val="none" w:sz="0" w:space="0" w:color="auto"/>
            <w:left w:val="none" w:sz="0" w:space="0" w:color="auto"/>
            <w:bottom w:val="none" w:sz="0" w:space="0" w:color="auto"/>
            <w:right w:val="none" w:sz="0" w:space="0" w:color="auto"/>
          </w:divBdr>
        </w:div>
        <w:div w:id="1691299174">
          <w:marLeft w:val="0"/>
          <w:marRight w:val="0"/>
          <w:marTop w:val="0"/>
          <w:marBottom w:val="0"/>
          <w:divBdr>
            <w:top w:val="none" w:sz="0" w:space="0" w:color="auto"/>
            <w:left w:val="none" w:sz="0" w:space="0" w:color="auto"/>
            <w:bottom w:val="none" w:sz="0" w:space="0" w:color="auto"/>
            <w:right w:val="none" w:sz="0" w:space="0" w:color="auto"/>
          </w:divBdr>
        </w:div>
        <w:div w:id="783382270">
          <w:marLeft w:val="0"/>
          <w:marRight w:val="0"/>
          <w:marTop w:val="0"/>
          <w:marBottom w:val="0"/>
          <w:divBdr>
            <w:top w:val="none" w:sz="0" w:space="0" w:color="auto"/>
            <w:left w:val="none" w:sz="0" w:space="0" w:color="auto"/>
            <w:bottom w:val="none" w:sz="0" w:space="0" w:color="auto"/>
            <w:right w:val="none" w:sz="0" w:space="0" w:color="auto"/>
          </w:divBdr>
        </w:div>
        <w:div w:id="228538962">
          <w:marLeft w:val="0"/>
          <w:marRight w:val="0"/>
          <w:marTop w:val="0"/>
          <w:marBottom w:val="0"/>
          <w:divBdr>
            <w:top w:val="none" w:sz="0" w:space="0" w:color="auto"/>
            <w:left w:val="none" w:sz="0" w:space="0" w:color="auto"/>
            <w:bottom w:val="none" w:sz="0" w:space="0" w:color="auto"/>
            <w:right w:val="none" w:sz="0" w:space="0" w:color="auto"/>
          </w:divBdr>
        </w:div>
        <w:div w:id="1952318348">
          <w:marLeft w:val="0"/>
          <w:marRight w:val="0"/>
          <w:marTop w:val="0"/>
          <w:marBottom w:val="0"/>
          <w:divBdr>
            <w:top w:val="none" w:sz="0" w:space="0" w:color="auto"/>
            <w:left w:val="none" w:sz="0" w:space="0" w:color="auto"/>
            <w:bottom w:val="none" w:sz="0" w:space="0" w:color="auto"/>
            <w:right w:val="none" w:sz="0" w:space="0" w:color="auto"/>
          </w:divBdr>
        </w:div>
        <w:div w:id="726222697">
          <w:marLeft w:val="0"/>
          <w:marRight w:val="0"/>
          <w:marTop w:val="0"/>
          <w:marBottom w:val="0"/>
          <w:divBdr>
            <w:top w:val="none" w:sz="0" w:space="0" w:color="auto"/>
            <w:left w:val="none" w:sz="0" w:space="0" w:color="auto"/>
            <w:bottom w:val="none" w:sz="0" w:space="0" w:color="auto"/>
            <w:right w:val="none" w:sz="0" w:space="0" w:color="auto"/>
          </w:divBdr>
        </w:div>
        <w:div w:id="463892751">
          <w:marLeft w:val="0"/>
          <w:marRight w:val="0"/>
          <w:marTop w:val="0"/>
          <w:marBottom w:val="0"/>
          <w:divBdr>
            <w:top w:val="none" w:sz="0" w:space="0" w:color="auto"/>
            <w:left w:val="none" w:sz="0" w:space="0" w:color="auto"/>
            <w:bottom w:val="none" w:sz="0" w:space="0" w:color="auto"/>
            <w:right w:val="none" w:sz="0" w:space="0" w:color="auto"/>
          </w:divBdr>
        </w:div>
        <w:div w:id="1665432814">
          <w:marLeft w:val="0"/>
          <w:marRight w:val="0"/>
          <w:marTop w:val="0"/>
          <w:marBottom w:val="0"/>
          <w:divBdr>
            <w:top w:val="none" w:sz="0" w:space="0" w:color="auto"/>
            <w:left w:val="none" w:sz="0" w:space="0" w:color="auto"/>
            <w:bottom w:val="none" w:sz="0" w:space="0" w:color="auto"/>
            <w:right w:val="none" w:sz="0" w:space="0" w:color="auto"/>
          </w:divBdr>
        </w:div>
        <w:div w:id="2006594487">
          <w:marLeft w:val="0"/>
          <w:marRight w:val="0"/>
          <w:marTop w:val="0"/>
          <w:marBottom w:val="0"/>
          <w:divBdr>
            <w:top w:val="none" w:sz="0" w:space="0" w:color="auto"/>
            <w:left w:val="none" w:sz="0" w:space="0" w:color="auto"/>
            <w:bottom w:val="none" w:sz="0" w:space="0" w:color="auto"/>
            <w:right w:val="none" w:sz="0" w:space="0" w:color="auto"/>
          </w:divBdr>
        </w:div>
        <w:div w:id="429666950">
          <w:marLeft w:val="0"/>
          <w:marRight w:val="0"/>
          <w:marTop w:val="0"/>
          <w:marBottom w:val="0"/>
          <w:divBdr>
            <w:top w:val="none" w:sz="0" w:space="0" w:color="auto"/>
            <w:left w:val="none" w:sz="0" w:space="0" w:color="auto"/>
            <w:bottom w:val="none" w:sz="0" w:space="0" w:color="auto"/>
            <w:right w:val="none" w:sz="0" w:space="0" w:color="auto"/>
          </w:divBdr>
        </w:div>
        <w:div w:id="1131754053">
          <w:marLeft w:val="0"/>
          <w:marRight w:val="0"/>
          <w:marTop w:val="0"/>
          <w:marBottom w:val="0"/>
          <w:divBdr>
            <w:top w:val="none" w:sz="0" w:space="0" w:color="auto"/>
            <w:left w:val="none" w:sz="0" w:space="0" w:color="auto"/>
            <w:bottom w:val="none" w:sz="0" w:space="0" w:color="auto"/>
            <w:right w:val="none" w:sz="0" w:space="0" w:color="auto"/>
          </w:divBdr>
        </w:div>
        <w:div w:id="298924497">
          <w:marLeft w:val="0"/>
          <w:marRight w:val="0"/>
          <w:marTop w:val="0"/>
          <w:marBottom w:val="0"/>
          <w:divBdr>
            <w:top w:val="none" w:sz="0" w:space="0" w:color="auto"/>
            <w:left w:val="none" w:sz="0" w:space="0" w:color="auto"/>
            <w:bottom w:val="none" w:sz="0" w:space="0" w:color="auto"/>
            <w:right w:val="none" w:sz="0" w:space="0" w:color="auto"/>
          </w:divBdr>
        </w:div>
        <w:div w:id="814565587">
          <w:marLeft w:val="0"/>
          <w:marRight w:val="0"/>
          <w:marTop w:val="0"/>
          <w:marBottom w:val="0"/>
          <w:divBdr>
            <w:top w:val="none" w:sz="0" w:space="0" w:color="auto"/>
            <w:left w:val="none" w:sz="0" w:space="0" w:color="auto"/>
            <w:bottom w:val="none" w:sz="0" w:space="0" w:color="auto"/>
            <w:right w:val="none" w:sz="0" w:space="0" w:color="auto"/>
          </w:divBdr>
        </w:div>
        <w:div w:id="1729108423">
          <w:marLeft w:val="0"/>
          <w:marRight w:val="0"/>
          <w:marTop w:val="0"/>
          <w:marBottom w:val="0"/>
          <w:divBdr>
            <w:top w:val="none" w:sz="0" w:space="0" w:color="auto"/>
            <w:left w:val="none" w:sz="0" w:space="0" w:color="auto"/>
            <w:bottom w:val="none" w:sz="0" w:space="0" w:color="auto"/>
            <w:right w:val="none" w:sz="0" w:space="0" w:color="auto"/>
          </w:divBdr>
        </w:div>
        <w:div w:id="2013992579">
          <w:marLeft w:val="0"/>
          <w:marRight w:val="0"/>
          <w:marTop w:val="0"/>
          <w:marBottom w:val="0"/>
          <w:divBdr>
            <w:top w:val="none" w:sz="0" w:space="0" w:color="auto"/>
            <w:left w:val="none" w:sz="0" w:space="0" w:color="auto"/>
            <w:bottom w:val="none" w:sz="0" w:space="0" w:color="auto"/>
            <w:right w:val="none" w:sz="0" w:space="0" w:color="auto"/>
          </w:divBdr>
        </w:div>
        <w:div w:id="531502168">
          <w:marLeft w:val="0"/>
          <w:marRight w:val="0"/>
          <w:marTop w:val="0"/>
          <w:marBottom w:val="0"/>
          <w:divBdr>
            <w:top w:val="none" w:sz="0" w:space="0" w:color="auto"/>
            <w:left w:val="none" w:sz="0" w:space="0" w:color="auto"/>
            <w:bottom w:val="none" w:sz="0" w:space="0" w:color="auto"/>
            <w:right w:val="none" w:sz="0" w:space="0" w:color="auto"/>
          </w:divBdr>
        </w:div>
        <w:div w:id="2144691006">
          <w:marLeft w:val="0"/>
          <w:marRight w:val="0"/>
          <w:marTop w:val="0"/>
          <w:marBottom w:val="0"/>
          <w:divBdr>
            <w:top w:val="none" w:sz="0" w:space="0" w:color="auto"/>
            <w:left w:val="none" w:sz="0" w:space="0" w:color="auto"/>
            <w:bottom w:val="none" w:sz="0" w:space="0" w:color="auto"/>
            <w:right w:val="none" w:sz="0" w:space="0" w:color="auto"/>
          </w:divBdr>
        </w:div>
        <w:div w:id="1669946060">
          <w:marLeft w:val="0"/>
          <w:marRight w:val="0"/>
          <w:marTop w:val="0"/>
          <w:marBottom w:val="0"/>
          <w:divBdr>
            <w:top w:val="none" w:sz="0" w:space="0" w:color="auto"/>
            <w:left w:val="none" w:sz="0" w:space="0" w:color="auto"/>
            <w:bottom w:val="none" w:sz="0" w:space="0" w:color="auto"/>
            <w:right w:val="none" w:sz="0" w:space="0" w:color="auto"/>
          </w:divBdr>
        </w:div>
        <w:div w:id="1735422366">
          <w:marLeft w:val="0"/>
          <w:marRight w:val="0"/>
          <w:marTop w:val="0"/>
          <w:marBottom w:val="0"/>
          <w:divBdr>
            <w:top w:val="none" w:sz="0" w:space="0" w:color="auto"/>
            <w:left w:val="none" w:sz="0" w:space="0" w:color="auto"/>
            <w:bottom w:val="none" w:sz="0" w:space="0" w:color="auto"/>
            <w:right w:val="none" w:sz="0" w:space="0" w:color="auto"/>
          </w:divBdr>
        </w:div>
        <w:div w:id="1857964752">
          <w:marLeft w:val="0"/>
          <w:marRight w:val="0"/>
          <w:marTop w:val="0"/>
          <w:marBottom w:val="0"/>
          <w:divBdr>
            <w:top w:val="none" w:sz="0" w:space="0" w:color="auto"/>
            <w:left w:val="none" w:sz="0" w:space="0" w:color="auto"/>
            <w:bottom w:val="none" w:sz="0" w:space="0" w:color="auto"/>
            <w:right w:val="none" w:sz="0" w:space="0" w:color="auto"/>
          </w:divBdr>
        </w:div>
        <w:div w:id="443811184">
          <w:marLeft w:val="0"/>
          <w:marRight w:val="0"/>
          <w:marTop w:val="0"/>
          <w:marBottom w:val="0"/>
          <w:divBdr>
            <w:top w:val="none" w:sz="0" w:space="0" w:color="auto"/>
            <w:left w:val="none" w:sz="0" w:space="0" w:color="auto"/>
            <w:bottom w:val="none" w:sz="0" w:space="0" w:color="auto"/>
            <w:right w:val="none" w:sz="0" w:space="0" w:color="auto"/>
          </w:divBdr>
        </w:div>
        <w:div w:id="302395861">
          <w:marLeft w:val="0"/>
          <w:marRight w:val="0"/>
          <w:marTop w:val="0"/>
          <w:marBottom w:val="0"/>
          <w:divBdr>
            <w:top w:val="none" w:sz="0" w:space="0" w:color="auto"/>
            <w:left w:val="none" w:sz="0" w:space="0" w:color="auto"/>
            <w:bottom w:val="none" w:sz="0" w:space="0" w:color="auto"/>
            <w:right w:val="none" w:sz="0" w:space="0" w:color="auto"/>
          </w:divBdr>
        </w:div>
        <w:div w:id="1590500762">
          <w:marLeft w:val="0"/>
          <w:marRight w:val="0"/>
          <w:marTop w:val="0"/>
          <w:marBottom w:val="0"/>
          <w:divBdr>
            <w:top w:val="none" w:sz="0" w:space="0" w:color="auto"/>
            <w:left w:val="none" w:sz="0" w:space="0" w:color="auto"/>
            <w:bottom w:val="none" w:sz="0" w:space="0" w:color="auto"/>
            <w:right w:val="none" w:sz="0" w:space="0" w:color="auto"/>
          </w:divBdr>
        </w:div>
        <w:div w:id="854071706">
          <w:marLeft w:val="0"/>
          <w:marRight w:val="0"/>
          <w:marTop w:val="0"/>
          <w:marBottom w:val="0"/>
          <w:divBdr>
            <w:top w:val="none" w:sz="0" w:space="0" w:color="auto"/>
            <w:left w:val="none" w:sz="0" w:space="0" w:color="auto"/>
            <w:bottom w:val="none" w:sz="0" w:space="0" w:color="auto"/>
            <w:right w:val="none" w:sz="0" w:space="0" w:color="auto"/>
          </w:divBdr>
        </w:div>
        <w:div w:id="1046024975">
          <w:marLeft w:val="0"/>
          <w:marRight w:val="0"/>
          <w:marTop w:val="0"/>
          <w:marBottom w:val="0"/>
          <w:divBdr>
            <w:top w:val="none" w:sz="0" w:space="0" w:color="auto"/>
            <w:left w:val="none" w:sz="0" w:space="0" w:color="auto"/>
            <w:bottom w:val="none" w:sz="0" w:space="0" w:color="auto"/>
            <w:right w:val="none" w:sz="0" w:space="0" w:color="auto"/>
          </w:divBdr>
        </w:div>
        <w:div w:id="1038942363">
          <w:marLeft w:val="0"/>
          <w:marRight w:val="0"/>
          <w:marTop w:val="0"/>
          <w:marBottom w:val="0"/>
          <w:divBdr>
            <w:top w:val="none" w:sz="0" w:space="0" w:color="auto"/>
            <w:left w:val="none" w:sz="0" w:space="0" w:color="auto"/>
            <w:bottom w:val="none" w:sz="0" w:space="0" w:color="auto"/>
            <w:right w:val="none" w:sz="0" w:space="0" w:color="auto"/>
          </w:divBdr>
        </w:div>
        <w:div w:id="1341007222">
          <w:marLeft w:val="0"/>
          <w:marRight w:val="0"/>
          <w:marTop w:val="0"/>
          <w:marBottom w:val="0"/>
          <w:divBdr>
            <w:top w:val="none" w:sz="0" w:space="0" w:color="auto"/>
            <w:left w:val="none" w:sz="0" w:space="0" w:color="auto"/>
            <w:bottom w:val="none" w:sz="0" w:space="0" w:color="auto"/>
            <w:right w:val="none" w:sz="0" w:space="0" w:color="auto"/>
          </w:divBdr>
        </w:div>
        <w:div w:id="971784924">
          <w:marLeft w:val="0"/>
          <w:marRight w:val="0"/>
          <w:marTop w:val="0"/>
          <w:marBottom w:val="0"/>
          <w:divBdr>
            <w:top w:val="none" w:sz="0" w:space="0" w:color="auto"/>
            <w:left w:val="none" w:sz="0" w:space="0" w:color="auto"/>
            <w:bottom w:val="none" w:sz="0" w:space="0" w:color="auto"/>
            <w:right w:val="none" w:sz="0" w:space="0" w:color="auto"/>
          </w:divBdr>
        </w:div>
        <w:div w:id="4329450">
          <w:marLeft w:val="0"/>
          <w:marRight w:val="0"/>
          <w:marTop w:val="0"/>
          <w:marBottom w:val="0"/>
          <w:divBdr>
            <w:top w:val="none" w:sz="0" w:space="0" w:color="auto"/>
            <w:left w:val="none" w:sz="0" w:space="0" w:color="auto"/>
            <w:bottom w:val="none" w:sz="0" w:space="0" w:color="auto"/>
            <w:right w:val="none" w:sz="0" w:space="0" w:color="auto"/>
          </w:divBdr>
        </w:div>
        <w:div w:id="259068838">
          <w:marLeft w:val="0"/>
          <w:marRight w:val="0"/>
          <w:marTop w:val="0"/>
          <w:marBottom w:val="0"/>
          <w:divBdr>
            <w:top w:val="none" w:sz="0" w:space="0" w:color="auto"/>
            <w:left w:val="none" w:sz="0" w:space="0" w:color="auto"/>
            <w:bottom w:val="none" w:sz="0" w:space="0" w:color="auto"/>
            <w:right w:val="none" w:sz="0" w:space="0" w:color="auto"/>
          </w:divBdr>
        </w:div>
        <w:div w:id="1366246817">
          <w:marLeft w:val="0"/>
          <w:marRight w:val="0"/>
          <w:marTop w:val="0"/>
          <w:marBottom w:val="0"/>
          <w:divBdr>
            <w:top w:val="none" w:sz="0" w:space="0" w:color="auto"/>
            <w:left w:val="none" w:sz="0" w:space="0" w:color="auto"/>
            <w:bottom w:val="none" w:sz="0" w:space="0" w:color="auto"/>
            <w:right w:val="none" w:sz="0" w:space="0" w:color="auto"/>
          </w:divBdr>
        </w:div>
        <w:div w:id="1077939277">
          <w:marLeft w:val="0"/>
          <w:marRight w:val="0"/>
          <w:marTop w:val="0"/>
          <w:marBottom w:val="0"/>
          <w:divBdr>
            <w:top w:val="none" w:sz="0" w:space="0" w:color="auto"/>
            <w:left w:val="none" w:sz="0" w:space="0" w:color="auto"/>
            <w:bottom w:val="none" w:sz="0" w:space="0" w:color="auto"/>
            <w:right w:val="none" w:sz="0" w:space="0" w:color="auto"/>
          </w:divBdr>
        </w:div>
        <w:div w:id="1794203957">
          <w:marLeft w:val="0"/>
          <w:marRight w:val="0"/>
          <w:marTop w:val="0"/>
          <w:marBottom w:val="0"/>
          <w:divBdr>
            <w:top w:val="none" w:sz="0" w:space="0" w:color="auto"/>
            <w:left w:val="none" w:sz="0" w:space="0" w:color="auto"/>
            <w:bottom w:val="none" w:sz="0" w:space="0" w:color="auto"/>
            <w:right w:val="none" w:sz="0" w:space="0" w:color="auto"/>
          </w:divBdr>
        </w:div>
        <w:div w:id="1665812452">
          <w:marLeft w:val="0"/>
          <w:marRight w:val="0"/>
          <w:marTop w:val="0"/>
          <w:marBottom w:val="0"/>
          <w:divBdr>
            <w:top w:val="none" w:sz="0" w:space="0" w:color="auto"/>
            <w:left w:val="none" w:sz="0" w:space="0" w:color="auto"/>
            <w:bottom w:val="none" w:sz="0" w:space="0" w:color="auto"/>
            <w:right w:val="none" w:sz="0" w:space="0" w:color="auto"/>
          </w:divBdr>
        </w:div>
        <w:div w:id="540092266">
          <w:marLeft w:val="0"/>
          <w:marRight w:val="0"/>
          <w:marTop w:val="0"/>
          <w:marBottom w:val="0"/>
          <w:divBdr>
            <w:top w:val="none" w:sz="0" w:space="0" w:color="auto"/>
            <w:left w:val="none" w:sz="0" w:space="0" w:color="auto"/>
            <w:bottom w:val="none" w:sz="0" w:space="0" w:color="auto"/>
            <w:right w:val="none" w:sz="0" w:space="0" w:color="auto"/>
          </w:divBdr>
        </w:div>
        <w:div w:id="703675331">
          <w:marLeft w:val="0"/>
          <w:marRight w:val="0"/>
          <w:marTop w:val="0"/>
          <w:marBottom w:val="0"/>
          <w:divBdr>
            <w:top w:val="none" w:sz="0" w:space="0" w:color="auto"/>
            <w:left w:val="none" w:sz="0" w:space="0" w:color="auto"/>
            <w:bottom w:val="none" w:sz="0" w:space="0" w:color="auto"/>
            <w:right w:val="none" w:sz="0" w:space="0" w:color="auto"/>
          </w:divBdr>
        </w:div>
        <w:div w:id="1285387117">
          <w:marLeft w:val="0"/>
          <w:marRight w:val="0"/>
          <w:marTop w:val="0"/>
          <w:marBottom w:val="0"/>
          <w:divBdr>
            <w:top w:val="none" w:sz="0" w:space="0" w:color="auto"/>
            <w:left w:val="none" w:sz="0" w:space="0" w:color="auto"/>
            <w:bottom w:val="none" w:sz="0" w:space="0" w:color="auto"/>
            <w:right w:val="none" w:sz="0" w:space="0" w:color="auto"/>
          </w:divBdr>
        </w:div>
        <w:div w:id="908342463">
          <w:marLeft w:val="0"/>
          <w:marRight w:val="0"/>
          <w:marTop w:val="0"/>
          <w:marBottom w:val="0"/>
          <w:divBdr>
            <w:top w:val="none" w:sz="0" w:space="0" w:color="auto"/>
            <w:left w:val="none" w:sz="0" w:space="0" w:color="auto"/>
            <w:bottom w:val="none" w:sz="0" w:space="0" w:color="auto"/>
            <w:right w:val="none" w:sz="0" w:space="0" w:color="auto"/>
          </w:divBdr>
        </w:div>
        <w:div w:id="722868841">
          <w:marLeft w:val="0"/>
          <w:marRight w:val="0"/>
          <w:marTop w:val="0"/>
          <w:marBottom w:val="0"/>
          <w:divBdr>
            <w:top w:val="none" w:sz="0" w:space="0" w:color="auto"/>
            <w:left w:val="none" w:sz="0" w:space="0" w:color="auto"/>
            <w:bottom w:val="none" w:sz="0" w:space="0" w:color="auto"/>
            <w:right w:val="none" w:sz="0" w:space="0" w:color="auto"/>
          </w:divBdr>
        </w:div>
        <w:div w:id="937562861">
          <w:marLeft w:val="0"/>
          <w:marRight w:val="0"/>
          <w:marTop w:val="0"/>
          <w:marBottom w:val="0"/>
          <w:divBdr>
            <w:top w:val="none" w:sz="0" w:space="0" w:color="auto"/>
            <w:left w:val="none" w:sz="0" w:space="0" w:color="auto"/>
            <w:bottom w:val="none" w:sz="0" w:space="0" w:color="auto"/>
            <w:right w:val="none" w:sz="0" w:space="0" w:color="auto"/>
          </w:divBdr>
        </w:div>
        <w:div w:id="184877873">
          <w:marLeft w:val="0"/>
          <w:marRight w:val="0"/>
          <w:marTop w:val="0"/>
          <w:marBottom w:val="0"/>
          <w:divBdr>
            <w:top w:val="none" w:sz="0" w:space="0" w:color="auto"/>
            <w:left w:val="none" w:sz="0" w:space="0" w:color="auto"/>
            <w:bottom w:val="none" w:sz="0" w:space="0" w:color="auto"/>
            <w:right w:val="none" w:sz="0" w:space="0" w:color="auto"/>
          </w:divBdr>
        </w:div>
        <w:div w:id="1978413465">
          <w:marLeft w:val="0"/>
          <w:marRight w:val="0"/>
          <w:marTop w:val="0"/>
          <w:marBottom w:val="0"/>
          <w:divBdr>
            <w:top w:val="none" w:sz="0" w:space="0" w:color="auto"/>
            <w:left w:val="none" w:sz="0" w:space="0" w:color="auto"/>
            <w:bottom w:val="none" w:sz="0" w:space="0" w:color="auto"/>
            <w:right w:val="none" w:sz="0" w:space="0" w:color="auto"/>
          </w:divBdr>
        </w:div>
        <w:div w:id="1439829546">
          <w:marLeft w:val="0"/>
          <w:marRight w:val="0"/>
          <w:marTop w:val="0"/>
          <w:marBottom w:val="0"/>
          <w:divBdr>
            <w:top w:val="none" w:sz="0" w:space="0" w:color="auto"/>
            <w:left w:val="none" w:sz="0" w:space="0" w:color="auto"/>
            <w:bottom w:val="none" w:sz="0" w:space="0" w:color="auto"/>
            <w:right w:val="none" w:sz="0" w:space="0" w:color="auto"/>
          </w:divBdr>
        </w:div>
        <w:div w:id="1991054183">
          <w:marLeft w:val="0"/>
          <w:marRight w:val="0"/>
          <w:marTop w:val="0"/>
          <w:marBottom w:val="0"/>
          <w:divBdr>
            <w:top w:val="none" w:sz="0" w:space="0" w:color="auto"/>
            <w:left w:val="none" w:sz="0" w:space="0" w:color="auto"/>
            <w:bottom w:val="none" w:sz="0" w:space="0" w:color="auto"/>
            <w:right w:val="none" w:sz="0" w:space="0" w:color="auto"/>
          </w:divBdr>
        </w:div>
        <w:div w:id="1550262110">
          <w:marLeft w:val="0"/>
          <w:marRight w:val="0"/>
          <w:marTop w:val="0"/>
          <w:marBottom w:val="0"/>
          <w:divBdr>
            <w:top w:val="none" w:sz="0" w:space="0" w:color="auto"/>
            <w:left w:val="none" w:sz="0" w:space="0" w:color="auto"/>
            <w:bottom w:val="none" w:sz="0" w:space="0" w:color="auto"/>
            <w:right w:val="none" w:sz="0" w:space="0" w:color="auto"/>
          </w:divBdr>
        </w:div>
        <w:div w:id="1830749405">
          <w:marLeft w:val="0"/>
          <w:marRight w:val="0"/>
          <w:marTop w:val="0"/>
          <w:marBottom w:val="0"/>
          <w:divBdr>
            <w:top w:val="none" w:sz="0" w:space="0" w:color="auto"/>
            <w:left w:val="none" w:sz="0" w:space="0" w:color="auto"/>
            <w:bottom w:val="none" w:sz="0" w:space="0" w:color="auto"/>
            <w:right w:val="none" w:sz="0" w:space="0" w:color="auto"/>
          </w:divBdr>
        </w:div>
        <w:div w:id="539830206">
          <w:marLeft w:val="0"/>
          <w:marRight w:val="0"/>
          <w:marTop w:val="0"/>
          <w:marBottom w:val="0"/>
          <w:divBdr>
            <w:top w:val="none" w:sz="0" w:space="0" w:color="auto"/>
            <w:left w:val="none" w:sz="0" w:space="0" w:color="auto"/>
            <w:bottom w:val="none" w:sz="0" w:space="0" w:color="auto"/>
            <w:right w:val="none" w:sz="0" w:space="0" w:color="auto"/>
          </w:divBdr>
        </w:div>
        <w:div w:id="1095200698">
          <w:marLeft w:val="0"/>
          <w:marRight w:val="0"/>
          <w:marTop w:val="0"/>
          <w:marBottom w:val="0"/>
          <w:divBdr>
            <w:top w:val="none" w:sz="0" w:space="0" w:color="auto"/>
            <w:left w:val="none" w:sz="0" w:space="0" w:color="auto"/>
            <w:bottom w:val="none" w:sz="0" w:space="0" w:color="auto"/>
            <w:right w:val="none" w:sz="0" w:space="0" w:color="auto"/>
          </w:divBdr>
        </w:div>
        <w:div w:id="1550265208">
          <w:marLeft w:val="0"/>
          <w:marRight w:val="0"/>
          <w:marTop w:val="0"/>
          <w:marBottom w:val="0"/>
          <w:divBdr>
            <w:top w:val="none" w:sz="0" w:space="0" w:color="auto"/>
            <w:left w:val="none" w:sz="0" w:space="0" w:color="auto"/>
            <w:bottom w:val="none" w:sz="0" w:space="0" w:color="auto"/>
            <w:right w:val="none" w:sz="0" w:space="0" w:color="auto"/>
          </w:divBdr>
        </w:div>
        <w:div w:id="537742257">
          <w:marLeft w:val="0"/>
          <w:marRight w:val="0"/>
          <w:marTop w:val="0"/>
          <w:marBottom w:val="0"/>
          <w:divBdr>
            <w:top w:val="none" w:sz="0" w:space="0" w:color="auto"/>
            <w:left w:val="none" w:sz="0" w:space="0" w:color="auto"/>
            <w:bottom w:val="none" w:sz="0" w:space="0" w:color="auto"/>
            <w:right w:val="none" w:sz="0" w:space="0" w:color="auto"/>
          </w:divBdr>
        </w:div>
        <w:div w:id="1419519440">
          <w:marLeft w:val="0"/>
          <w:marRight w:val="0"/>
          <w:marTop w:val="0"/>
          <w:marBottom w:val="0"/>
          <w:divBdr>
            <w:top w:val="none" w:sz="0" w:space="0" w:color="auto"/>
            <w:left w:val="none" w:sz="0" w:space="0" w:color="auto"/>
            <w:bottom w:val="none" w:sz="0" w:space="0" w:color="auto"/>
            <w:right w:val="none" w:sz="0" w:space="0" w:color="auto"/>
          </w:divBdr>
        </w:div>
        <w:div w:id="1007713314">
          <w:marLeft w:val="0"/>
          <w:marRight w:val="0"/>
          <w:marTop w:val="0"/>
          <w:marBottom w:val="0"/>
          <w:divBdr>
            <w:top w:val="none" w:sz="0" w:space="0" w:color="auto"/>
            <w:left w:val="none" w:sz="0" w:space="0" w:color="auto"/>
            <w:bottom w:val="none" w:sz="0" w:space="0" w:color="auto"/>
            <w:right w:val="none" w:sz="0" w:space="0" w:color="auto"/>
          </w:divBdr>
        </w:div>
        <w:div w:id="1194030135">
          <w:marLeft w:val="0"/>
          <w:marRight w:val="0"/>
          <w:marTop w:val="0"/>
          <w:marBottom w:val="0"/>
          <w:divBdr>
            <w:top w:val="none" w:sz="0" w:space="0" w:color="auto"/>
            <w:left w:val="none" w:sz="0" w:space="0" w:color="auto"/>
            <w:bottom w:val="none" w:sz="0" w:space="0" w:color="auto"/>
            <w:right w:val="none" w:sz="0" w:space="0" w:color="auto"/>
          </w:divBdr>
        </w:div>
        <w:div w:id="223683923">
          <w:marLeft w:val="0"/>
          <w:marRight w:val="0"/>
          <w:marTop w:val="0"/>
          <w:marBottom w:val="0"/>
          <w:divBdr>
            <w:top w:val="none" w:sz="0" w:space="0" w:color="auto"/>
            <w:left w:val="none" w:sz="0" w:space="0" w:color="auto"/>
            <w:bottom w:val="none" w:sz="0" w:space="0" w:color="auto"/>
            <w:right w:val="none" w:sz="0" w:space="0" w:color="auto"/>
          </w:divBdr>
        </w:div>
        <w:div w:id="91904935">
          <w:marLeft w:val="0"/>
          <w:marRight w:val="0"/>
          <w:marTop w:val="0"/>
          <w:marBottom w:val="0"/>
          <w:divBdr>
            <w:top w:val="none" w:sz="0" w:space="0" w:color="auto"/>
            <w:left w:val="none" w:sz="0" w:space="0" w:color="auto"/>
            <w:bottom w:val="none" w:sz="0" w:space="0" w:color="auto"/>
            <w:right w:val="none" w:sz="0" w:space="0" w:color="auto"/>
          </w:divBdr>
        </w:div>
        <w:div w:id="951010660">
          <w:marLeft w:val="0"/>
          <w:marRight w:val="0"/>
          <w:marTop w:val="0"/>
          <w:marBottom w:val="0"/>
          <w:divBdr>
            <w:top w:val="none" w:sz="0" w:space="0" w:color="auto"/>
            <w:left w:val="none" w:sz="0" w:space="0" w:color="auto"/>
            <w:bottom w:val="none" w:sz="0" w:space="0" w:color="auto"/>
            <w:right w:val="none" w:sz="0" w:space="0" w:color="auto"/>
          </w:divBdr>
        </w:div>
        <w:div w:id="561064005">
          <w:marLeft w:val="0"/>
          <w:marRight w:val="0"/>
          <w:marTop w:val="0"/>
          <w:marBottom w:val="0"/>
          <w:divBdr>
            <w:top w:val="none" w:sz="0" w:space="0" w:color="auto"/>
            <w:left w:val="none" w:sz="0" w:space="0" w:color="auto"/>
            <w:bottom w:val="none" w:sz="0" w:space="0" w:color="auto"/>
            <w:right w:val="none" w:sz="0" w:space="0" w:color="auto"/>
          </w:divBdr>
        </w:div>
        <w:div w:id="1960791412">
          <w:marLeft w:val="0"/>
          <w:marRight w:val="0"/>
          <w:marTop w:val="0"/>
          <w:marBottom w:val="0"/>
          <w:divBdr>
            <w:top w:val="none" w:sz="0" w:space="0" w:color="auto"/>
            <w:left w:val="none" w:sz="0" w:space="0" w:color="auto"/>
            <w:bottom w:val="none" w:sz="0" w:space="0" w:color="auto"/>
            <w:right w:val="none" w:sz="0" w:space="0" w:color="auto"/>
          </w:divBdr>
        </w:div>
        <w:div w:id="2084133622">
          <w:marLeft w:val="0"/>
          <w:marRight w:val="0"/>
          <w:marTop w:val="0"/>
          <w:marBottom w:val="0"/>
          <w:divBdr>
            <w:top w:val="none" w:sz="0" w:space="0" w:color="auto"/>
            <w:left w:val="none" w:sz="0" w:space="0" w:color="auto"/>
            <w:bottom w:val="none" w:sz="0" w:space="0" w:color="auto"/>
            <w:right w:val="none" w:sz="0" w:space="0" w:color="auto"/>
          </w:divBdr>
        </w:div>
        <w:div w:id="1079910220">
          <w:marLeft w:val="0"/>
          <w:marRight w:val="0"/>
          <w:marTop w:val="0"/>
          <w:marBottom w:val="0"/>
          <w:divBdr>
            <w:top w:val="none" w:sz="0" w:space="0" w:color="auto"/>
            <w:left w:val="none" w:sz="0" w:space="0" w:color="auto"/>
            <w:bottom w:val="none" w:sz="0" w:space="0" w:color="auto"/>
            <w:right w:val="none" w:sz="0" w:space="0" w:color="auto"/>
          </w:divBdr>
        </w:div>
        <w:div w:id="889997421">
          <w:marLeft w:val="0"/>
          <w:marRight w:val="0"/>
          <w:marTop w:val="0"/>
          <w:marBottom w:val="0"/>
          <w:divBdr>
            <w:top w:val="none" w:sz="0" w:space="0" w:color="auto"/>
            <w:left w:val="none" w:sz="0" w:space="0" w:color="auto"/>
            <w:bottom w:val="none" w:sz="0" w:space="0" w:color="auto"/>
            <w:right w:val="none" w:sz="0" w:space="0" w:color="auto"/>
          </w:divBdr>
        </w:div>
        <w:div w:id="195585622">
          <w:marLeft w:val="0"/>
          <w:marRight w:val="0"/>
          <w:marTop w:val="0"/>
          <w:marBottom w:val="0"/>
          <w:divBdr>
            <w:top w:val="none" w:sz="0" w:space="0" w:color="auto"/>
            <w:left w:val="none" w:sz="0" w:space="0" w:color="auto"/>
            <w:bottom w:val="none" w:sz="0" w:space="0" w:color="auto"/>
            <w:right w:val="none" w:sz="0" w:space="0" w:color="auto"/>
          </w:divBdr>
        </w:div>
        <w:div w:id="120734229">
          <w:marLeft w:val="0"/>
          <w:marRight w:val="0"/>
          <w:marTop w:val="0"/>
          <w:marBottom w:val="0"/>
          <w:divBdr>
            <w:top w:val="none" w:sz="0" w:space="0" w:color="auto"/>
            <w:left w:val="none" w:sz="0" w:space="0" w:color="auto"/>
            <w:bottom w:val="none" w:sz="0" w:space="0" w:color="auto"/>
            <w:right w:val="none" w:sz="0" w:space="0" w:color="auto"/>
          </w:divBdr>
        </w:div>
        <w:div w:id="1269508770">
          <w:marLeft w:val="0"/>
          <w:marRight w:val="0"/>
          <w:marTop w:val="0"/>
          <w:marBottom w:val="0"/>
          <w:divBdr>
            <w:top w:val="none" w:sz="0" w:space="0" w:color="auto"/>
            <w:left w:val="none" w:sz="0" w:space="0" w:color="auto"/>
            <w:bottom w:val="none" w:sz="0" w:space="0" w:color="auto"/>
            <w:right w:val="none" w:sz="0" w:space="0" w:color="auto"/>
          </w:divBdr>
        </w:div>
        <w:div w:id="331375925">
          <w:marLeft w:val="0"/>
          <w:marRight w:val="0"/>
          <w:marTop w:val="0"/>
          <w:marBottom w:val="0"/>
          <w:divBdr>
            <w:top w:val="none" w:sz="0" w:space="0" w:color="auto"/>
            <w:left w:val="none" w:sz="0" w:space="0" w:color="auto"/>
            <w:bottom w:val="none" w:sz="0" w:space="0" w:color="auto"/>
            <w:right w:val="none" w:sz="0" w:space="0" w:color="auto"/>
          </w:divBdr>
        </w:div>
        <w:div w:id="1369839987">
          <w:marLeft w:val="0"/>
          <w:marRight w:val="0"/>
          <w:marTop w:val="0"/>
          <w:marBottom w:val="0"/>
          <w:divBdr>
            <w:top w:val="none" w:sz="0" w:space="0" w:color="auto"/>
            <w:left w:val="none" w:sz="0" w:space="0" w:color="auto"/>
            <w:bottom w:val="none" w:sz="0" w:space="0" w:color="auto"/>
            <w:right w:val="none" w:sz="0" w:space="0" w:color="auto"/>
          </w:divBdr>
        </w:div>
        <w:div w:id="1436093764">
          <w:marLeft w:val="0"/>
          <w:marRight w:val="0"/>
          <w:marTop w:val="0"/>
          <w:marBottom w:val="0"/>
          <w:divBdr>
            <w:top w:val="none" w:sz="0" w:space="0" w:color="auto"/>
            <w:left w:val="none" w:sz="0" w:space="0" w:color="auto"/>
            <w:bottom w:val="none" w:sz="0" w:space="0" w:color="auto"/>
            <w:right w:val="none" w:sz="0" w:space="0" w:color="auto"/>
          </w:divBdr>
        </w:div>
        <w:div w:id="1840463988">
          <w:marLeft w:val="0"/>
          <w:marRight w:val="0"/>
          <w:marTop w:val="0"/>
          <w:marBottom w:val="0"/>
          <w:divBdr>
            <w:top w:val="none" w:sz="0" w:space="0" w:color="auto"/>
            <w:left w:val="none" w:sz="0" w:space="0" w:color="auto"/>
            <w:bottom w:val="none" w:sz="0" w:space="0" w:color="auto"/>
            <w:right w:val="none" w:sz="0" w:space="0" w:color="auto"/>
          </w:divBdr>
        </w:div>
        <w:div w:id="1255624751">
          <w:marLeft w:val="0"/>
          <w:marRight w:val="0"/>
          <w:marTop w:val="0"/>
          <w:marBottom w:val="0"/>
          <w:divBdr>
            <w:top w:val="none" w:sz="0" w:space="0" w:color="auto"/>
            <w:left w:val="none" w:sz="0" w:space="0" w:color="auto"/>
            <w:bottom w:val="none" w:sz="0" w:space="0" w:color="auto"/>
            <w:right w:val="none" w:sz="0" w:space="0" w:color="auto"/>
          </w:divBdr>
        </w:div>
        <w:div w:id="920412820">
          <w:marLeft w:val="0"/>
          <w:marRight w:val="0"/>
          <w:marTop w:val="0"/>
          <w:marBottom w:val="0"/>
          <w:divBdr>
            <w:top w:val="none" w:sz="0" w:space="0" w:color="auto"/>
            <w:left w:val="none" w:sz="0" w:space="0" w:color="auto"/>
            <w:bottom w:val="none" w:sz="0" w:space="0" w:color="auto"/>
            <w:right w:val="none" w:sz="0" w:space="0" w:color="auto"/>
          </w:divBdr>
        </w:div>
        <w:div w:id="1589577484">
          <w:marLeft w:val="0"/>
          <w:marRight w:val="0"/>
          <w:marTop w:val="0"/>
          <w:marBottom w:val="0"/>
          <w:divBdr>
            <w:top w:val="none" w:sz="0" w:space="0" w:color="auto"/>
            <w:left w:val="none" w:sz="0" w:space="0" w:color="auto"/>
            <w:bottom w:val="none" w:sz="0" w:space="0" w:color="auto"/>
            <w:right w:val="none" w:sz="0" w:space="0" w:color="auto"/>
          </w:divBdr>
        </w:div>
        <w:div w:id="1348630684">
          <w:marLeft w:val="0"/>
          <w:marRight w:val="0"/>
          <w:marTop w:val="0"/>
          <w:marBottom w:val="0"/>
          <w:divBdr>
            <w:top w:val="none" w:sz="0" w:space="0" w:color="auto"/>
            <w:left w:val="none" w:sz="0" w:space="0" w:color="auto"/>
            <w:bottom w:val="none" w:sz="0" w:space="0" w:color="auto"/>
            <w:right w:val="none" w:sz="0" w:space="0" w:color="auto"/>
          </w:divBdr>
        </w:div>
        <w:div w:id="916666826">
          <w:marLeft w:val="0"/>
          <w:marRight w:val="0"/>
          <w:marTop w:val="0"/>
          <w:marBottom w:val="0"/>
          <w:divBdr>
            <w:top w:val="none" w:sz="0" w:space="0" w:color="auto"/>
            <w:left w:val="none" w:sz="0" w:space="0" w:color="auto"/>
            <w:bottom w:val="none" w:sz="0" w:space="0" w:color="auto"/>
            <w:right w:val="none" w:sz="0" w:space="0" w:color="auto"/>
          </w:divBdr>
        </w:div>
        <w:div w:id="384452520">
          <w:marLeft w:val="0"/>
          <w:marRight w:val="0"/>
          <w:marTop w:val="0"/>
          <w:marBottom w:val="0"/>
          <w:divBdr>
            <w:top w:val="none" w:sz="0" w:space="0" w:color="auto"/>
            <w:left w:val="none" w:sz="0" w:space="0" w:color="auto"/>
            <w:bottom w:val="none" w:sz="0" w:space="0" w:color="auto"/>
            <w:right w:val="none" w:sz="0" w:space="0" w:color="auto"/>
          </w:divBdr>
        </w:div>
        <w:div w:id="644504065">
          <w:marLeft w:val="0"/>
          <w:marRight w:val="0"/>
          <w:marTop w:val="0"/>
          <w:marBottom w:val="0"/>
          <w:divBdr>
            <w:top w:val="none" w:sz="0" w:space="0" w:color="auto"/>
            <w:left w:val="none" w:sz="0" w:space="0" w:color="auto"/>
            <w:bottom w:val="none" w:sz="0" w:space="0" w:color="auto"/>
            <w:right w:val="none" w:sz="0" w:space="0" w:color="auto"/>
          </w:divBdr>
        </w:div>
        <w:div w:id="2024479716">
          <w:marLeft w:val="0"/>
          <w:marRight w:val="0"/>
          <w:marTop w:val="0"/>
          <w:marBottom w:val="0"/>
          <w:divBdr>
            <w:top w:val="none" w:sz="0" w:space="0" w:color="auto"/>
            <w:left w:val="none" w:sz="0" w:space="0" w:color="auto"/>
            <w:bottom w:val="none" w:sz="0" w:space="0" w:color="auto"/>
            <w:right w:val="none" w:sz="0" w:space="0" w:color="auto"/>
          </w:divBdr>
        </w:div>
        <w:div w:id="190999710">
          <w:marLeft w:val="0"/>
          <w:marRight w:val="0"/>
          <w:marTop w:val="0"/>
          <w:marBottom w:val="0"/>
          <w:divBdr>
            <w:top w:val="none" w:sz="0" w:space="0" w:color="auto"/>
            <w:left w:val="none" w:sz="0" w:space="0" w:color="auto"/>
            <w:bottom w:val="none" w:sz="0" w:space="0" w:color="auto"/>
            <w:right w:val="none" w:sz="0" w:space="0" w:color="auto"/>
          </w:divBdr>
        </w:div>
        <w:div w:id="354157927">
          <w:marLeft w:val="0"/>
          <w:marRight w:val="0"/>
          <w:marTop w:val="0"/>
          <w:marBottom w:val="0"/>
          <w:divBdr>
            <w:top w:val="none" w:sz="0" w:space="0" w:color="auto"/>
            <w:left w:val="none" w:sz="0" w:space="0" w:color="auto"/>
            <w:bottom w:val="none" w:sz="0" w:space="0" w:color="auto"/>
            <w:right w:val="none" w:sz="0" w:space="0" w:color="auto"/>
          </w:divBdr>
        </w:div>
        <w:div w:id="1180779122">
          <w:marLeft w:val="0"/>
          <w:marRight w:val="0"/>
          <w:marTop w:val="0"/>
          <w:marBottom w:val="0"/>
          <w:divBdr>
            <w:top w:val="none" w:sz="0" w:space="0" w:color="auto"/>
            <w:left w:val="none" w:sz="0" w:space="0" w:color="auto"/>
            <w:bottom w:val="none" w:sz="0" w:space="0" w:color="auto"/>
            <w:right w:val="none" w:sz="0" w:space="0" w:color="auto"/>
          </w:divBdr>
        </w:div>
        <w:div w:id="1014845877">
          <w:marLeft w:val="0"/>
          <w:marRight w:val="0"/>
          <w:marTop w:val="0"/>
          <w:marBottom w:val="0"/>
          <w:divBdr>
            <w:top w:val="none" w:sz="0" w:space="0" w:color="auto"/>
            <w:left w:val="none" w:sz="0" w:space="0" w:color="auto"/>
            <w:bottom w:val="none" w:sz="0" w:space="0" w:color="auto"/>
            <w:right w:val="none" w:sz="0" w:space="0" w:color="auto"/>
          </w:divBdr>
        </w:div>
        <w:div w:id="584001355">
          <w:marLeft w:val="0"/>
          <w:marRight w:val="0"/>
          <w:marTop w:val="0"/>
          <w:marBottom w:val="0"/>
          <w:divBdr>
            <w:top w:val="none" w:sz="0" w:space="0" w:color="auto"/>
            <w:left w:val="none" w:sz="0" w:space="0" w:color="auto"/>
            <w:bottom w:val="none" w:sz="0" w:space="0" w:color="auto"/>
            <w:right w:val="none" w:sz="0" w:space="0" w:color="auto"/>
          </w:divBdr>
        </w:div>
        <w:div w:id="61367458">
          <w:marLeft w:val="0"/>
          <w:marRight w:val="0"/>
          <w:marTop w:val="0"/>
          <w:marBottom w:val="0"/>
          <w:divBdr>
            <w:top w:val="none" w:sz="0" w:space="0" w:color="auto"/>
            <w:left w:val="none" w:sz="0" w:space="0" w:color="auto"/>
            <w:bottom w:val="none" w:sz="0" w:space="0" w:color="auto"/>
            <w:right w:val="none" w:sz="0" w:space="0" w:color="auto"/>
          </w:divBdr>
        </w:div>
        <w:div w:id="1030767064">
          <w:marLeft w:val="0"/>
          <w:marRight w:val="0"/>
          <w:marTop w:val="0"/>
          <w:marBottom w:val="0"/>
          <w:divBdr>
            <w:top w:val="none" w:sz="0" w:space="0" w:color="auto"/>
            <w:left w:val="none" w:sz="0" w:space="0" w:color="auto"/>
            <w:bottom w:val="none" w:sz="0" w:space="0" w:color="auto"/>
            <w:right w:val="none" w:sz="0" w:space="0" w:color="auto"/>
          </w:divBdr>
        </w:div>
        <w:div w:id="476653392">
          <w:marLeft w:val="0"/>
          <w:marRight w:val="0"/>
          <w:marTop w:val="0"/>
          <w:marBottom w:val="0"/>
          <w:divBdr>
            <w:top w:val="none" w:sz="0" w:space="0" w:color="auto"/>
            <w:left w:val="none" w:sz="0" w:space="0" w:color="auto"/>
            <w:bottom w:val="none" w:sz="0" w:space="0" w:color="auto"/>
            <w:right w:val="none" w:sz="0" w:space="0" w:color="auto"/>
          </w:divBdr>
        </w:div>
        <w:div w:id="683241303">
          <w:marLeft w:val="0"/>
          <w:marRight w:val="0"/>
          <w:marTop w:val="0"/>
          <w:marBottom w:val="0"/>
          <w:divBdr>
            <w:top w:val="none" w:sz="0" w:space="0" w:color="auto"/>
            <w:left w:val="none" w:sz="0" w:space="0" w:color="auto"/>
            <w:bottom w:val="none" w:sz="0" w:space="0" w:color="auto"/>
            <w:right w:val="none" w:sz="0" w:space="0" w:color="auto"/>
          </w:divBdr>
        </w:div>
        <w:div w:id="151989414">
          <w:marLeft w:val="0"/>
          <w:marRight w:val="0"/>
          <w:marTop w:val="0"/>
          <w:marBottom w:val="0"/>
          <w:divBdr>
            <w:top w:val="none" w:sz="0" w:space="0" w:color="auto"/>
            <w:left w:val="none" w:sz="0" w:space="0" w:color="auto"/>
            <w:bottom w:val="none" w:sz="0" w:space="0" w:color="auto"/>
            <w:right w:val="none" w:sz="0" w:space="0" w:color="auto"/>
          </w:divBdr>
        </w:div>
        <w:div w:id="71969032">
          <w:marLeft w:val="0"/>
          <w:marRight w:val="0"/>
          <w:marTop w:val="0"/>
          <w:marBottom w:val="0"/>
          <w:divBdr>
            <w:top w:val="none" w:sz="0" w:space="0" w:color="auto"/>
            <w:left w:val="none" w:sz="0" w:space="0" w:color="auto"/>
            <w:bottom w:val="none" w:sz="0" w:space="0" w:color="auto"/>
            <w:right w:val="none" w:sz="0" w:space="0" w:color="auto"/>
          </w:divBdr>
        </w:div>
        <w:div w:id="905072756">
          <w:marLeft w:val="0"/>
          <w:marRight w:val="0"/>
          <w:marTop w:val="0"/>
          <w:marBottom w:val="0"/>
          <w:divBdr>
            <w:top w:val="none" w:sz="0" w:space="0" w:color="auto"/>
            <w:left w:val="none" w:sz="0" w:space="0" w:color="auto"/>
            <w:bottom w:val="none" w:sz="0" w:space="0" w:color="auto"/>
            <w:right w:val="none" w:sz="0" w:space="0" w:color="auto"/>
          </w:divBdr>
        </w:div>
        <w:div w:id="330645530">
          <w:marLeft w:val="0"/>
          <w:marRight w:val="0"/>
          <w:marTop w:val="0"/>
          <w:marBottom w:val="0"/>
          <w:divBdr>
            <w:top w:val="none" w:sz="0" w:space="0" w:color="auto"/>
            <w:left w:val="none" w:sz="0" w:space="0" w:color="auto"/>
            <w:bottom w:val="none" w:sz="0" w:space="0" w:color="auto"/>
            <w:right w:val="none" w:sz="0" w:space="0" w:color="auto"/>
          </w:divBdr>
        </w:div>
        <w:div w:id="1187914184">
          <w:marLeft w:val="0"/>
          <w:marRight w:val="0"/>
          <w:marTop w:val="0"/>
          <w:marBottom w:val="0"/>
          <w:divBdr>
            <w:top w:val="none" w:sz="0" w:space="0" w:color="auto"/>
            <w:left w:val="none" w:sz="0" w:space="0" w:color="auto"/>
            <w:bottom w:val="none" w:sz="0" w:space="0" w:color="auto"/>
            <w:right w:val="none" w:sz="0" w:space="0" w:color="auto"/>
          </w:divBdr>
        </w:div>
        <w:div w:id="377248077">
          <w:marLeft w:val="0"/>
          <w:marRight w:val="0"/>
          <w:marTop w:val="0"/>
          <w:marBottom w:val="0"/>
          <w:divBdr>
            <w:top w:val="none" w:sz="0" w:space="0" w:color="auto"/>
            <w:left w:val="none" w:sz="0" w:space="0" w:color="auto"/>
            <w:bottom w:val="none" w:sz="0" w:space="0" w:color="auto"/>
            <w:right w:val="none" w:sz="0" w:space="0" w:color="auto"/>
          </w:divBdr>
        </w:div>
        <w:div w:id="90929267">
          <w:marLeft w:val="0"/>
          <w:marRight w:val="0"/>
          <w:marTop w:val="0"/>
          <w:marBottom w:val="0"/>
          <w:divBdr>
            <w:top w:val="none" w:sz="0" w:space="0" w:color="auto"/>
            <w:left w:val="none" w:sz="0" w:space="0" w:color="auto"/>
            <w:bottom w:val="none" w:sz="0" w:space="0" w:color="auto"/>
            <w:right w:val="none" w:sz="0" w:space="0" w:color="auto"/>
          </w:divBdr>
        </w:div>
        <w:div w:id="259415144">
          <w:marLeft w:val="0"/>
          <w:marRight w:val="0"/>
          <w:marTop w:val="0"/>
          <w:marBottom w:val="0"/>
          <w:divBdr>
            <w:top w:val="none" w:sz="0" w:space="0" w:color="auto"/>
            <w:left w:val="none" w:sz="0" w:space="0" w:color="auto"/>
            <w:bottom w:val="none" w:sz="0" w:space="0" w:color="auto"/>
            <w:right w:val="none" w:sz="0" w:space="0" w:color="auto"/>
          </w:divBdr>
        </w:div>
        <w:div w:id="552086693">
          <w:marLeft w:val="0"/>
          <w:marRight w:val="0"/>
          <w:marTop w:val="0"/>
          <w:marBottom w:val="0"/>
          <w:divBdr>
            <w:top w:val="none" w:sz="0" w:space="0" w:color="auto"/>
            <w:left w:val="none" w:sz="0" w:space="0" w:color="auto"/>
            <w:bottom w:val="none" w:sz="0" w:space="0" w:color="auto"/>
            <w:right w:val="none" w:sz="0" w:space="0" w:color="auto"/>
          </w:divBdr>
        </w:div>
        <w:div w:id="1349866451">
          <w:marLeft w:val="0"/>
          <w:marRight w:val="0"/>
          <w:marTop w:val="0"/>
          <w:marBottom w:val="0"/>
          <w:divBdr>
            <w:top w:val="none" w:sz="0" w:space="0" w:color="auto"/>
            <w:left w:val="none" w:sz="0" w:space="0" w:color="auto"/>
            <w:bottom w:val="none" w:sz="0" w:space="0" w:color="auto"/>
            <w:right w:val="none" w:sz="0" w:space="0" w:color="auto"/>
          </w:divBdr>
        </w:div>
        <w:div w:id="1620650164">
          <w:marLeft w:val="0"/>
          <w:marRight w:val="0"/>
          <w:marTop w:val="0"/>
          <w:marBottom w:val="0"/>
          <w:divBdr>
            <w:top w:val="none" w:sz="0" w:space="0" w:color="auto"/>
            <w:left w:val="none" w:sz="0" w:space="0" w:color="auto"/>
            <w:bottom w:val="none" w:sz="0" w:space="0" w:color="auto"/>
            <w:right w:val="none" w:sz="0" w:space="0" w:color="auto"/>
          </w:divBdr>
        </w:div>
        <w:div w:id="127826624">
          <w:marLeft w:val="0"/>
          <w:marRight w:val="0"/>
          <w:marTop w:val="0"/>
          <w:marBottom w:val="0"/>
          <w:divBdr>
            <w:top w:val="none" w:sz="0" w:space="0" w:color="auto"/>
            <w:left w:val="none" w:sz="0" w:space="0" w:color="auto"/>
            <w:bottom w:val="none" w:sz="0" w:space="0" w:color="auto"/>
            <w:right w:val="none" w:sz="0" w:space="0" w:color="auto"/>
          </w:divBdr>
        </w:div>
        <w:div w:id="852695134">
          <w:marLeft w:val="0"/>
          <w:marRight w:val="0"/>
          <w:marTop w:val="0"/>
          <w:marBottom w:val="0"/>
          <w:divBdr>
            <w:top w:val="none" w:sz="0" w:space="0" w:color="auto"/>
            <w:left w:val="none" w:sz="0" w:space="0" w:color="auto"/>
            <w:bottom w:val="none" w:sz="0" w:space="0" w:color="auto"/>
            <w:right w:val="none" w:sz="0" w:space="0" w:color="auto"/>
          </w:divBdr>
        </w:div>
        <w:div w:id="1451168874">
          <w:marLeft w:val="0"/>
          <w:marRight w:val="0"/>
          <w:marTop w:val="0"/>
          <w:marBottom w:val="0"/>
          <w:divBdr>
            <w:top w:val="none" w:sz="0" w:space="0" w:color="auto"/>
            <w:left w:val="none" w:sz="0" w:space="0" w:color="auto"/>
            <w:bottom w:val="none" w:sz="0" w:space="0" w:color="auto"/>
            <w:right w:val="none" w:sz="0" w:space="0" w:color="auto"/>
          </w:divBdr>
        </w:div>
        <w:div w:id="938175948">
          <w:marLeft w:val="0"/>
          <w:marRight w:val="0"/>
          <w:marTop w:val="0"/>
          <w:marBottom w:val="0"/>
          <w:divBdr>
            <w:top w:val="none" w:sz="0" w:space="0" w:color="auto"/>
            <w:left w:val="none" w:sz="0" w:space="0" w:color="auto"/>
            <w:bottom w:val="none" w:sz="0" w:space="0" w:color="auto"/>
            <w:right w:val="none" w:sz="0" w:space="0" w:color="auto"/>
          </w:divBdr>
        </w:div>
        <w:div w:id="1201356052">
          <w:marLeft w:val="0"/>
          <w:marRight w:val="0"/>
          <w:marTop w:val="0"/>
          <w:marBottom w:val="0"/>
          <w:divBdr>
            <w:top w:val="none" w:sz="0" w:space="0" w:color="auto"/>
            <w:left w:val="none" w:sz="0" w:space="0" w:color="auto"/>
            <w:bottom w:val="none" w:sz="0" w:space="0" w:color="auto"/>
            <w:right w:val="none" w:sz="0" w:space="0" w:color="auto"/>
          </w:divBdr>
        </w:div>
        <w:div w:id="857502681">
          <w:marLeft w:val="0"/>
          <w:marRight w:val="0"/>
          <w:marTop w:val="0"/>
          <w:marBottom w:val="0"/>
          <w:divBdr>
            <w:top w:val="none" w:sz="0" w:space="0" w:color="auto"/>
            <w:left w:val="none" w:sz="0" w:space="0" w:color="auto"/>
            <w:bottom w:val="none" w:sz="0" w:space="0" w:color="auto"/>
            <w:right w:val="none" w:sz="0" w:space="0" w:color="auto"/>
          </w:divBdr>
        </w:div>
        <w:div w:id="1706448277">
          <w:marLeft w:val="0"/>
          <w:marRight w:val="0"/>
          <w:marTop w:val="0"/>
          <w:marBottom w:val="0"/>
          <w:divBdr>
            <w:top w:val="none" w:sz="0" w:space="0" w:color="auto"/>
            <w:left w:val="none" w:sz="0" w:space="0" w:color="auto"/>
            <w:bottom w:val="none" w:sz="0" w:space="0" w:color="auto"/>
            <w:right w:val="none" w:sz="0" w:space="0" w:color="auto"/>
          </w:divBdr>
        </w:div>
        <w:div w:id="1186483762">
          <w:marLeft w:val="0"/>
          <w:marRight w:val="0"/>
          <w:marTop w:val="0"/>
          <w:marBottom w:val="0"/>
          <w:divBdr>
            <w:top w:val="none" w:sz="0" w:space="0" w:color="auto"/>
            <w:left w:val="none" w:sz="0" w:space="0" w:color="auto"/>
            <w:bottom w:val="none" w:sz="0" w:space="0" w:color="auto"/>
            <w:right w:val="none" w:sz="0" w:space="0" w:color="auto"/>
          </w:divBdr>
        </w:div>
        <w:div w:id="1759908953">
          <w:marLeft w:val="0"/>
          <w:marRight w:val="0"/>
          <w:marTop w:val="0"/>
          <w:marBottom w:val="0"/>
          <w:divBdr>
            <w:top w:val="none" w:sz="0" w:space="0" w:color="auto"/>
            <w:left w:val="none" w:sz="0" w:space="0" w:color="auto"/>
            <w:bottom w:val="none" w:sz="0" w:space="0" w:color="auto"/>
            <w:right w:val="none" w:sz="0" w:space="0" w:color="auto"/>
          </w:divBdr>
        </w:div>
        <w:div w:id="782580496">
          <w:marLeft w:val="0"/>
          <w:marRight w:val="0"/>
          <w:marTop w:val="0"/>
          <w:marBottom w:val="0"/>
          <w:divBdr>
            <w:top w:val="none" w:sz="0" w:space="0" w:color="auto"/>
            <w:left w:val="none" w:sz="0" w:space="0" w:color="auto"/>
            <w:bottom w:val="none" w:sz="0" w:space="0" w:color="auto"/>
            <w:right w:val="none" w:sz="0" w:space="0" w:color="auto"/>
          </w:divBdr>
        </w:div>
        <w:div w:id="2145077983">
          <w:marLeft w:val="0"/>
          <w:marRight w:val="0"/>
          <w:marTop w:val="0"/>
          <w:marBottom w:val="0"/>
          <w:divBdr>
            <w:top w:val="none" w:sz="0" w:space="0" w:color="auto"/>
            <w:left w:val="none" w:sz="0" w:space="0" w:color="auto"/>
            <w:bottom w:val="none" w:sz="0" w:space="0" w:color="auto"/>
            <w:right w:val="none" w:sz="0" w:space="0" w:color="auto"/>
          </w:divBdr>
        </w:div>
        <w:div w:id="1808156518">
          <w:marLeft w:val="0"/>
          <w:marRight w:val="0"/>
          <w:marTop w:val="0"/>
          <w:marBottom w:val="0"/>
          <w:divBdr>
            <w:top w:val="none" w:sz="0" w:space="0" w:color="auto"/>
            <w:left w:val="none" w:sz="0" w:space="0" w:color="auto"/>
            <w:bottom w:val="none" w:sz="0" w:space="0" w:color="auto"/>
            <w:right w:val="none" w:sz="0" w:space="0" w:color="auto"/>
          </w:divBdr>
        </w:div>
        <w:div w:id="1056583728">
          <w:marLeft w:val="0"/>
          <w:marRight w:val="0"/>
          <w:marTop w:val="0"/>
          <w:marBottom w:val="0"/>
          <w:divBdr>
            <w:top w:val="none" w:sz="0" w:space="0" w:color="auto"/>
            <w:left w:val="none" w:sz="0" w:space="0" w:color="auto"/>
            <w:bottom w:val="none" w:sz="0" w:space="0" w:color="auto"/>
            <w:right w:val="none" w:sz="0" w:space="0" w:color="auto"/>
          </w:divBdr>
        </w:div>
        <w:div w:id="725177800">
          <w:marLeft w:val="0"/>
          <w:marRight w:val="0"/>
          <w:marTop w:val="0"/>
          <w:marBottom w:val="0"/>
          <w:divBdr>
            <w:top w:val="none" w:sz="0" w:space="0" w:color="auto"/>
            <w:left w:val="none" w:sz="0" w:space="0" w:color="auto"/>
            <w:bottom w:val="none" w:sz="0" w:space="0" w:color="auto"/>
            <w:right w:val="none" w:sz="0" w:space="0" w:color="auto"/>
          </w:divBdr>
        </w:div>
        <w:div w:id="2116438409">
          <w:marLeft w:val="0"/>
          <w:marRight w:val="0"/>
          <w:marTop w:val="0"/>
          <w:marBottom w:val="0"/>
          <w:divBdr>
            <w:top w:val="none" w:sz="0" w:space="0" w:color="auto"/>
            <w:left w:val="none" w:sz="0" w:space="0" w:color="auto"/>
            <w:bottom w:val="none" w:sz="0" w:space="0" w:color="auto"/>
            <w:right w:val="none" w:sz="0" w:space="0" w:color="auto"/>
          </w:divBdr>
        </w:div>
        <w:div w:id="457067133">
          <w:marLeft w:val="0"/>
          <w:marRight w:val="0"/>
          <w:marTop w:val="0"/>
          <w:marBottom w:val="0"/>
          <w:divBdr>
            <w:top w:val="none" w:sz="0" w:space="0" w:color="auto"/>
            <w:left w:val="none" w:sz="0" w:space="0" w:color="auto"/>
            <w:bottom w:val="none" w:sz="0" w:space="0" w:color="auto"/>
            <w:right w:val="none" w:sz="0" w:space="0" w:color="auto"/>
          </w:divBdr>
        </w:div>
        <w:div w:id="1160805730">
          <w:marLeft w:val="0"/>
          <w:marRight w:val="0"/>
          <w:marTop w:val="0"/>
          <w:marBottom w:val="0"/>
          <w:divBdr>
            <w:top w:val="none" w:sz="0" w:space="0" w:color="auto"/>
            <w:left w:val="none" w:sz="0" w:space="0" w:color="auto"/>
            <w:bottom w:val="none" w:sz="0" w:space="0" w:color="auto"/>
            <w:right w:val="none" w:sz="0" w:space="0" w:color="auto"/>
          </w:divBdr>
        </w:div>
        <w:div w:id="1275287008">
          <w:marLeft w:val="0"/>
          <w:marRight w:val="0"/>
          <w:marTop w:val="0"/>
          <w:marBottom w:val="0"/>
          <w:divBdr>
            <w:top w:val="none" w:sz="0" w:space="0" w:color="auto"/>
            <w:left w:val="none" w:sz="0" w:space="0" w:color="auto"/>
            <w:bottom w:val="none" w:sz="0" w:space="0" w:color="auto"/>
            <w:right w:val="none" w:sz="0" w:space="0" w:color="auto"/>
          </w:divBdr>
        </w:div>
        <w:div w:id="121463566">
          <w:marLeft w:val="0"/>
          <w:marRight w:val="0"/>
          <w:marTop w:val="0"/>
          <w:marBottom w:val="0"/>
          <w:divBdr>
            <w:top w:val="none" w:sz="0" w:space="0" w:color="auto"/>
            <w:left w:val="none" w:sz="0" w:space="0" w:color="auto"/>
            <w:bottom w:val="none" w:sz="0" w:space="0" w:color="auto"/>
            <w:right w:val="none" w:sz="0" w:space="0" w:color="auto"/>
          </w:divBdr>
        </w:div>
        <w:div w:id="785928379">
          <w:marLeft w:val="0"/>
          <w:marRight w:val="0"/>
          <w:marTop w:val="0"/>
          <w:marBottom w:val="0"/>
          <w:divBdr>
            <w:top w:val="none" w:sz="0" w:space="0" w:color="auto"/>
            <w:left w:val="none" w:sz="0" w:space="0" w:color="auto"/>
            <w:bottom w:val="none" w:sz="0" w:space="0" w:color="auto"/>
            <w:right w:val="none" w:sz="0" w:space="0" w:color="auto"/>
          </w:divBdr>
        </w:div>
        <w:div w:id="1159075479">
          <w:marLeft w:val="0"/>
          <w:marRight w:val="0"/>
          <w:marTop w:val="0"/>
          <w:marBottom w:val="0"/>
          <w:divBdr>
            <w:top w:val="none" w:sz="0" w:space="0" w:color="auto"/>
            <w:left w:val="none" w:sz="0" w:space="0" w:color="auto"/>
            <w:bottom w:val="none" w:sz="0" w:space="0" w:color="auto"/>
            <w:right w:val="none" w:sz="0" w:space="0" w:color="auto"/>
          </w:divBdr>
        </w:div>
        <w:div w:id="580021819">
          <w:marLeft w:val="0"/>
          <w:marRight w:val="0"/>
          <w:marTop w:val="0"/>
          <w:marBottom w:val="0"/>
          <w:divBdr>
            <w:top w:val="none" w:sz="0" w:space="0" w:color="auto"/>
            <w:left w:val="none" w:sz="0" w:space="0" w:color="auto"/>
            <w:bottom w:val="none" w:sz="0" w:space="0" w:color="auto"/>
            <w:right w:val="none" w:sz="0" w:space="0" w:color="auto"/>
          </w:divBdr>
        </w:div>
        <w:div w:id="2073263042">
          <w:marLeft w:val="0"/>
          <w:marRight w:val="0"/>
          <w:marTop w:val="0"/>
          <w:marBottom w:val="0"/>
          <w:divBdr>
            <w:top w:val="none" w:sz="0" w:space="0" w:color="auto"/>
            <w:left w:val="none" w:sz="0" w:space="0" w:color="auto"/>
            <w:bottom w:val="none" w:sz="0" w:space="0" w:color="auto"/>
            <w:right w:val="none" w:sz="0" w:space="0" w:color="auto"/>
          </w:divBdr>
        </w:div>
        <w:div w:id="1806773383">
          <w:marLeft w:val="0"/>
          <w:marRight w:val="0"/>
          <w:marTop w:val="0"/>
          <w:marBottom w:val="0"/>
          <w:divBdr>
            <w:top w:val="none" w:sz="0" w:space="0" w:color="auto"/>
            <w:left w:val="none" w:sz="0" w:space="0" w:color="auto"/>
            <w:bottom w:val="none" w:sz="0" w:space="0" w:color="auto"/>
            <w:right w:val="none" w:sz="0" w:space="0" w:color="auto"/>
          </w:divBdr>
        </w:div>
        <w:div w:id="1095321786">
          <w:marLeft w:val="0"/>
          <w:marRight w:val="0"/>
          <w:marTop w:val="0"/>
          <w:marBottom w:val="0"/>
          <w:divBdr>
            <w:top w:val="none" w:sz="0" w:space="0" w:color="auto"/>
            <w:left w:val="none" w:sz="0" w:space="0" w:color="auto"/>
            <w:bottom w:val="none" w:sz="0" w:space="0" w:color="auto"/>
            <w:right w:val="none" w:sz="0" w:space="0" w:color="auto"/>
          </w:divBdr>
        </w:div>
        <w:div w:id="821501954">
          <w:marLeft w:val="0"/>
          <w:marRight w:val="0"/>
          <w:marTop w:val="0"/>
          <w:marBottom w:val="0"/>
          <w:divBdr>
            <w:top w:val="none" w:sz="0" w:space="0" w:color="auto"/>
            <w:left w:val="none" w:sz="0" w:space="0" w:color="auto"/>
            <w:bottom w:val="none" w:sz="0" w:space="0" w:color="auto"/>
            <w:right w:val="none" w:sz="0" w:space="0" w:color="auto"/>
          </w:divBdr>
        </w:div>
        <w:div w:id="119540163">
          <w:marLeft w:val="0"/>
          <w:marRight w:val="0"/>
          <w:marTop w:val="0"/>
          <w:marBottom w:val="0"/>
          <w:divBdr>
            <w:top w:val="none" w:sz="0" w:space="0" w:color="auto"/>
            <w:left w:val="none" w:sz="0" w:space="0" w:color="auto"/>
            <w:bottom w:val="none" w:sz="0" w:space="0" w:color="auto"/>
            <w:right w:val="none" w:sz="0" w:space="0" w:color="auto"/>
          </w:divBdr>
        </w:div>
        <w:div w:id="109010376">
          <w:marLeft w:val="0"/>
          <w:marRight w:val="0"/>
          <w:marTop w:val="0"/>
          <w:marBottom w:val="0"/>
          <w:divBdr>
            <w:top w:val="none" w:sz="0" w:space="0" w:color="auto"/>
            <w:left w:val="none" w:sz="0" w:space="0" w:color="auto"/>
            <w:bottom w:val="none" w:sz="0" w:space="0" w:color="auto"/>
            <w:right w:val="none" w:sz="0" w:space="0" w:color="auto"/>
          </w:divBdr>
        </w:div>
        <w:div w:id="1721443313">
          <w:marLeft w:val="0"/>
          <w:marRight w:val="0"/>
          <w:marTop w:val="0"/>
          <w:marBottom w:val="0"/>
          <w:divBdr>
            <w:top w:val="none" w:sz="0" w:space="0" w:color="auto"/>
            <w:left w:val="none" w:sz="0" w:space="0" w:color="auto"/>
            <w:bottom w:val="none" w:sz="0" w:space="0" w:color="auto"/>
            <w:right w:val="none" w:sz="0" w:space="0" w:color="auto"/>
          </w:divBdr>
        </w:div>
        <w:div w:id="1412310022">
          <w:marLeft w:val="0"/>
          <w:marRight w:val="0"/>
          <w:marTop w:val="0"/>
          <w:marBottom w:val="0"/>
          <w:divBdr>
            <w:top w:val="none" w:sz="0" w:space="0" w:color="auto"/>
            <w:left w:val="none" w:sz="0" w:space="0" w:color="auto"/>
            <w:bottom w:val="none" w:sz="0" w:space="0" w:color="auto"/>
            <w:right w:val="none" w:sz="0" w:space="0" w:color="auto"/>
          </w:divBdr>
        </w:div>
        <w:div w:id="129984003">
          <w:marLeft w:val="0"/>
          <w:marRight w:val="0"/>
          <w:marTop w:val="0"/>
          <w:marBottom w:val="0"/>
          <w:divBdr>
            <w:top w:val="none" w:sz="0" w:space="0" w:color="auto"/>
            <w:left w:val="none" w:sz="0" w:space="0" w:color="auto"/>
            <w:bottom w:val="none" w:sz="0" w:space="0" w:color="auto"/>
            <w:right w:val="none" w:sz="0" w:space="0" w:color="auto"/>
          </w:divBdr>
        </w:div>
        <w:div w:id="493420806">
          <w:marLeft w:val="0"/>
          <w:marRight w:val="0"/>
          <w:marTop w:val="0"/>
          <w:marBottom w:val="0"/>
          <w:divBdr>
            <w:top w:val="none" w:sz="0" w:space="0" w:color="auto"/>
            <w:left w:val="none" w:sz="0" w:space="0" w:color="auto"/>
            <w:bottom w:val="none" w:sz="0" w:space="0" w:color="auto"/>
            <w:right w:val="none" w:sz="0" w:space="0" w:color="auto"/>
          </w:divBdr>
        </w:div>
        <w:div w:id="1379741711">
          <w:marLeft w:val="0"/>
          <w:marRight w:val="0"/>
          <w:marTop w:val="0"/>
          <w:marBottom w:val="0"/>
          <w:divBdr>
            <w:top w:val="none" w:sz="0" w:space="0" w:color="auto"/>
            <w:left w:val="none" w:sz="0" w:space="0" w:color="auto"/>
            <w:bottom w:val="none" w:sz="0" w:space="0" w:color="auto"/>
            <w:right w:val="none" w:sz="0" w:space="0" w:color="auto"/>
          </w:divBdr>
        </w:div>
        <w:div w:id="1198851927">
          <w:marLeft w:val="0"/>
          <w:marRight w:val="0"/>
          <w:marTop w:val="0"/>
          <w:marBottom w:val="0"/>
          <w:divBdr>
            <w:top w:val="none" w:sz="0" w:space="0" w:color="auto"/>
            <w:left w:val="none" w:sz="0" w:space="0" w:color="auto"/>
            <w:bottom w:val="none" w:sz="0" w:space="0" w:color="auto"/>
            <w:right w:val="none" w:sz="0" w:space="0" w:color="auto"/>
          </w:divBdr>
        </w:div>
        <w:div w:id="750011012">
          <w:marLeft w:val="0"/>
          <w:marRight w:val="0"/>
          <w:marTop w:val="0"/>
          <w:marBottom w:val="0"/>
          <w:divBdr>
            <w:top w:val="none" w:sz="0" w:space="0" w:color="auto"/>
            <w:left w:val="none" w:sz="0" w:space="0" w:color="auto"/>
            <w:bottom w:val="none" w:sz="0" w:space="0" w:color="auto"/>
            <w:right w:val="none" w:sz="0" w:space="0" w:color="auto"/>
          </w:divBdr>
        </w:div>
        <w:div w:id="1455710928">
          <w:marLeft w:val="0"/>
          <w:marRight w:val="0"/>
          <w:marTop w:val="0"/>
          <w:marBottom w:val="0"/>
          <w:divBdr>
            <w:top w:val="none" w:sz="0" w:space="0" w:color="auto"/>
            <w:left w:val="none" w:sz="0" w:space="0" w:color="auto"/>
            <w:bottom w:val="none" w:sz="0" w:space="0" w:color="auto"/>
            <w:right w:val="none" w:sz="0" w:space="0" w:color="auto"/>
          </w:divBdr>
        </w:div>
        <w:div w:id="1934629547">
          <w:marLeft w:val="0"/>
          <w:marRight w:val="0"/>
          <w:marTop w:val="0"/>
          <w:marBottom w:val="0"/>
          <w:divBdr>
            <w:top w:val="none" w:sz="0" w:space="0" w:color="auto"/>
            <w:left w:val="none" w:sz="0" w:space="0" w:color="auto"/>
            <w:bottom w:val="none" w:sz="0" w:space="0" w:color="auto"/>
            <w:right w:val="none" w:sz="0" w:space="0" w:color="auto"/>
          </w:divBdr>
        </w:div>
        <w:div w:id="576940701">
          <w:marLeft w:val="0"/>
          <w:marRight w:val="0"/>
          <w:marTop w:val="0"/>
          <w:marBottom w:val="0"/>
          <w:divBdr>
            <w:top w:val="none" w:sz="0" w:space="0" w:color="auto"/>
            <w:left w:val="none" w:sz="0" w:space="0" w:color="auto"/>
            <w:bottom w:val="none" w:sz="0" w:space="0" w:color="auto"/>
            <w:right w:val="none" w:sz="0" w:space="0" w:color="auto"/>
          </w:divBdr>
        </w:div>
        <w:div w:id="872035226">
          <w:marLeft w:val="0"/>
          <w:marRight w:val="0"/>
          <w:marTop w:val="0"/>
          <w:marBottom w:val="0"/>
          <w:divBdr>
            <w:top w:val="none" w:sz="0" w:space="0" w:color="auto"/>
            <w:left w:val="none" w:sz="0" w:space="0" w:color="auto"/>
            <w:bottom w:val="none" w:sz="0" w:space="0" w:color="auto"/>
            <w:right w:val="none" w:sz="0" w:space="0" w:color="auto"/>
          </w:divBdr>
        </w:div>
        <w:div w:id="623579443">
          <w:marLeft w:val="0"/>
          <w:marRight w:val="0"/>
          <w:marTop w:val="0"/>
          <w:marBottom w:val="0"/>
          <w:divBdr>
            <w:top w:val="none" w:sz="0" w:space="0" w:color="auto"/>
            <w:left w:val="none" w:sz="0" w:space="0" w:color="auto"/>
            <w:bottom w:val="none" w:sz="0" w:space="0" w:color="auto"/>
            <w:right w:val="none" w:sz="0" w:space="0" w:color="auto"/>
          </w:divBdr>
        </w:div>
        <w:div w:id="1546287036">
          <w:marLeft w:val="0"/>
          <w:marRight w:val="0"/>
          <w:marTop w:val="0"/>
          <w:marBottom w:val="0"/>
          <w:divBdr>
            <w:top w:val="none" w:sz="0" w:space="0" w:color="auto"/>
            <w:left w:val="none" w:sz="0" w:space="0" w:color="auto"/>
            <w:bottom w:val="none" w:sz="0" w:space="0" w:color="auto"/>
            <w:right w:val="none" w:sz="0" w:space="0" w:color="auto"/>
          </w:divBdr>
        </w:div>
        <w:div w:id="400638279">
          <w:marLeft w:val="0"/>
          <w:marRight w:val="0"/>
          <w:marTop w:val="0"/>
          <w:marBottom w:val="0"/>
          <w:divBdr>
            <w:top w:val="none" w:sz="0" w:space="0" w:color="auto"/>
            <w:left w:val="none" w:sz="0" w:space="0" w:color="auto"/>
            <w:bottom w:val="none" w:sz="0" w:space="0" w:color="auto"/>
            <w:right w:val="none" w:sz="0" w:space="0" w:color="auto"/>
          </w:divBdr>
        </w:div>
        <w:div w:id="1412238359">
          <w:marLeft w:val="0"/>
          <w:marRight w:val="0"/>
          <w:marTop w:val="0"/>
          <w:marBottom w:val="0"/>
          <w:divBdr>
            <w:top w:val="none" w:sz="0" w:space="0" w:color="auto"/>
            <w:left w:val="none" w:sz="0" w:space="0" w:color="auto"/>
            <w:bottom w:val="none" w:sz="0" w:space="0" w:color="auto"/>
            <w:right w:val="none" w:sz="0" w:space="0" w:color="auto"/>
          </w:divBdr>
        </w:div>
        <w:div w:id="1456875821">
          <w:marLeft w:val="0"/>
          <w:marRight w:val="0"/>
          <w:marTop w:val="0"/>
          <w:marBottom w:val="0"/>
          <w:divBdr>
            <w:top w:val="none" w:sz="0" w:space="0" w:color="auto"/>
            <w:left w:val="none" w:sz="0" w:space="0" w:color="auto"/>
            <w:bottom w:val="none" w:sz="0" w:space="0" w:color="auto"/>
            <w:right w:val="none" w:sz="0" w:space="0" w:color="auto"/>
          </w:divBdr>
        </w:div>
        <w:div w:id="926496126">
          <w:marLeft w:val="0"/>
          <w:marRight w:val="0"/>
          <w:marTop w:val="0"/>
          <w:marBottom w:val="0"/>
          <w:divBdr>
            <w:top w:val="none" w:sz="0" w:space="0" w:color="auto"/>
            <w:left w:val="none" w:sz="0" w:space="0" w:color="auto"/>
            <w:bottom w:val="none" w:sz="0" w:space="0" w:color="auto"/>
            <w:right w:val="none" w:sz="0" w:space="0" w:color="auto"/>
          </w:divBdr>
        </w:div>
        <w:div w:id="849566180">
          <w:marLeft w:val="0"/>
          <w:marRight w:val="0"/>
          <w:marTop w:val="0"/>
          <w:marBottom w:val="0"/>
          <w:divBdr>
            <w:top w:val="none" w:sz="0" w:space="0" w:color="auto"/>
            <w:left w:val="none" w:sz="0" w:space="0" w:color="auto"/>
            <w:bottom w:val="none" w:sz="0" w:space="0" w:color="auto"/>
            <w:right w:val="none" w:sz="0" w:space="0" w:color="auto"/>
          </w:divBdr>
        </w:div>
        <w:div w:id="583301901">
          <w:marLeft w:val="0"/>
          <w:marRight w:val="0"/>
          <w:marTop w:val="0"/>
          <w:marBottom w:val="0"/>
          <w:divBdr>
            <w:top w:val="none" w:sz="0" w:space="0" w:color="auto"/>
            <w:left w:val="none" w:sz="0" w:space="0" w:color="auto"/>
            <w:bottom w:val="none" w:sz="0" w:space="0" w:color="auto"/>
            <w:right w:val="none" w:sz="0" w:space="0" w:color="auto"/>
          </w:divBdr>
        </w:div>
        <w:div w:id="1635911682">
          <w:marLeft w:val="0"/>
          <w:marRight w:val="0"/>
          <w:marTop w:val="0"/>
          <w:marBottom w:val="0"/>
          <w:divBdr>
            <w:top w:val="none" w:sz="0" w:space="0" w:color="auto"/>
            <w:left w:val="none" w:sz="0" w:space="0" w:color="auto"/>
            <w:bottom w:val="none" w:sz="0" w:space="0" w:color="auto"/>
            <w:right w:val="none" w:sz="0" w:space="0" w:color="auto"/>
          </w:divBdr>
        </w:div>
        <w:div w:id="1084568817">
          <w:marLeft w:val="0"/>
          <w:marRight w:val="0"/>
          <w:marTop w:val="0"/>
          <w:marBottom w:val="0"/>
          <w:divBdr>
            <w:top w:val="none" w:sz="0" w:space="0" w:color="auto"/>
            <w:left w:val="none" w:sz="0" w:space="0" w:color="auto"/>
            <w:bottom w:val="none" w:sz="0" w:space="0" w:color="auto"/>
            <w:right w:val="none" w:sz="0" w:space="0" w:color="auto"/>
          </w:divBdr>
        </w:div>
        <w:div w:id="516046266">
          <w:marLeft w:val="0"/>
          <w:marRight w:val="0"/>
          <w:marTop w:val="0"/>
          <w:marBottom w:val="0"/>
          <w:divBdr>
            <w:top w:val="none" w:sz="0" w:space="0" w:color="auto"/>
            <w:left w:val="none" w:sz="0" w:space="0" w:color="auto"/>
            <w:bottom w:val="none" w:sz="0" w:space="0" w:color="auto"/>
            <w:right w:val="none" w:sz="0" w:space="0" w:color="auto"/>
          </w:divBdr>
        </w:div>
        <w:div w:id="655454249">
          <w:marLeft w:val="0"/>
          <w:marRight w:val="0"/>
          <w:marTop w:val="0"/>
          <w:marBottom w:val="0"/>
          <w:divBdr>
            <w:top w:val="none" w:sz="0" w:space="0" w:color="auto"/>
            <w:left w:val="none" w:sz="0" w:space="0" w:color="auto"/>
            <w:bottom w:val="none" w:sz="0" w:space="0" w:color="auto"/>
            <w:right w:val="none" w:sz="0" w:space="0" w:color="auto"/>
          </w:divBdr>
        </w:div>
        <w:div w:id="253980562">
          <w:marLeft w:val="0"/>
          <w:marRight w:val="0"/>
          <w:marTop w:val="0"/>
          <w:marBottom w:val="0"/>
          <w:divBdr>
            <w:top w:val="none" w:sz="0" w:space="0" w:color="auto"/>
            <w:left w:val="none" w:sz="0" w:space="0" w:color="auto"/>
            <w:bottom w:val="none" w:sz="0" w:space="0" w:color="auto"/>
            <w:right w:val="none" w:sz="0" w:space="0" w:color="auto"/>
          </w:divBdr>
        </w:div>
        <w:div w:id="1712538512">
          <w:marLeft w:val="0"/>
          <w:marRight w:val="0"/>
          <w:marTop w:val="0"/>
          <w:marBottom w:val="0"/>
          <w:divBdr>
            <w:top w:val="none" w:sz="0" w:space="0" w:color="auto"/>
            <w:left w:val="none" w:sz="0" w:space="0" w:color="auto"/>
            <w:bottom w:val="none" w:sz="0" w:space="0" w:color="auto"/>
            <w:right w:val="none" w:sz="0" w:space="0" w:color="auto"/>
          </w:divBdr>
        </w:div>
        <w:div w:id="286667580">
          <w:marLeft w:val="0"/>
          <w:marRight w:val="0"/>
          <w:marTop w:val="0"/>
          <w:marBottom w:val="0"/>
          <w:divBdr>
            <w:top w:val="none" w:sz="0" w:space="0" w:color="auto"/>
            <w:left w:val="none" w:sz="0" w:space="0" w:color="auto"/>
            <w:bottom w:val="none" w:sz="0" w:space="0" w:color="auto"/>
            <w:right w:val="none" w:sz="0" w:space="0" w:color="auto"/>
          </w:divBdr>
        </w:div>
        <w:div w:id="198012179">
          <w:marLeft w:val="0"/>
          <w:marRight w:val="0"/>
          <w:marTop w:val="0"/>
          <w:marBottom w:val="0"/>
          <w:divBdr>
            <w:top w:val="none" w:sz="0" w:space="0" w:color="auto"/>
            <w:left w:val="none" w:sz="0" w:space="0" w:color="auto"/>
            <w:bottom w:val="none" w:sz="0" w:space="0" w:color="auto"/>
            <w:right w:val="none" w:sz="0" w:space="0" w:color="auto"/>
          </w:divBdr>
        </w:div>
        <w:div w:id="282467666">
          <w:marLeft w:val="0"/>
          <w:marRight w:val="0"/>
          <w:marTop w:val="0"/>
          <w:marBottom w:val="0"/>
          <w:divBdr>
            <w:top w:val="none" w:sz="0" w:space="0" w:color="auto"/>
            <w:left w:val="none" w:sz="0" w:space="0" w:color="auto"/>
            <w:bottom w:val="none" w:sz="0" w:space="0" w:color="auto"/>
            <w:right w:val="none" w:sz="0" w:space="0" w:color="auto"/>
          </w:divBdr>
        </w:div>
        <w:div w:id="1929658184">
          <w:marLeft w:val="0"/>
          <w:marRight w:val="0"/>
          <w:marTop w:val="0"/>
          <w:marBottom w:val="0"/>
          <w:divBdr>
            <w:top w:val="none" w:sz="0" w:space="0" w:color="auto"/>
            <w:left w:val="none" w:sz="0" w:space="0" w:color="auto"/>
            <w:bottom w:val="none" w:sz="0" w:space="0" w:color="auto"/>
            <w:right w:val="none" w:sz="0" w:space="0" w:color="auto"/>
          </w:divBdr>
        </w:div>
        <w:div w:id="1207990245">
          <w:marLeft w:val="0"/>
          <w:marRight w:val="0"/>
          <w:marTop w:val="0"/>
          <w:marBottom w:val="0"/>
          <w:divBdr>
            <w:top w:val="none" w:sz="0" w:space="0" w:color="auto"/>
            <w:left w:val="none" w:sz="0" w:space="0" w:color="auto"/>
            <w:bottom w:val="none" w:sz="0" w:space="0" w:color="auto"/>
            <w:right w:val="none" w:sz="0" w:space="0" w:color="auto"/>
          </w:divBdr>
        </w:div>
        <w:div w:id="1117288641">
          <w:marLeft w:val="0"/>
          <w:marRight w:val="0"/>
          <w:marTop w:val="0"/>
          <w:marBottom w:val="0"/>
          <w:divBdr>
            <w:top w:val="none" w:sz="0" w:space="0" w:color="auto"/>
            <w:left w:val="none" w:sz="0" w:space="0" w:color="auto"/>
            <w:bottom w:val="none" w:sz="0" w:space="0" w:color="auto"/>
            <w:right w:val="none" w:sz="0" w:space="0" w:color="auto"/>
          </w:divBdr>
        </w:div>
        <w:div w:id="949121361">
          <w:marLeft w:val="0"/>
          <w:marRight w:val="0"/>
          <w:marTop w:val="0"/>
          <w:marBottom w:val="0"/>
          <w:divBdr>
            <w:top w:val="none" w:sz="0" w:space="0" w:color="auto"/>
            <w:left w:val="none" w:sz="0" w:space="0" w:color="auto"/>
            <w:bottom w:val="none" w:sz="0" w:space="0" w:color="auto"/>
            <w:right w:val="none" w:sz="0" w:space="0" w:color="auto"/>
          </w:divBdr>
        </w:div>
        <w:div w:id="1458912783">
          <w:marLeft w:val="0"/>
          <w:marRight w:val="0"/>
          <w:marTop w:val="0"/>
          <w:marBottom w:val="0"/>
          <w:divBdr>
            <w:top w:val="none" w:sz="0" w:space="0" w:color="auto"/>
            <w:left w:val="none" w:sz="0" w:space="0" w:color="auto"/>
            <w:bottom w:val="none" w:sz="0" w:space="0" w:color="auto"/>
            <w:right w:val="none" w:sz="0" w:space="0" w:color="auto"/>
          </w:divBdr>
        </w:div>
        <w:div w:id="1920019962">
          <w:marLeft w:val="0"/>
          <w:marRight w:val="0"/>
          <w:marTop w:val="0"/>
          <w:marBottom w:val="0"/>
          <w:divBdr>
            <w:top w:val="none" w:sz="0" w:space="0" w:color="auto"/>
            <w:left w:val="none" w:sz="0" w:space="0" w:color="auto"/>
            <w:bottom w:val="none" w:sz="0" w:space="0" w:color="auto"/>
            <w:right w:val="none" w:sz="0" w:space="0" w:color="auto"/>
          </w:divBdr>
        </w:div>
        <w:div w:id="1720587646">
          <w:marLeft w:val="0"/>
          <w:marRight w:val="0"/>
          <w:marTop w:val="0"/>
          <w:marBottom w:val="0"/>
          <w:divBdr>
            <w:top w:val="none" w:sz="0" w:space="0" w:color="auto"/>
            <w:left w:val="none" w:sz="0" w:space="0" w:color="auto"/>
            <w:bottom w:val="none" w:sz="0" w:space="0" w:color="auto"/>
            <w:right w:val="none" w:sz="0" w:space="0" w:color="auto"/>
          </w:divBdr>
        </w:div>
        <w:div w:id="2119794639">
          <w:marLeft w:val="0"/>
          <w:marRight w:val="0"/>
          <w:marTop w:val="0"/>
          <w:marBottom w:val="0"/>
          <w:divBdr>
            <w:top w:val="none" w:sz="0" w:space="0" w:color="auto"/>
            <w:left w:val="none" w:sz="0" w:space="0" w:color="auto"/>
            <w:bottom w:val="none" w:sz="0" w:space="0" w:color="auto"/>
            <w:right w:val="none" w:sz="0" w:space="0" w:color="auto"/>
          </w:divBdr>
        </w:div>
        <w:div w:id="1240599196">
          <w:marLeft w:val="0"/>
          <w:marRight w:val="0"/>
          <w:marTop w:val="0"/>
          <w:marBottom w:val="0"/>
          <w:divBdr>
            <w:top w:val="none" w:sz="0" w:space="0" w:color="auto"/>
            <w:left w:val="none" w:sz="0" w:space="0" w:color="auto"/>
            <w:bottom w:val="none" w:sz="0" w:space="0" w:color="auto"/>
            <w:right w:val="none" w:sz="0" w:space="0" w:color="auto"/>
          </w:divBdr>
        </w:div>
        <w:div w:id="510603069">
          <w:marLeft w:val="0"/>
          <w:marRight w:val="0"/>
          <w:marTop w:val="0"/>
          <w:marBottom w:val="0"/>
          <w:divBdr>
            <w:top w:val="none" w:sz="0" w:space="0" w:color="auto"/>
            <w:left w:val="none" w:sz="0" w:space="0" w:color="auto"/>
            <w:bottom w:val="none" w:sz="0" w:space="0" w:color="auto"/>
            <w:right w:val="none" w:sz="0" w:space="0" w:color="auto"/>
          </w:divBdr>
        </w:div>
        <w:div w:id="1104424217">
          <w:marLeft w:val="0"/>
          <w:marRight w:val="0"/>
          <w:marTop w:val="0"/>
          <w:marBottom w:val="0"/>
          <w:divBdr>
            <w:top w:val="none" w:sz="0" w:space="0" w:color="auto"/>
            <w:left w:val="none" w:sz="0" w:space="0" w:color="auto"/>
            <w:bottom w:val="none" w:sz="0" w:space="0" w:color="auto"/>
            <w:right w:val="none" w:sz="0" w:space="0" w:color="auto"/>
          </w:divBdr>
        </w:div>
        <w:div w:id="633412040">
          <w:marLeft w:val="0"/>
          <w:marRight w:val="0"/>
          <w:marTop w:val="0"/>
          <w:marBottom w:val="0"/>
          <w:divBdr>
            <w:top w:val="none" w:sz="0" w:space="0" w:color="auto"/>
            <w:left w:val="none" w:sz="0" w:space="0" w:color="auto"/>
            <w:bottom w:val="none" w:sz="0" w:space="0" w:color="auto"/>
            <w:right w:val="none" w:sz="0" w:space="0" w:color="auto"/>
          </w:divBdr>
        </w:div>
        <w:div w:id="528102470">
          <w:marLeft w:val="0"/>
          <w:marRight w:val="0"/>
          <w:marTop w:val="0"/>
          <w:marBottom w:val="0"/>
          <w:divBdr>
            <w:top w:val="none" w:sz="0" w:space="0" w:color="auto"/>
            <w:left w:val="none" w:sz="0" w:space="0" w:color="auto"/>
            <w:bottom w:val="none" w:sz="0" w:space="0" w:color="auto"/>
            <w:right w:val="none" w:sz="0" w:space="0" w:color="auto"/>
          </w:divBdr>
        </w:div>
        <w:div w:id="191496526">
          <w:marLeft w:val="0"/>
          <w:marRight w:val="0"/>
          <w:marTop w:val="0"/>
          <w:marBottom w:val="0"/>
          <w:divBdr>
            <w:top w:val="none" w:sz="0" w:space="0" w:color="auto"/>
            <w:left w:val="none" w:sz="0" w:space="0" w:color="auto"/>
            <w:bottom w:val="none" w:sz="0" w:space="0" w:color="auto"/>
            <w:right w:val="none" w:sz="0" w:space="0" w:color="auto"/>
          </w:divBdr>
        </w:div>
        <w:div w:id="384262099">
          <w:marLeft w:val="0"/>
          <w:marRight w:val="0"/>
          <w:marTop w:val="0"/>
          <w:marBottom w:val="0"/>
          <w:divBdr>
            <w:top w:val="none" w:sz="0" w:space="0" w:color="auto"/>
            <w:left w:val="none" w:sz="0" w:space="0" w:color="auto"/>
            <w:bottom w:val="none" w:sz="0" w:space="0" w:color="auto"/>
            <w:right w:val="none" w:sz="0" w:space="0" w:color="auto"/>
          </w:divBdr>
        </w:div>
        <w:div w:id="1471971166">
          <w:marLeft w:val="0"/>
          <w:marRight w:val="0"/>
          <w:marTop w:val="0"/>
          <w:marBottom w:val="0"/>
          <w:divBdr>
            <w:top w:val="none" w:sz="0" w:space="0" w:color="auto"/>
            <w:left w:val="none" w:sz="0" w:space="0" w:color="auto"/>
            <w:bottom w:val="none" w:sz="0" w:space="0" w:color="auto"/>
            <w:right w:val="none" w:sz="0" w:space="0" w:color="auto"/>
          </w:divBdr>
        </w:div>
        <w:div w:id="1964266365">
          <w:marLeft w:val="0"/>
          <w:marRight w:val="0"/>
          <w:marTop w:val="0"/>
          <w:marBottom w:val="0"/>
          <w:divBdr>
            <w:top w:val="none" w:sz="0" w:space="0" w:color="auto"/>
            <w:left w:val="none" w:sz="0" w:space="0" w:color="auto"/>
            <w:bottom w:val="none" w:sz="0" w:space="0" w:color="auto"/>
            <w:right w:val="none" w:sz="0" w:space="0" w:color="auto"/>
          </w:divBdr>
        </w:div>
        <w:div w:id="1949122382">
          <w:marLeft w:val="0"/>
          <w:marRight w:val="0"/>
          <w:marTop w:val="0"/>
          <w:marBottom w:val="0"/>
          <w:divBdr>
            <w:top w:val="none" w:sz="0" w:space="0" w:color="auto"/>
            <w:left w:val="none" w:sz="0" w:space="0" w:color="auto"/>
            <w:bottom w:val="none" w:sz="0" w:space="0" w:color="auto"/>
            <w:right w:val="none" w:sz="0" w:space="0" w:color="auto"/>
          </w:divBdr>
        </w:div>
        <w:div w:id="996106216">
          <w:marLeft w:val="0"/>
          <w:marRight w:val="0"/>
          <w:marTop w:val="0"/>
          <w:marBottom w:val="0"/>
          <w:divBdr>
            <w:top w:val="none" w:sz="0" w:space="0" w:color="auto"/>
            <w:left w:val="none" w:sz="0" w:space="0" w:color="auto"/>
            <w:bottom w:val="none" w:sz="0" w:space="0" w:color="auto"/>
            <w:right w:val="none" w:sz="0" w:space="0" w:color="auto"/>
          </w:divBdr>
        </w:div>
        <w:div w:id="1658806656">
          <w:marLeft w:val="0"/>
          <w:marRight w:val="0"/>
          <w:marTop w:val="0"/>
          <w:marBottom w:val="0"/>
          <w:divBdr>
            <w:top w:val="none" w:sz="0" w:space="0" w:color="auto"/>
            <w:left w:val="none" w:sz="0" w:space="0" w:color="auto"/>
            <w:bottom w:val="none" w:sz="0" w:space="0" w:color="auto"/>
            <w:right w:val="none" w:sz="0" w:space="0" w:color="auto"/>
          </w:divBdr>
        </w:div>
        <w:div w:id="97919022">
          <w:marLeft w:val="0"/>
          <w:marRight w:val="0"/>
          <w:marTop w:val="0"/>
          <w:marBottom w:val="0"/>
          <w:divBdr>
            <w:top w:val="none" w:sz="0" w:space="0" w:color="auto"/>
            <w:left w:val="none" w:sz="0" w:space="0" w:color="auto"/>
            <w:bottom w:val="none" w:sz="0" w:space="0" w:color="auto"/>
            <w:right w:val="none" w:sz="0" w:space="0" w:color="auto"/>
          </w:divBdr>
        </w:div>
        <w:div w:id="644093296">
          <w:marLeft w:val="0"/>
          <w:marRight w:val="0"/>
          <w:marTop w:val="0"/>
          <w:marBottom w:val="0"/>
          <w:divBdr>
            <w:top w:val="none" w:sz="0" w:space="0" w:color="auto"/>
            <w:left w:val="none" w:sz="0" w:space="0" w:color="auto"/>
            <w:bottom w:val="none" w:sz="0" w:space="0" w:color="auto"/>
            <w:right w:val="none" w:sz="0" w:space="0" w:color="auto"/>
          </w:divBdr>
        </w:div>
        <w:div w:id="1864395559">
          <w:marLeft w:val="0"/>
          <w:marRight w:val="0"/>
          <w:marTop w:val="0"/>
          <w:marBottom w:val="0"/>
          <w:divBdr>
            <w:top w:val="none" w:sz="0" w:space="0" w:color="auto"/>
            <w:left w:val="none" w:sz="0" w:space="0" w:color="auto"/>
            <w:bottom w:val="none" w:sz="0" w:space="0" w:color="auto"/>
            <w:right w:val="none" w:sz="0" w:space="0" w:color="auto"/>
          </w:divBdr>
        </w:div>
        <w:div w:id="1423723814">
          <w:marLeft w:val="0"/>
          <w:marRight w:val="0"/>
          <w:marTop w:val="0"/>
          <w:marBottom w:val="0"/>
          <w:divBdr>
            <w:top w:val="none" w:sz="0" w:space="0" w:color="auto"/>
            <w:left w:val="none" w:sz="0" w:space="0" w:color="auto"/>
            <w:bottom w:val="none" w:sz="0" w:space="0" w:color="auto"/>
            <w:right w:val="none" w:sz="0" w:space="0" w:color="auto"/>
          </w:divBdr>
        </w:div>
        <w:div w:id="730351953">
          <w:marLeft w:val="0"/>
          <w:marRight w:val="0"/>
          <w:marTop w:val="0"/>
          <w:marBottom w:val="0"/>
          <w:divBdr>
            <w:top w:val="none" w:sz="0" w:space="0" w:color="auto"/>
            <w:left w:val="none" w:sz="0" w:space="0" w:color="auto"/>
            <w:bottom w:val="none" w:sz="0" w:space="0" w:color="auto"/>
            <w:right w:val="none" w:sz="0" w:space="0" w:color="auto"/>
          </w:divBdr>
        </w:div>
        <w:div w:id="1165122781">
          <w:marLeft w:val="0"/>
          <w:marRight w:val="0"/>
          <w:marTop w:val="0"/>
          <w:marBottom w:val="0"/>
          <w:divBdr>
            <w:top w:val="none" w:sz="0" w:space="0" w:color="auto"/>
            <w:left w:val="none" w:sz="0" w:space="0" w:color="auto"/>
            <w:bottom w:val="none" w:sz="0" w:space="0" w:color="auto"/>
            <w:right w:val="none" w:sz="0" w:space="0" w:color="auto"/>
          </w:divBdr>
        </w:div>
        <w:div w:id="612591958">
          <w:marLeft w:val="0"/>
          <w:marRight w:val="0"/>
          <w:marTop w:val="0"/>
          <w:marBottom w:val="0"/>
          <w:divBdr>
            <w:top w:val="none" w:sz="0" w:space="0" w:color="auto"/>
            <w:left w:val="none" w:sz="0" w:space="0" w:color="auto"/>
            <w:bottom w:val="none" w:sz="0" w:space="0" w:color="auto"/>
            <w:right w:val="none" w:sz="0" w:space="0" w:color="auto"/>
          </w:divBdr>
        </w:div>
        <w:div w:id="551428219">
          <w:marLeft w:val="0"/>
          <w:marRight w:val="0"/>
          <w:marTop w:val="0"/>
          <w:marBottom w:val="0"/>
          <w:divBdr>
            <w:top w:val="none" w:sz="0" w:space="0" w:color="auto"/>
            <w:left w:val="none" w:sz="0" w:space="0" w:color="auto"/>
            <w:bottom w:val="none" w:sz="0" w:space="0" w:color="auto"/>
            <w:right w:val="none" w:sz="0" w:space="0" w:color="auto"/>
          </w:divBdr>
        </w:div>
        <w:div w:id="688023632">
          <w:marLeft w:val="0"/>
          <w:marRight w:val="0"/>
          <w:marTop w:val="0"/>
          <w:marBottom w:val="0"/>
          <w:divBdr>
            <w:top w:val="none" w:sz="0" w:space="0" w:color="auto"/>
            <w:left w:val="none" w:sz="0" w:space="0" w:color="auto"/>
            <w:bottom w:val="none" w:sz="0" w:space="0" w:color="auto"/>
            <w:right w:val="none" w:sz="0" w:space="0" w:color="auto"/>
          </w:divBdr>
        </w:div>
        <w:div w:id="1714885632">
          <w:marLeft w:val="0"/>
          <w:marRight w:val="0"/>
          <w:marTop w:val="0"/>
          <w:marBottom w:val="0"/>
          <w:divBdr>
            <w:top w:val="none" w:sz="0" w:space="0" w:color="auto"/>
            <w:left w:val="none" w:sz="0" w:space="0" w:color="auto"/>
            <w:bottom w:val="none" w:sz="0" w:space="0" w:color="auto"/>
            <w:right w:val="none" w:sz="0" w:space="0" w:color="auto"/>
          </w:divBdr>
        </w:div>
        <w:div w:id="1649356684">
          <w:marLeft w:val="0"/>
          <w:marRight w:val="0"/>
          <w:marTop w:val="0"/>
          <w:marBottom w:val="0"/>
          <w:divBdr>
            <w:top w:val="none" w:sz="0" w:space="0" w:color="auto"/>
            <w:left w:val="none" w:sz="0" w:space="0" w:color="auto"/>
            <w:bottom w:val="none" w:sz="0" w:space="0" w:color="auto"/>
            <w:right w:val="none" w:sz="0" w:space="0" w:color="auto"/>
          </w:divBdr>
        </w:div>
        <w:div w:id="539784197">
          <w:marLeft w:val="0"/>
          <w:marRight w:val="0"/>
          <w:marTop w:val="0"/>
          <w:marBottom w:val="0"/>
          <w:divBdr>
            <w:top w:val="none" w:sz="0" w:space="0" w:color="auto"/>
            <w:left w:val="none" w:sz="0" w:space="0" w:color="auto"/>
            <w:bottom w:val="none" w:sz="0" w:space="0" w:color="auto"/>
            <w:right w:val="none" w:sz="0" w:space="0" w:color="auto"/>
          </w:divBdr>
        </w:div>
        <w:div w:id="97067760">
          <w:marLeft w:val="0"/>
          <w:marRight w:val="0"/>
          <w:marTop w:val="0"/>
          <w:marBottom w:val="0"/>
          <w:divBdr>
            <w:top w:val="none" w:sz="0" w:space="0" w:color="auto"/>
            <w:left w:val="none" w:sz="0" w:space="0" w:color="auto"/>
            <w:bottom w:val="none" w:sz="0" w:space="0" w:color="auto"/>
            <w:right w:val="none" w:sz="0" w:space="0" w:color="auto"/>
          </w:divBdr>
        </w:div>
        <w:div w:id="1527400595">
          <w:marLeft w:val="0"/>
          <w:marRight w:val="0"/>
          <w:marTop w:val="0"/>
          <w:marBottom w:val="0"/>
          <w:divBdr>
            <w:top w:val="none" w:sz="0" w:space="0" w:color="auto"/>
            <w:left w:val="none" w:sz="0" w:space="0" w:color="auto"/>
            <w:bottom w:val="none" w:sz="0" w:space="0" w:color="auto"/>
            <w:right w:val="none" w:sz="0" w:space="0" w:color="auto"/>
          </w:divBdr>
        </w:div>
        <w:div w:id="1027369372">
          <w:marLeft w:val="0"/>
          <w:marRight w:val="0"/>
          <w:marTop w:val="0"/>
          <w:marBottom w:val="0"/>
          <w:divBdr>
            <w:top w:val="none" w:sz="0" w:space="0" w:color="auto"/>
            <w:left w:val="none" w:sz="0" w:space="0" w:color="auto"/>
            <w:bottom w:val="none" w:sz="0" w:space="0" w:color="auto"/>
            <w:right w:val="none" w:sz="0" w:space="0" w:color="auto"/>
          </w:divBdr>
        </w:div>
        <w:div w:id="688682474">
          <w:marLeft w:val="0"/>
          <w:marRight w:val="0"/>
          <w:marTop w:val="0"/>
          <w:marBottom w:val="0"/>
          <w:divBdr>
            <w:top w:val="none" w:sz="0" w:space="0" w:color="auto"/>
            <w:left w:val="none" w:sz="0" w:space="0" w:color="auto"/>
            <w:bottom w:val="none" w:sz="0" w:space="0" w:color="auto"/>
            <w:right w:val="none" w:sz="0" w:space="0" w:color="auto"/>
          </w:divBdr>
        </w:div>
        <w:div w:id="771776321">
          <w:marLeft w:val="0"/>
          <w:marRight w:val="0"/>
          <w:marTop w:val="0"/>
          <w:marBottom w:val="0"/>
          <w:divBdr>
            <w:top w:val="none" w:sz="0" w:space="0" w:color="auto"/>
            <w:left w:val="none" w:sz="0" w:space="0" w:color="auto"/>
            <w:bottom w:val="none" w:sz="0" w:space="0" w:color="auto"/>
            <w:right w:val="none" w:sz="0" w:space="0" w:color="auto"/>
          </w:divBdr>
        </w:div>
        <w:div w:id="1624069769">
          <w:marLeft w:val="0"/>
          <w:marRight w:val="0"/>
          <w:marTop w:val="0"/>
          <w:marBottom w:val="0"/>
          <w:divBdr>
            <w:top w:val="none" w:sz="0" w:space="0" w:color="auto"/>
            <w:left w:val="none" w:sz="0" w:space="0" w:color="auto"/>
            <w:bottom w:val="none" w:sz="0" w:space="0" w:color="auto"/>
            <w:right w:val="none" w:sz="0" w:space="0" w:color="auto"/>
          </w:divBdr>
        </w:div>
        <w:div w:id="1771582032">
          <w:marLeft w:val="0"/>
          <w:marRight w:val="0"/>
          <w:marTop w:val="0"/>
          <w:marBottom w:val="0"/>
          <w:divBdr>
            <w:top w:val="none" w:sz="0" w:space="0" w:color="auto"/>
            <w:left w:val="none" w:sz="0" w:space="0" w:color="auto"/>
            <w:bottom w:val="none" w:sz="0" w:space="0" w:color="auto"/>
            <w:right w:val="none" w:sz="0" w:space="0" w:color="auto"/>
          </w:divBdr>
        </w:div>
        <w:div w:id="926308424">
          <w:marLeft w:val="0"/>
          <w:marRight w:val="0"/>
          <w:marTop w:val="0"/>
          <w:marBottom w:val="0"/>
          <w:divBdr>
            <w:top w:val="none" w:sz="0" w:space="0" w:color="auto"/>
            <w:left w:val="none" w:sz="0" w:space="0" w:color="auto"/>
            <w:bottom w:val="none" w:sz="0" w:space="0" w:color="auto"/>
            <w:right w:val="none" w:sz="0" w:space="0" w:color="auto"/>
          </w:divBdr>
        </w:div>
        <w:div w:id="1771898679">
          <w:marLeft w:val="0"/>
          <w:marRight w:val="0"/>
          <w:marTop w:val="0"/>
          <w:marBottom w:val="0"/>
          <w:divBdr>
            <w:top w:val="none" w:sz="0" w:space="0" w:color="auto"/>
            <w:left w:val="none" w:sz="0" w:space="0" w:color="auto"/>
            <w:bottom w:val="none" w:sz="0" w:space="0" w:color="auto"/>
            <w:right w:val="none" w:sz="0" w:space="0" w:color="auto"/>
          </w:divBdr>
        </w:div>
        <w:div w:id="1093623934">
          <w:marLeft w:val="0"/>
          <w:marRight w:val="0"/>
          <w:marTop w:val="0"/>
          <w:marBottom w:val="0"/>
          <w:divBdr>
            <w:top w:val="none" w:sz="0" w:space="0" w:color="auto"/>
            <w:left w:val="none" w:sz="0" w:space="0" w:color="auto"/>
            <w:bottom w:val="none" w:sz="0" w:space="0" w:color="auto"/>
            <w:right w:val="none" w:sz="0" w:space="0" w:color="auto"/>
          </w:divBdr>
        </w:div>
        <w:div w:id="1409840993">
          <w:marLeft w:val="0"/>
          <w:marRight w:val="0"/>
          <w:marTop w:val="0"/>
          <w:marBottom w:val="0"/>
          <w:divBdr>
            <w:top w:val="none" w:sz="0" w:space="0" w:color="auto"/>
            <w:left w:val="none" w:sz="0" w:space="0" w:color="auto"/>
            <w:bottom w:val="none" w:sz="0" w:space="0" w:color="auto"/>
            <w:right w:val="none" w:sz="0" w:space="0" w:color="auto"/>
          </w:divBdr>
        </w:div>
        <w:div w:id="2093961880">
          <w:marLeft w:val="0"/>
          <w:marRight w:val="0"/>
          <w:marTop w:val="0"/>
          <w:marBottom w:val="0"/>
          <w:divBdr>
            <w:top w:val="none" w:sz="0" w:space="0" w:color="auto"/>
            <w:left w:val="none" w:sz="0" w:space="0" w:color="auto"/>
            <w:bottom w:val="none" w:sz="0" w:space="0" w:color="auto"/>
            <w:right w:val="none" w:sz="0" w:space="0" w:color="auto"/>
          </w:divBdr>
        </w:div>
        <w:div w:id="688723158">
          <w:marLeft w:val="0"/>
          <w:marRight w:val="0"/>
          <w:marTop w:val="0"/>
          <w:marBottom w:val="0"/>
          <w:divBdr>
            <w:top w:val="none" w:sz="0" w:space="0" w:color="auto"/>
            <w:left w:val="none" w:sz="0" w:space="0" w:color="auto"/>
            <w:bottom w:val="none" w:sz="0" w:space="0" w:color="auto"/>
            <w:right w:val="none" w:sz="0" w:space="0" w:color="auto"/>
          </w:divBdr>
        </w:div>
        <w:div w:id="1442215627">
          <w:marLeft w:val="0"/>
          <w:marRight w:val="0"/>
          <w:marTop w:val="0"/>
          <w:marBottom w:val="0"/>
          <w:divBdr>
            <w:top w:val="none" w:sz="0" w:space="0" w:color="auto"/>
            <w:left w:val="none" w:sz="0" w:space="0" w:color="auto"/>
            <w:bottom w:val="none" w:sz="0" w:space="0" w:color="auto"/>
            <w:right w:val="none" w:sz="0" w:space="0" w:color="auto"/>
          </w:divBdr>
        </w:div>
        <w:div w:id="124742813">
          <w:marLeft w:val="0"/>
          <w:marRight w:val="0"/>
          <w:marTop w:val="0"/>
          <w:marBottom w:val="0"/>
          <w:divBdr>
            <w:top w:val="none" w:sz="0" w:space="0" w:color="auto"/>
            <w:left w:val="none" w:sz="0" w:space="0" w:color="auto"/>
            <w:bottom w:val="none" w:sz="0" w:space="0" w:color="auto"/>
            <w:right w:val="none" w:sz="0" w:space="0" w:color="auto"/>
          </w:divBdr>
        </w:div>
        <w:div w:id="1631400548">
          <w:marLeft w:val="0"/>
          <w:marRight w:val="0"/>
          <w:marTop w:val="0"/>
          <w:marBottom w:val="0"/>
          <w:divBdr>
            <w:top w:val="none" w:sz="0" w:space="0" w:color="auto"/>
            <w:left w:val="none" w:sz="0" w:space="0" w:color="auto"/>
            <w:bottom w:val="none" w:sz="0" w:space="0" w:color="auto"/>
            <w:right w:val="none" w:sz="0" w:space="0" w:color="auto"/>
          </w:divBdr>
        </w:div>
        <w:div w:id="1046682411">
          <w:marLeft w:val="0"/>
          <w:marRight w:val="0"/>
          <w:marTop w:val="0"/>
          <w:marBottom w:val="0"/>
          <w:divBdr>
            <w:top w:val="none" w:sz="0" w:space="0" w:color="auto"/>
            <w:left w:val="none" w:sz="0" w:space="0" w:color="auto"/>
            <w:bottom w:val="none" w:sz="0" w:space="0" w:color="auto"/>
            <w:right w:val="none" w:sz="0" w:space="0" w:color="auto"/>
          </w:divBdr>
        </w:div>
        <w:div w:id="1199316721">
          <w:marLeft w:val="0"/>
          <w:marRight w:val="0"/>
          <w:marTop w:val="0"/>
          <w:marBottom w:val="0"/>
          <w:divBdr>
            <w:top w:val="none" w:sz="0" w:space="0" w:color="auto"/>
            <w:left w:val="none" w:sz="0" w:space="0" w:color="auto"/>
            <w:bottom w:val="none" w:sz="0" w:space="0" w:color="auto"/>
            <w:right w:val="none" w:sz="0" w:space="0" w:color="auto"/>
          </w:divBdr>
        </w:div>
        <w:div w:id="557789110">
          <w:marLeft w:val="0"/>
          <w:marRight w:val="0"/>
          <w:marTop w:val="0"/>
          <w:marBottom w:val="0"/>
          <w:divBdr>
            <w:top w:val="none" w:sz="0" w:space="0" w:color="auto"/>
            <w:left w:val="none" w:sz="0" w:space="0" w:color="auto"/>
            <w:bottom w:val="none" w:sz="0" w:space="0" w:color="auto"/>
            <w:right w:val="none" w:sz="0" w:space="0" w:color="auto"/>
          </w:divBdr>
        </w:div>
        <w:div w:id="2106270666">
          <w:marLeft w:val="0"/>
          <w:marRight w:val="0"/>
          <w:marTop w:val="0"/>
          <w:marBottom w:val="0"/>
          <w:divBdr>
            <w:top w:val="none" w:sz="0" w:space="0" w:color="auto"/>
            <w:left w:val="none" w:sz="0" w:space="0" w:color="auto"/>
            <w:bottom w:val="none" w:sz="0" w:space="0" w:color="auto"/>
            <w:right w:val="none" w:sz="0" w:space="0" w:color="auto"/>
          </w:divBdr>
        </w:div>
        <w:div w:id="48186995">
          <w:marLeft w:val="0"/>
          <w:marRight w:val="0"/>
          <w:marTop w:val="0"/>
          <w:marBottom w:val="0"/>
          <w:divBdr>
            <w:top w:val="none" w:sz="0" w:space="0" w:color="auto"/>
            <w:left w:val="none" w:sz="0" w:space="0" w:color="auto"/>
            <w:bottom w:val="none" w:sz="0" w:space="0" w:color="auto"/>
            <w:right w:val="none" w:sz="0" w:space="0" w:color="auto"/>
          </w:divBdr>
        </w:div>
        <w:div w:id="1292978942">
          <w:marLeft w:val="0"/>
          <w:marRight w:val="0"/>
          <w:marTop w:val="0"/>
          <w:marBottom w:val="0"/>
          <w:divBdr>
            <w:top w:val="none" w:sz="0" w:space="0" w:color="auto"/>
            <w:left w:val="none" w:sz="0" w:space="0" w:color="auto"/>
            <w:bottom w:val="none" w:sz="0" w:space="0" w:color="auto"/>
            <w:right w:val="none" w:sz="0" w:space="0" w:color="auto"/>
          </w:divBdr>
        </w:div>
        <w:div w:id="1277443">
          <w:marLeft w:val="0"/>
          <w:marRight w:val="0"/>
          <w:marTop w:val="0"/>
          <w:marBottom w:val="0"/>
          <w:divBdr>
            <w:top w:val="none" w:sz="0" w:space="0" w:color="auto"/>
            <w:left w:val="none" w:sz="0" w:space="0" w:color="auto"/>
            <w:bottom w:val="none" w:sz="0" w:space="0" w:color="auto"/>
            <w:right w:val="none" w:sz="0" w:space="0" w:color="auto"/>
          </w:divBdr>
        </w:div>
        <w:div w:id="1805075933">
          <w:marLeft w:val="0"/>
          <w:marRight w:val="0"/>
          <w:marTop w:val="0"/>
          <w:marBottom w:val="0"/>
          <w:divBdr>
            <w:top w:val="none" w:sz="0" w:space="0" w:color="auto"/>
            <w:left w:val="none" w:sz="0" w:space="0" w:color="auto"/>
            <w:bottom w:val="none" w:sz="0" w:space="0" w:color="auto"/>
            <w:right w:val="none" w:sz="0" w:space="0" w:color="auto"/>
          </w:divBdr>
        </w:div>
        <w:div w:id="1381325519">
          <w:marLeft w:val="0"/>
          <w:marRight w:val="0"/>
          <w:marTop w:val="0"/>
          <w:marBottom w:val="0"/>
          <w:divBdr>
            <w:top w:val="none" w:sz="0" w:space="0" w:color="auto"/>
            <w:left w:val="none" w:sz="0" w:space="0" w:color="auto"/>
            <w:bottom w:val="none" w:sz="0" w:space="0" w:color="auto"/>
            <w:right w:val="none" w:sz="0" w:space="0" w:color="auto"/>
          </w:divBdr>
        </w:div>
        <w:div w:id="1663898586">
          <w:marLeft w:val="0"/>
          <w:marRight w:val="0"/>
          <w:marTop w:val="0"/>
          <w:marBottom w:val="0"/>
          <w:divBdr>
            <w:top w:val="none" w:sz="0" w:space="0" w:color="auto"/>
            <w:left w:val="none" w:sz="0" w:space="0" w:color="auto"/>
            <w:bottom w:val="none" w:sz="0" w:space="0" w:color="auto"/>
            <w:right w:val="none" w:sz="0" w:space="0" w:color="auto"/>
          </w:divBdr>
        </w:div>
        <w:div w:id="817262995">
          <w:marLeft w:val="0"/>
          <w:marRight w:val="0"/>
          <w:marTop w:val="0"/>
          <w:marBottom w:val="0"/>
          <w:divBdr>
            <w:top w:val="none" w:sz="0" w:space="0" w:color="auto"/>
            <w:left w:val="none" w:sz="0" w:space="0" w:color="auto"/>
            <w:bottom w:val="none" w:sz="0" w:space="0" w:color="auto"/>
            <w:right w:val="none" w:sz="0" w:space="0" w:color="auto"/>
          </w:divBdr>
        </w:div>
        <w:div w:id="922880692">
          <w:marLeft w:val="0"/>
          <w:marRight w:val="0"/>
          <w:marTop w:val="0"/>
          <w:marBottom w:val="0"/>
          <w:divBdr>
            <w:top w:val="none" w:sz="0" w:space="0" w:color="auto"/>
            <w:left w:val="none" w:sz="0" w:space="0" w:color="auto"/>
            <w:bottom w:val="none" w:sz="0" w:space="0" w:color="auto"/>
            <w:right w:val="none" w:sz="0" w:space="0" w:color="auto"/>
          </w:divBdr>
        </w:div>
        <w:div w:id="586420939">
          <w:marLeft w:val="0"/>
          <w:marRight w:val="0"/>
          <w:marTop w:val="0"/>
          <w:marBottom w:val="0"/>
          <w:divBdr>
            <w:top w:val="none" w:sz="0" w:space="0" w:color="auto"/>
            <w:left w:val="none" w:sz="0" w:space="0" w:color="auto"/>
            <w:bottom w:val="none" w:sz="0" w:space="0" w:color="auto"/>
            <w:right w:val="none" w:sz="0" w:space="0" w:color="auto"/>
          </w:divBdr>
        </w:div>
        <w:div w:id="210388093">
          <w:marLeft w:val="0"/>
          <w:marRight w:val="0"/>
          <w:marTop w:val="0"/>
          <w:marBottom w:val="0"/>
          <w:divBdr>
            <w:top w:val="none" w:sz="0" w:space="0" w:color="auto"/>
            <w:left w:val="none" w:sz="0" w:space="0" w:color="auto"/>
            <w:bottom w:val="none" w:sz="0" w:space="0" w:color="auto"/>
            <w:right w:val="none" w:sz="0" w:space="0" w:color="auto"/>
          </w:divBdr>
        </w:div>
        <w:div w:id="281233521">
          <w:marLeft w:val="0"/>
          <w:marRight w:val="0"/>
          <w:marTop w:val="0"/>
          <w:marBottom w:val="0"/>
          <w:divBdr>
            <w:top w:val="none" w:sz="0" w:space="0" w:color="auto"/>
            <w:left w:val="none" w:sz="0" w:space="0" w:color="auto"/>
            <w:bottom w:val="none" w:sz="0" w:space="0" w:color="auto"/>
            <w:right w:val="none" w:sz="0" w:space="0" w:color="auto"/>
          </w:divBdr>
        </w:div>
        <w:div w:id="1041907080">
          <w:marLeft w:val="0"/>
          <w:marRight w:val="0"/>
          <w:marTop w:val="0"/>
          <w:marBottom w:val="0"/>
          <w:divBdr>
            <w:top w:val="none" w:sz="0" w:space="0" w:color="auto"/>
            <w:left w:val="none" w:sz="0" w:space="0" w:color="auto"/>
            <w:bottom w:val="none" w:sz="0" w:space="0" w:color="auto"/>
            <w:right w:val="none" w:sz="0" w:space="0" w:color="auto"/>
          </w:divBdr>
        </w:div>
        <w:div w:id="631129408">
          <w:marLeft w:val="0"/>
          <w:marRight w:val="0"/>
          <w:marTop w:val="0"/>
          <w:marBottom w:val="0"/>
          <w:divBdr>
            <w:top w:val="none" w:sz="0" w:space="0" w:color="auto"/>
            <w:left w:val="none" w:sz="0" w:space="0" w:color="auto"/>
            <w:bottom w:val="none" w:sz="0" w:space="0" w:color="auto"/>
            <w:right w:val="none" w:sz="0" w:space="0" w:color="auto"/>
          </w:divBdr>
        </w:div>
        <w:div w:id="1252083165">
          <w:marLeft w:val="0"/>
          <w:marRight w:val="0"/>
          <w:marTop w:val="0"/>
          <w:marBottom w:val="0"/>
          <w:divBdr>
            <w:top w:val="none" w:sz="0" w:space="0" w:color="auto"/>
            <w:left w:val="none" w:sz="0" w:space="0" w:color="auto"/>
            <w:bottom w:val="none" w:sz="0" w:space="0" w:color="auto"/>
            <w:right w:val="none" w:sz="0" w:space="0" w:color="auto"/>
          </w:divBdr>
        </w:div>
        <w:div w:id="1540820310">
          <w:marLeft w:val="0"/>
          <w:marRight w:val="0"/>
          <w:marTop w:val="0"/>
          <w:marBottom w:val="0"/>
          <w:divBdr>
            <w:top w:val="none" w:sz="0" w:space="0" w:color="auto"/>
            <w:left w:val="none" w:sz="0" w:space="0" w:color="auto"/>
            <w:bottom w:val="none" w:sz="0" w:space="0" w:color="auto"/>
            <w:right w:val="none" w:sz="0" w:space="0" w:color="auto"/>
          </w:divBdr>
        </w:div>
        <w:div w:id="837622338">
          <w:marLeft w:val="0"/>
          <w:marRight w:val="0"/>
          <w:marTop w:val="0"/>
          <w:marBottom w:val="0"/>
          <w:divBdr>
            <w:top w:val="none" w:sz="0" w:space="0" w:color="auto"/>
            <w:left w:val="none" w:sz="0" w:space="0" w:color="auto"/>
            <w:bottom w:val="none" w:sz="0" w:space="0" w:color="auto"/>
            <w:right w:val="none" w:sz="0" w:space="0" w:color="auto"/>
          </w:divBdr>
        </w:div>
        <w:div w:id="2012642401">
          <w:marLeft w:val="0"/>
          <w:marRight w:val="0"/>
          <w:marTop w:val="0"/>
          <w:marBottom w:val="0"/>
          <w:divBdr>
            <w:top w:val="none" w:sz="0" w:space="0" w:color="auto"/>
            <w:left w:val="none" w:sz="0" w:space="0" w:color="auto"/>
            <w:bottom w:val="none" w:sz="0" w:space="0" w:color="auto"/>
            <w:right w:val="none" w:sz="0" w:space="0" w:color="auto"/>
          </w:divBdr>
        </w:div>
        <w:div w:id="1172767620">
          <w:marLeft w:val="0"/>
          <w:marRight w:val="0"/>
          <w:marTop w:val="0"/>
          <w:marBottom w:val="0"/>
          <w:divBdr>
            <w:top w:val="none" w:sz="0" w:space="0" w:color="auto"/>
            <w:left w:val="none" w:sz="0" w:space="0" w:color="auto"/>
            <w:bottom w:val="none" w:sz="0" w:space="0" w:color="auto"/>
            <w:right w:val="none" w:sz="0" w:space="0" w:color="auto"/>
          </w:divBdr>
        </w:div>
        <w:div w:id="1784299096">
          <w:marLeft w:val="0"/>
          <w:marRight w:val="0"/>
          <w:marTop w:val="0"/>
          <w:marBottom w:val="0"/>
          <w:divBdr>
            <w:top w:val="none" w:sz="0" w:space="0" w:color="auto"/>
            <w:left w:val="none" w:sz="0" w:space="0" w:color="auto"/>
            <w:bottom w:val="none" w:sz="0" w:space="0" w:color="auto"/>
            <w:right w:val="none" w:sz="0" w:space="0" w:color="auto"/>
          </w:divBdr>
        </w:div>
        <w:div w:id="1136950219">
          <w:marLeft w:val="0"/>
          <w:marRight w:val="0"/>
          <w:marTop w:val="0"/>
          <w:marBottom w:val="0"/>
          <w:divBdr>
            <w:top w:val="none" w:sz="0" w:space="0" w:color="auto"/>
            <w:left w:val="none" w:sz="0" w:space="0" w:color="auto"/>
            <w:bottom w:val="none" w:sz="0" w:space="0" w:color="auto"/>
            <w:right w:val="none" w:sz="0" w:space="0" w:color="auto"/>
          </w:divBdr>
        </w:div>
        <w:div w:id="1144547363">
          <w:marLeft w:val="0"/>
          <w:marRight w:val="0"/>
          <w:marTop w:val="0"/>
          <w:marBottom w:val="0"/>
          <w:divBdr>
            <w:top w:val="none" w:sz="0" w:space="0" w:color="auto"/>
            <w:left w:val="none" w:sz="0" w:space="0" w:color="auto"/>
            <w:bottom w:val="none" w:sz="0" w:space="0" w:color="auto"/>
            <w:right w:val="none" w:sz="0" w:space="0" w:color="auto"/>
          </w:divBdr>
        </w:div>
        <w:div w:id="560211767">
          <w:marLeft w:val="0"/>
          <w:marRight w:val="0"/>
          <w:marTop w:val="0"/>
          <w:marBottom w:val="0"/>
          <w:divBdr>
            <w:top w:val="none" w:sz="0" w:space="0" w:color="auto"/>
            <w:left w:val="none" w:sz="0" w:space="0" w:color="auto"/>
            <w:bottom w:val="none" w:sz="0" w:space="0" w:color="auto"/>
            <w:right w:val="none" w:sz="0" w:space="0" w:color="auto"/>
          </w:divBdr>
        </w:div>
        <w:div w:id="1787769273">
          <w:marLeft w:val="0"/>
          <w:marRight w:val="0"/>
          <w:marTop w:val="0"/>
          <w:marBottom w:val="0"/>
          <w:divBdr>
            <w:top w:val="none" w:sz="0" w:space="0" w:color="auto"/>
            <w:left w:val="none" w:sz="0" w:space="0" w:color="auto"/>
            <w:bottom w:val="none" w:sz="0" w:space="0" w:color="auto"/>
            <w:right w:val="none" w:sz="0" w:space="0" w:color="auto"/>
          </w:divBdr>
        </w:div>
        <w:div w:id="372047984">
          <w:marLeft w:val="0"/>
          <w:marRight w:val="0"/>
          <w:marTop w:val="0"/>
          <w:marBottom w:val="0"/>
          <w:divBdr>
            <w:top w:val="none" w:sz="0" w:space="0" w:color="auto"/>
            <w:left w:val="none" w:sz="0" w:space="0" w:color="auto"/>
            <w:bottom w:val="none" w:sz="0" w:space="0" w:color="auto"/>
            <w:right w:val="none" w:sz="0" w:space="0" w:color="auto"/>
          </w:divBdr>
        </w:div>
        <w:div w:id="1538275021">
          <w:marLeft w:val="0"/>
          <w:marRight w:val="0"/>
          <w:marTop w:val="0"/>
          <w:marBottom w:val="0"/>
          <w:divBdr>
            <w:top w:val="none" w:sz="0" w:space="0" w:color="auto"/>
            <w:left w:val="none" w:sz="0" w:space="0" w:color="auto"/>
            <w:bottom w:val="none" w:sz="0" w:space="0" w:color="auto"/>
            <w:right w:val="none" w:sz="0" w:space="0" w:color="auto"/>
          </w:divBdr>
        </w:div>
        <w:div w:id="1903324942">
          <w:marLeft w:val="0"/>
          <w:marRight w:val="0"/>
          <w:marTop w:val="0"/>
          <w:marBottom w:val="0"/>
          <w:divBdr>
            <w:top w:val="none" w:sz="0" w:space="0" w:color="auto"/>
            <w:left w:val="none" w:sz="0" w:space="0" w:color="auto"/>
            <w:bottom w:val="none" w:sz="0" w:space="0" w:color="auto"/>
            <w:right w:val="none" w:sz="0" w:space="0" w:color="auto"/>
          </w:divBdr>
        </w:div>
        <w:div w:id="539123951">
          <w:marLeft w:val="0"/>
          <w:marRight w:val="0"/>
          <w:marTop w:val="0"/>
          <w:marBottom w:val="0"/>
          <w:divBdr>
            <w:top w:val="none" w:sz="0" w:space="0" w:color="auto"/>
            <w:left w:val="none" w:sz="0" w:space="0" w:color="auto"/>
            <w:bottom w:val="none" w:sz="0" w:space="0" w:color="auto"/>
            <w:right w:val="none" w:sz="0" w:space="0" w:color="auto"/>
          </w:divBdr>
        </w:div>
        <w:div w:id="1183086489">
          <w:marLeft w:val="0"/>
          <w:marRight w:val="0"/>
          <w:marTop w:val="0"/>
          <w:marBottom w:val="0"/>
          <w:divBdr>
            <w:top w:val="none" w:sz="0" w:space="0" w:color="auto"/>
            <w:left w:val="none" w:sz="0" w:space="0" w:color="auto"/>
            <w:bottom w:val="none" w:sz="0" w:space="0" w:color="auto"/>
            <w:right w:val="none" w:sz="0" w:space="0" w:color="auto"/>
          </w:divBdr>
        </w:div>
        <w:div w:id="1499542726">
          <w:marLeft w:val="0"/>
          <w:marRight w:val="0"/>
          <w:marTop w:val="0"/>
          <w:marBottom w:val="0"/>
          <w:divBdr>
            <w:top w:val="none" w:sz="0" w:space="0" w:color="auto"/>
            <w:left w:val="none" w:sz="0" w:space="0" w:color="auto"/>
            <w:bottom w:val="none" w:sz="0" w:space="0" w:color="auto"/>
            <w:right w:val="none" w:sz="0" w:space="0" w:color="auto"/>
          </w:divBdr>
        </w:div>
        <w:div w:id="525220789">
          <w:marLeft w:val="0"/>
          <w:marRight w:val="0"/>
          <w:marTop w:val="0"/>
          <w:marBottom w:val="0"/>
          <w:divBdr>
            <w:top w:val="none" w:sz="0" w:space="0" w:color="auto"/>
            <w:left w:val="none" w:sz="0" w:space="0" w:color="auto"/>
            <w:bottom w:val="none" w:sz="0" w:space="0" w:color="auto"/>
            <w:right w:val="none" w:sz="0" w:space="0" w:color="auto"/>
          </w:divBdr>
        </w:div>
        <w:div w:id="507596141">
          <w:marLeft w:val="0"/>
          <w:marRight w:val="0"/>
          <w:marTop w:val="0"/>
          <w:marBottom w:val="0"/>
          <w:divBdr>
            <w:top w:val="none" w:sz="0" w:space="0" w:color="auto"/>
            <w:left w:val="none" w:sz="0" w:space="0" w:color="auto"/>
            <w:bottom w:val="none" w:sz="0" w:space="0" w:color="auto"/>
            <w:right w:val="none" w:sz="0" w:space="0" w:color="auto"/>
          </w:divBdr>
        </w:div>
        <w:div w:id="5904861">
          <w:marLeft w:val="0"/>
          <w:marRight w:val="0"/>
          <w:marTop w:val="0"/>
          <w:marBottom w:val="0"/>
          <w:divBdr>
            <w:top w:val="none" w:sz="0" w:space="0" w:color="auto"/>
            <w:left w:val="none" w:sz="0" w:space="0" w:color="auto"/>
            <w:bottom w:val="none" w:sz="0" w:space="0" w:color="auto"/>
            <w:right w:val="none" w:sz="0" w:space="0" w:color="auto"/>
          </w:divBdr>
        </w:div>
        <w:div w:id="1094017398">
          <w:marLeft w:val="0"/>
          <w:marRight w:val="0"/>
          <w:marTop w:val="0"/>
          <w:marBottom w:val="0"/>
          <w:divBdr>
            <w:top w:val="none" w:sz="0" w:space="0" w:color="auto"/>
            <w:left w:val="none" w:sz="0" w:space="0" w:color="auto"/>
            <w:bottom w:val="none" w:sz="0" w:space="0" w:color="auto"/>
            <w:right w:val="none" w:sz="0" w:space="0" w:color="auto"/>
          </w:divBdr>
        </w:div>
        <w:div w:id="494298367">
          <w:marLeft w:val="0"/>
          <w:marRight w:val="0"/>
          <w:marTop w:val="0"/>
          <w:marBottom w:val="0"/>
          <w:divBdr>
            <w:top w:val="none" w:sz="0" w:space="0" w:color="auto"/>
            <w:left w:val="none" w:sz="0" w:space="0" w:color="auto"/>
            <w:bottom w:val="none" w:sz="0" w:space="0" w:color="auto"/>
            <w:right w:val="none" w:sz="0" w:space="0" w:color="auto"/>
          </w:divBdr>
        </w:div>
        <w:div w:id="684096698">
          <w:marLeft w:val="0"/>
          <w:marRight w:val="0"/>
          <w:marTop w:val="0"/>
          <w:marBottom w:val="0"/>
          <w:divBdr>
            <w:top w:val="none" w:sz="0" w:space="0" w:color="auto"/>
            <w:left w:val="none" w:sz="0" w:space="0" w:color="auto"/>
            <w:bottom w:val="none" w:sz="0" w:space="0" w:color="auto"/>
            <w:right w:val="none" w:sz="0" w:space="0" w:color="auto"/>
          </w:divBdr>
        </w:div>
        <w:div w:id="605576224">
          <w:marLeft w:val="0"/>
          <w:marRight w:val="0"/>
          <w:marTop w:val="0"/>
          <w:marBottom w:val="0"/>
          <w:divBdr>
            <w:top w:val="none" w:sz="0" w:space="0" w:color="auto"/>
            <w:left w:val="none" w:sz="0" w:space="0" w:color="auto"/>
            <w:bottom w:val="none" w:sz="0" w:space="0" w:color="auto"/>
            <w:right w:val="none" w:sz="0" w:space="0" w:color="auto"/>
          </w:divBdr>
        </w:div>
        <w:div w:id="1749113203">
          <w:marLeft w:val="0"/>
          <w:marRight w:val="0"/>
          <w:marTop w:val="0"/>
          <w:marBottom w:val="0"/>
          <w:divBdr>
            <w:top w:val="none" w:sz="0" w:space="0" w:color="auto"/>
            <w:left w:val="none" w:sz="0" w:space="0" w:color="auto"/>
            <w:bottom w:val="none" w:sz="0" w:space="0" w:color="auto"/>
            <w:right w:val="none" w:sz="0" w:space="0" w:color="auto"/>
          </w:divBdr>
        </w:div>
        <w:div w:id="918638205">
          <w:marLeft w:val="0"/>
          <w:marRight w:val="0"/>
          <w:marTop w:val="0"/>
          <w:marBottom w:val="0"/>
          <w:divBdr>
            <w:top w:val="none" w:sz="0" w:space="0" w:color="auto"/>
            <w:left w:val="none" w:sz="0" w:space="0" w:color="auto"/>
            <w:bottom w:val="none" w:sz="0" w:space="0" w:color="auto"/>
            <w:right w:val="none" w:sz="0" w:space="0" w:color="auto"/>
          </w:divBdr>
        </w:div>
        <w:div w:id="548760206">
          <w:marLeft w:val="0"/>
          <w:marRight w:val="0"/>
          <w:marTop w:val="0"/>
          <w:marBottom w:val="0"/>
          <w:divBdr>
            <w:top w:val="none" w:sz="0" w:space="0" w:color="auto"/>
            <w:left w:val="none" w:sz="0" w:space="0" w:color="auto"/>
            <w:bottom w:val="none" w:sz="0" w:space="0" w:color="auto"/>
            <w:right w:val="none" w:sz="0" w:space="0" w:color="auto"/>
          </w:divBdr>
        </w:div>
        <w:div w:id="36517805">
          <w:marLeft w:val="0"/>
          <w:marRight w:val="0"/>
          <w:marTop w:val="0"/>
          <w:marBottom w:val="0"/>
          <w:divBdr>
            <w:top w:val="none" w:sz="0" w:space="0" w:color="auto"/>
            <w:left w:val="none" w:sz="0" w:space="0" w:color="auto"/>
            <w:bottom w:val="none" w:sz="0" w:space="0" w:color="auto"/>
            <w:right w:val="none" w:sz="0" w:space="0" w:color="auto"/>
          </w:divBdr>
        </w:div>
        <w:div w:id="51277345">
          <w:marLeft w:val="0"/>
          <w:marRight w:val="0"/>
          <w:marTop w:val="0"/>
          <w:marBottom w:val="0"/>
          <w:divBdr>
            <w:top w:val="none" w:sz="0" w:space="0" w:color="auto"/>
            <w:left w:val="none" w:sz="0" w:space="0" w:color="auto"/>
            <w:bottom w:val="none" w:sz="0" w:space="0" w:color="auto"/>
            <w:right w:val="none" w:sz="0" w:space="0" w:color="auto"/>
          </w:divBdr>
        </w:div>
        <w:div w:id="590624712">
          <w:marLeft w:val="0"/>
          <w:marRight w:val="0"/>
          <w:marTop w:val="0"/>
          <w:marBottom w:val="0"/>
          <w:divBdr>
            <w:top w:val="none" w:sz="0" w:space="0" w:color="auto"/>
            <w:left w:val="none" w:sz="0" w:space="0" w:color="auto"/>
            <w:bottom w:val="none" w:sz="0" w:space="0" w:color="auto"/>
            <w:right w:val="none" w:sz="0" w:space="0" w:color="auto"/>
          </w:divBdr>
        </w:div>
        <w:div w:id="423377493">
          <w:marLeft w:val="0"/>
          <w:marRight w:val="0"/>
          <w:marTop w:val="0"/>
          <w:marBottom w:val="0"/>
          <w:divBdr>
            <w:top w:val="none" w:sz="0" w:space="0" w:color="auto"/>
            <w:left w:val="none" w:sz="0" w:space="0" w:color="auto"/>
            <w:bottom w:val="none" w:sz="0" w:space="0" w:color="auto"/>
            <w:right w:val="none" w:sz="0" w:space="0" w:color="auto"/>
          </w:divBdr>
        </w:div>
        <w:div w:id="1531841010">
          <w:marLeft w:val="0"/>
          <w:marRight w:val="0"/>
          <w:marTop w:val="0"/>
          <w:marBottom w:val="0"/>
          <w:divBdr>
            <w:top w:val="none" w:sz="0" w:space="0" w:color="auto"/>
            <w:left w:val="none" w:sz="0" w:space="0" w:color="auto"/>
            <w:bottom w:val="none" w:sz="0" w:space="0" w:color="auto"/>
            <w:right w:val="none" w:sz="0" w:space="0" w:color="auto"/>
          </w:divBdr>
        </w:div>
        <w:div w:id="265309648">
          <w:marLeft w:val="0"/>
          <w:marRight w:val="0"/>
          <w:marTop w:val="0"/>
          <w:marBottom w:val="0"/>
          <w:divBdr>
            <w:top w:val="none" w:sz="0" w:space="0" w:color="auto"/>
            <w:left w:val="none" w:sz="0" w:space="0" w:color="auto"/>
            <w:bottom w:val="none" w:sz="0" w:space="0" w:color="auto"/>
            <w:right w:val="none" w:sz="0" w:space="0" w:color="auto"/>
          </w:divBdr>
        </w:div>
        <w:div w:id="899245098">
          <w:marLeft w:val="0"/>
          <w:marRight w:val="0"/>
          <w:marTop w:val="0"/>
          <w:marBottom w:val="0"/>
          <w:divBdr>
            <w:top w:val="none" w:sz="0" w:space="0" w:color="auto"/>
            <w:left w:val="none" w:sz="0" w:space="0" w:color="auto"/>
            <w:bottom w:val="none" w:sz="0" w:space="0" w:color="auto"/>
            <w:right w:val="none" w:sz="0" w:space="0" w:color="auto"/>
          </w:divBdr>
        </w:div>
        <w:div w:id="1136677817">
          <w:marLeft w:val="0"/>
          <w:marRight w:val="0"/>
          <w:marTop w:val="0"/>
          <w:marBottom w:val="0"/>
          <w:divBdr>
            <w:top w:val="none" w:sz="0" w:space="0" w:color="auto"/>
            <w:left w:val="none" w:sz="0" w:space="0" w:color="auto"/>
            <w:bottom w:val="none" w:sz="0" w:space="0" w:color="auto"/>
            <w:right w:val="none" w:sz="0" w:space="0" w:color="auto"/>
          </w:divBdr>
        </w:div>
        <w:div w:id="1907573537">
          <w:marLeft w:val="0"/>
          <w:marRight w:val="0"/>
          <w:marTop w:val="0"/>
          <w:marBottom w:val="0"/>
          <w:divBdr>
            <w:top w:val="none" w:sz="0" w:space="0" w:color="auto"/>
            <w:left w:val="none" w:sz="0" w:space="0" w:color="auto"/>
            <w:bottom w:val="none" w:sz="0" w:space="0" w:color="auto"/>
            <w:right w:val="none" w:sz="0" w:space="0" w:color="auto"/>
          </w:divBdr>
        </w:div>
        <w:div w:id="1521816847">
          <w:marLeft w:val="0"/>
          <w:marRight w:val="0"/>
          <w:marTop w:val="0"/>
          <w:marBottom w:val="0"/>
          <w:divBdr>
            <w:top w:val="none" w:sz="0" w:space="0" w:color="auto"/>
            <w:left w:val="none" w:sz="0" w:space="0" w:color="auto"/>
            <w:bottom w:val="none" w:sz="0" w:space="0" w:color="auto"/>
            <w:right w:val="none" w:sz="0" w:space="0" w:color="auto"/>
          </w:divBdr>
        </w:div>
        <w:div w:id="1881824739">
          <w:marLeft w:val="0"/>
          <w:marRight w:val="0"/>
          <w:marTop w:val="0"/>
          <w:marBottom w:val="0"/>
          <w:divBdr>
            <w:top w:val="none" w:sz="0" w:space="0" w:color="auto"/>
            <w:left w:val="none" w:sz="0" w:space="0" w:color="auto"/>
            <w:bottom w:val="none" w:sz="0" w:space="0" w:color="auto"/>
            <w:right w:val="none" w:sz="0" w:space="0" w:color="auto"/>
          </w:divBdr>
        </w:div>
        <w:div w:id="2062900827">
          <w:marLeft w:val="0"/>
          <w:marRight w:val="0"/>
          <w:marTop w:val="0"/>
          <w:marBottom w:val="0"/>
          <w:divBdr>
            <w:top w:val="none" w:sz="0" w:space="0" w:color="auto"/>
            <w:left w:val="none" w:sz="0" w:space="0" w:color="auto"/>
            <w:bottom w:val="none" w:sz="0" w:space="0" w:color="auto"/>
            <w:right w:val="none" w:sz="0" w:space="0" w:color="auto"/>
          </w:divBdr>
        </w:div>
        <w:div w:id="2043707376">
          <w:marLeft w:val="0"/>
          <w:marRight w:val="0"/>
          <w:marTop w:val="0"/>
          <w:marBottom w:val="0"/>
          <w:divBdr>
            <w:top w:val="none" w:sz="0" w:space="0" w:color="auto"/>
            <w:left w:val="none" w:sz="0" w:space="0" w:color="auto"/>
            <w:bottom w:val="none" w:sz="0" w:space="0" w:color="auto"/>
            <w:right w:val="none" w:sz="0" w:space="0" w:color="auto"/>
          </w:divBdr>
        </w:div>
        <w:div w:id="1317151883">
          <w:marLeft w:val="0"/>
          <w:marRight w:val="0"/>
          <w:marTop w:val="0"/>
          <w:marBottom w:val="0"/>
          <w:divBdr>
            <w:top w:val="none" w:sz="0" w:space="0" w:color="auto"/>
            <w:left w:val="none" w:sz="0" w:space="0" w:color="auto"/>
            <w:bottom w:val="none" w:sz="0" w:space="0" w:color="auto"/>
            <w:right w:val="none" w:sz="0" w:space="0" w:color="auto"/>
          </w:divBdr>
        </w:div>
        <w:div w:id="135488147">
          <w:marLeft w:val="0"/>
          <w:marRight w:val="0"/>
          <w:marTop w:val="0"/>
          <w:marBottom w:val="0"/>
          <w:divBdr>
            <w:top w:val="none" w:sz="0" w:space="0" w:color="auto"/>
            <w:left w:val="none" w:sz="0" w:space="0" w:color="auto"/>
            <w:bottom w:val="none" w:sz="0" w:space="0" w:color="auto"/>
            <w:right w:val="none" w:sz="0" w:space="0" w:color="auto"/>
          </w:divBdr>
        </w:div>
        <w:div w:id="1343314548">
          <w:marLeft w:val="0"/>
          <w:marRight w:val="0"/>
          <w:marTop w:val="0"/>
          <w:marBottom w:val="0"/>
          <w:divBdr>
            <w:top w:val="none" w:sz="0" w:space="0" w:color="auto"/>
            <w:left w:val="none" w:sz="0" w:space="0" w:color="auto"/>
            <w:bottom w:val="none" w:sz="0" w:space="0" w:color="auto"/>
            <w:right w:val="none" w:sz="0" w:space="0" w:color="auto"/>
          </w:divBdr>
        </w:div>
        <w:div w:id="907882327">
          <w:marLeft w:val="0"/>
          <w:marRight w:val="0"/>
          <w:marTop w:val="0"/>
          <w:marBottom w:val="0"/>
          <w:divBdr>
            <w:top w:val="none" w:sz="0" w:space="0" w:color="auto"/>
            <w:left w:val="none" w:sz="0" w:space="0" w:color="auto"/>
            <w:bottom w:val="none" w:sz="0" w:space="0" w:color="auto"/>
            <w:right w:val="none" w:sz="0" w:space="0" w:color="auto"/>
          </w:divBdr>
        </w:div>
        <w:div w:id="892234170">
          <w:marLeft w:val="0"/>
          <w:marRight w:val="0"/>
          <w:marTop w:val="0"/>
          <w:marBottom w:val="0"/>
          <w:divBdr>
            <w:top w:val="none" w:sz="0" w:space="0" w:color="auto"/>
            <w:left w:val="none" w:sz="0" w:space="0" w:color="auto"/>
            <w:bottom w:val="none" w:sz="0" w:space="0" w:color="auto"/>
            <w:right w:val="none" w:sz="0" w:space="0" w:color="auto"/>
          </w:divBdr>
        </w:div>
        <w:div w:id="482812439">
          <w:marLeft w:val="0"/>
          <w:marRight w:val="0"/>
          <w:marTop w:val="0"/>
          <w:marBottom w:val="0"/>
          <w:divBdr>
            <w:top w:val="none" w:sz="0" w:space="0" w:color="auto"/>
            <w:left w:val="none" w:sz="0" w:space="0" w:color="auto"/>
            <w:bottom w:val="none" w:sz="0" w:space="0" w:color="auto"/>
            <w:right w:val="none" w:sz="0" w:space="0" w:color="auto"/>
          </w:divBdr>
        </w:div>
        <w:div w:id="1328748278">
          <w:marLeft w:val="0"/>
          <w:marRight w:val="0"/>
          <w:marTop w:val="0"/>
          <w:marBottom w:val="0"/>
          <w:divBdr>
            <w:top w:val="none" w:sz="0" w:space="0" w:color="auto"/>
            <w:left w:val="none" w:sz="0" w:space="0" w:color="auto"/>
            <w:bottom w:val="none" w:sz="0" w:space="0" w:color="auto"/>
            <w:right w:val="none" w:sz="0" w:space="0" w:color="auto"/>
          </w:divBdr>
        </w:div>
        <w:div w:id="1564487198">
          <w:marLeft w:val="0"/>
          <w:marRight w:val="0"/>
          <w:marTop w:val="0"/>
          <w:marBottom w:val="0"/>
          <w:divBdr>
            <w:top w:val="none" w:sz="0" w:space="0" w:color="auto"/>
            <w:left w:val="none" w:sz="0" w:space="0" w:color="auto"/>
            <w:bottom w:val="none" w:sz="0" w:space="0" w:color="auto"/>
            <w:right w:val="none" w:sz="0" w:space="0" w:color="auto"/>
          </w:divBdr>
        </w:div>
        <w:div w:id="1366639427">
          <w:marLeft w:val="0"/>
          <w:marRight w:val="0"/>
          <w:marTop w:val="0"/>
          <w:marBottom w:val="0"/>
          <w:divBdr>
            <w:top w:val="none" w:sz="0" w:space="0" w:color="auto"/>
            <w:left w:val="none" w:sz="0" w:space="0" w:color="auto"/>
            <w:bottom w:val="none" w:sz="0" w:space="0" w:color="auto"/>
            <w:right w:val="none" w:sz="0" w:space="0" w:color="auto"/>
          </w:divBdr>
        </w:div>
        <w:div w:id="2069066838">
          <w:marLeft w:val="0"/>
          <w:marRight w:val="0"/>
          <w:marTop w:val="0"/>
          <w:marBottom w:val="0"/>
          <w:divBdr>
            <w:top w:val="none" w:sz="0" w:space="0" w:color="auto"/>
            <w:left w:val="none" w:sz="0" w:space="0" w:color="auto"/>
            <w:bottom w:val="none" w:sz="0" w:space="0" w:color="auto"/>
            <w:right w:val="none" w:sz="0" w:space="0" w:color="auto"/>
          </w:divBdr>
        </w:div>
        <w:div w:id="1102452873">
          <w:marLeft w:val="0"/>
          <w:marRight w:val="0"/>
          <w:marTop w:val="0"/>
          <w:marBottom w:val="0"/>
          <w:divBdr>
            <w:top w:val="none" w:sz="0" w:space="0" w:color="auto"/>
            <w:left w:val="none" w:sz="0" w:space="0" w:color="auto"/>
            <w:bottom w:val="none" w:sz="0" w:space="0" w:color="auto"/>
            <w:right w:val="none" w:sz="0" w:space="0" w:color="auto"/>
          </w:divBdr>
        </w:div>
        <w:div w:id="1199734415">
          <w:marLeft w:val="0"/>
          <w:marRight w:val="0"/>
          <w:marTop w:val="0"/>
          <w:marBottom w:val="0"/>
          <w:divBdr>
            <w:top w:val="none" w:sz="0" w:space="0" w:color="auto"/>
            <w:left w:val="none" w:sz="0" w:space="0" w:color="auto"/>
            <w:bottom w:val="none" w:sz="0" w:space="0" w:color="auto"/>
            <w:right w:val="none" w:sz="0" w:space="0" w:color="auto"/>
          </w:divBdr>
        </w:div>
        <w:div w:id="1319769022">
          <w:marLeft w:val="0"/>
          <w:marRight w:val="0"/>
          <w:marTop w:val="0"/>
          <w:marBottom w:val="0"/>
          <w:divBdr>
            <w:top w:val="none" w:sz="0" w:space="0" w:color="auto"/>
            <w:left w:val="none" w:sz="0" w:space="0" w:color="auto"/>
            <w:bottom w:val="none" w:sz="0" w:space="0" w:color="auto"/>
            <w:right w:val="none" w:sz="0" w:space="0" w:color="auto"/>
          </w:divBdr>
        </w:div>
        <w:div w:id="1634826597">
          <w:marLeft w:val="0"/>
          <w:marRight w:val="0"/>
          <w:marTop w:val="0"/>
          <w:marBottom w:val="0"/>
          <w:divBdr>
            <w:top w:val="none" w:sz="0" w:space="0" w:color="auto"/>
            <w:left w:val="none" w:sz="0" w:space="0" w:color="auto"/>
            <w:bottom w:val="none" w:sz="0" w:space="0" w:color="auto"/>
            <w:right w:val="none" w:sz="0" w:space="0" w:color="auto"/>
          </w:divBdr>
        </w:div>
        <w:div w:id="984089348">
          <w:marLeft w:val="0"/>
          <w:marRight w:val="0"/>
          <w:marTop w:val="0"/>
          <w:marBottom w:val="0"/>
          <w:divBdr>
            <w:top w:val="none" w:sz="0" w:space="0" w:color="auto"/>
            <w:left w:val="none" w:sz="0" w:space="0" w:color="auto"/>
            <w:bottom w:val="none" w:sz="0" w:space="0" w:color="auto"/>
            <w:right w:val="none" w:sz="0" w:space="0" w:color="auto"/>
          </w:divBdr>
        </w:div>
        <w:div w:id="964114251">
          <w:marLeft w:val="0"/>
          <w:marRight w:val="0"/>
          <w:marTop w:val="0"/>
          <w:marBottom w:val="0"/>
          <w:divBdr>
            <w:top w:val="none" w:sz="0" w:space="0" w:color="auto"/>
            <w:left w:val="none" w:sz="0" w:space="0" w:color="auto"/>
            <w:bottom w:val="none" w:sz="0" w:space="0" w:color="auto"/>
            <w:right w:val="none" w:sz="0" w:space="0" w:color="auto"/>
          </w:divBdr>
        </w:div>
        <w:div w:id="1284114773">
          <w:marLeft w:val="0"/>
          <w:marRight w:val="0"/>
          <w:marTop w:val="0"/>
          <w:marBottom w:val="0"/>
          <w:divBdr>
            <w:top w:val="none" w:sz="0" w:space="0" w:color="auto"/>
            <w:left w:val="none" w:sz="0" w:space="0" w:color="auto"/>
            <w:bottom w:val="none" w:sz="0" w:space="0" w:color="auto"/>
            <w:right w:val="none" w:sz="0" w:space="0" w:color="auto"/>
          </w:divBdr>
        </w:div>
        <w:div w:id="297692272">
          <w:marLeft w:val="0"/>
          <w:marRight w:val="0"/>
          <w:marTop w:val="0"/>
          <w:marBottom w:val="0"/>
          <w:divBdr>
            <w:top w:val="none" w:sz="0" w:space="0" w:color="auto"/>
            <w:left w:val="none" w:sz="0" w:space="0" w:color="auto"/>
            <w:bottom w:val="none" w:sz="0" w:space="0" w:color="auto"/>
            <w:right w:val="none" w:sz="0" w:space="0" w:color="auto"/>
          </w:divBdr>
        </w:div>
        <w:div w:id="797915353">
          <w:marLeft w:val="0"/>
          <w:marRight w:val="0"/>
          <w:marTop w:val="0"/>
          <w:marBottom w:val="0"/>
          <w:divBdr>
            <w:top w:val="none" w:sz="0" w:space="0" w:color="auto"/>
            <w:left w:val="none" w:sz="0" w:space="0" w:color="auto"/>
            <w:bottom w:val="none" w:sz="0" w:space="0" w:color="auto"/>
            <w:right w:val="none" w:sz="0" w:space="0" w:color="auto"/>
          </w:divBdr>
        </w:div>
        <w:div w:id="46728013">
          <w:marLeft w:val="0"/>
          <w:marRight w:val="0"/>
          <w:marTop w:val="0"/>
          <w:marBottom w:val="0"/>
          <w:divBdr>
            <w:top w:val="none" w:sz="0" w:space="0" w:color="auto"/>
            <w:left w:val="none" w:sz="0" w:space="0" w:color="auto"/>
            <w:bottom w:val="none" w:sz="0" w:space="0" w:color="auto"/>
            <w:right w:val="none" w:sz="0" w:space="0" w:color="auto"/>
          </w:divBdr>
        </w:div>
        <w:div w:id="395444525">
          <w:marLeft w:val="0"/>
          <w:marRight w:val="0"/>
          <w:marTop w:val="0"/>
          <w:marBottom w:val="0"/>
          <w:divBdr>
            <w:top w:val="none" w:sz="0" w:space="0" w:color="auto"/>
            <w:left w:val="none" w:sz="0" w:space="0" w:color="auto"/>
            <w:bottom w:val="none" w:sz="0" w:space="0" w:color="auto"/>
            <w:right w:val="none" w:sz="0" w:space="0" w:color="auto"/>
          </w:divBdr>
        </w:div>
        <w:div w:id="862784884">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16467792">
          <w:marLeft w:val="0"/>
          <w:marRight w:val="0"/>
          <w:marTop w:val="0"/>
          <w:marBottom w:val="0"/>
          <w:divBdr>
            <w:top w:val="none" w:sz="0" w:space="0" w:color="auto"/>
            <w:left w:val="none" w:sz="0" w:space="0" w:color="auto"/>
            <w:bottom w:val="none" w:sz="0" w:space="0" w:color="auto"/>
            <w:right w:val="none" w:sz="0" w:space="0" w:color="auto"/>
          </w:divBdr>
        </w:div>
        <w:div w:id="565410036">
          <w:marLeft w:val="0"/>
          <w:marRight w:val="0"/>
          <w:marTop w:val="0"/>
          <w:marBottom w:val="0"/>
          <w:divBdr>
            <w:top w:val="none" w:sz="0" w:space="0" w:color="auto"/>
            <w:left w:val="none" w:sz="0" w:space="0" w:color="auto"/>
            <w:bottom w:val="none" w:sz="0" w:space="0" w:color="auto"/>
            <w:right w:val="none" w:sz="0" w:space="0" w:color="auto"/>
          </w:divBdr>
        </w:div>
        <w:div w:id="1721514966">
          <w:marLeft w:val="0"/>
          <w:marRight w:val="0"/>
          <w:marTop w:val="0"/>
          <w:marBottom w:val="0"/>
          <w:divBdr>
            <w:top w:val="none" w:sz="0" w:space="0" w:color="auto"/>
            <w:left w:val="none" w:sz="0" w:space="0" w:color="auto"/>
            <w:bottom w:val="none" w:sz="0" w:space="0" w:color="auto"/>
            <w:right w:val="none" w:sz="0" w:space="0" w:color="auto"/>
          </w:divBdr>
        </w:div>
        <w:div w:id="666445530">
          <w:marLeft w:val="0"/>
          <w:marRight w:val="0"/>
          <w:marTop w:val="0"/>
          <w:marBottom w:val="0"/>
          <w:divBdr>
            <w:top w:val="none" w:sz="0" w:space="0" w:color="auto"/>
            <w:left w:val="none" w:sz="0" w:space="0" w:color="auto"/>
            <w:bottom w:val="none" w:sz="0" w:space="0" w:color="auto"/>
            <w:right w:val="none" w:sz="0" w:space="0" w:color="auto"/>
          </w:divBdr>
        </w:div>
        <w:div w:id="350492940">
          <w:marLeft w:val="0"/>
          <w:marRight w:val="0"/>
          <w:marTop w:val="0"/>
          <w:marBottom w:val="0"/>
          <w:divBdr>
            <w:top w:val="none" w:sz="0" w:space="0" w:color="auto"/>
            <w:left w:val="none" w:sz="0" w:space="0" w:color="auto"/>
            <w:bottom w:val="none" w:sz="0" w:space="0" w:color="auto"/>
            <w:right w:val="none" w:sz="0" w:space="0" w:color="auto"/>
          </w:divBdr>
        </w:div>
        <w:div w:id="1615015726">
          <w:marLeft w:val="0"/>
          <w:marRight w:val="0"/>
          <w:marTop w:val="0"/>
          <w:marBottom w:val="0"/>
          <w:divBdr>
            <w:top w:val="none" w:sz="0" w:space="0" w:color="auto"/>
            <w:left w:val="none" w:sz="0" w:space="0" w:color="auto"/>
            <w:bottom w:val="none" w:sz="0" w:space="0" w:color="auto"/>
            <w:right w:val="none" w:sz="0" w:space="0" w:color="auto"/>
          </w:divBdr>
        </w:div>
        <w:div w:id="398405615">
          <w:marLeft w:val="0"/>
          <w:marRight w:val="0"/>
          <w:marTop w:val="0"/>
          <w:marBottom w:val="0"/>
          <w:divBdr>
            <w:top w:val="none" w:sz="0" w:space="0" w:color="auto"/>
            <w:left w:val="none" w:sz="0" w:space="0" w:color="auto"/>
            <w:bottom w:val="none" w:sz="0" w:space="0" w:color="auto"/>
            <w:right w:val="none" w:sz="0" w:space="0" w:color="auto"/>
          </w:divBdr>
        </w:div>
        <w:div w:id="1919901893">
          <w:marLeft w:val="0"/>
          <w:marRight w:val="0"/>
          <w:marTop w:val="0"/>
          <w:marBottom w:val="0"/>
          <w:divBdr>
            <w:top w:val="none" w:sz="0" w:space="0" w:color="auto"/>
            <w:left w:val="none" w:sz="0" w:space="0" w:color="auto"/>
            <w:bottom w:val="none" w:sz="0" w:space="0" w:color="auto"/>
            <w:right w:val="none" w:sz="0" w:space="0" w:color="auto"/>
          </w:divBdr>
        </w:div>
        <w:div w:id="461270173">
          <w:marLeft w:val="0"/>
          <w:marRight w:val="0"/>
          <w:marTop w:val="0"/>
          <w:marBottom w:val="0"/>
          <w:divBdr>
            <w:top w:val="none" w:sz="0" w:space="0" w:color="auto"/>
            <w:left w:val="none" w:sz="0" w:space="0" w:color="auto"/>
            <w:bottom w:val="none" w:sz="0" w:space="0" w:color="auto"/>
            <w:right w:val="none" w:sz="0" w:space="0" w:color="auto"/>
          </w:divBdr>
        </w:div>
        <w:div w:id="1764960015">
          <w:marLeft w:val="0"/>
          <w:marRight w:val="0"/>
          <w:marTop w:val="0"/>
          <w:marBottom w:val="0"/>
          <w:divBdr>
            <w:top w:val="none" w:sz="0" w:space="0" w:color="auto"/>
            <w:left w:val="none" w:sz="0" w:space="0" w:color="auto"/>
            <w:bottom w:val="none" w:sz="0" w:space="0" w:color="auto"/>
            <w:right w:val="none" w:sz="0" w:space="0" w:color="auto"/>
          </w:divBdr>
        </w:div>
        <w:div w:id="37897299">
          <w:marLeft w:val="0"/>
          <w:marRight w:val="0"/>
          <w:marTop w:val="0"/>
          <w:marBottom w:val="0"/>
          <w:divBdr>
            <w:top w:val="none" w:sz="0" w:space="0" w:color="auto"/>
            <w:left w:val="none" w:sz="0" w:space="0" w:color="auto"/>
            <w:bottom w:val="none" w:sz="0" w:space="0" w:color="auto"/>
            <w:right w:val="none" w:sz="0" w:space="0" w:color="auto"/>
          </w:divBdr>
        </w:div>
        <w:div w:id="774444206">
          <w:marLeft w:val="0"/>
          <w:marRight w:val="0"/>
          <w:marTop w:val="0"/>
          <w:marBottom w:val="0"/>
          <w:divBdr>
            <w:top w:val="none" w:sz="0" w:space="0" w:color="auto"/>
            <w:left w:val="none" w:sz="0" w:space="0" w:color="auto"/>
            <w:bottom w:val="none" w:sz="0" w:space="0" w:color="auto"/>
            <w:right w:val="none" w:sz="0" w:space="0" w:color="auto"/>
          </w:divBdr>
        </w:div>
        <w:div w:id="1571109908">
          <w:marLeft w:val="0"/>
          <w:marRight w:val="0"/>
          <w:marTop w:val="0"/>
          <w:marBottom w:val="0"/>
          <w:divBdr>
            <w:top w:val="none" w:sz="0" w:space="0" w:color="auto"/>
            <w:left w:val="none" w:sz="0" w:space="0" w:color="auto"/>
            <w:bottom w:val="none" w:sz="0" w:space="0" w:color="auto"/>
            <w:right w:val="none" w:sz="0" w:space="0" w:color="auto"/>
          </w:divBdr>
        </w:div>
        <w:div w:id="1435051381">
          <w:marLeft w:val="0"/>
          <w:marRight w:val="0"/>
          <w:marTop w:val="0"/>
          <w:marBottom w:val="0"/>
          <w:divBdr>
            <w:top w:val="none" w:sz="0" w:space="0" w:color="auto"/>
            <w:left w:val="none" w:sz="0" w:space="0" w:color="auto"/>
            <w:bottom w:val="none" w:sz="0" w:space="0" w:color="auto"/>
            <w:right w:val="none" w:sz="0" w:space="0" w:color="auto"/>
          </w:divBdr>
        </w:div>
        <w:div w:id="489905613">
          <w:marLeft w:val="0"/>
          <w:marRight w:val="0"/>
          <w:marTop w:val="0"/>
          <w:marBottom w:val="0"/>
          <w:divBdr>
            <w:top w:val="none" w:sz="0" w:space="0" w:color="auto"/>
            <w:left w:val="none" w:sz="0" w:space="0" w:color="auto"/>
            <w:bottom w:val="none" w:sz="0" w:space="0" w:color="auto"/>
            <w:right w:val="none" w:sz="0" w:space="0" w:color="auto"/>
          </w:divBdr>
        </w:div>
        <w:div w:id="498082997">
          <w:marLeft w:val="0"/>
          <w:marRight w:val="0"/>
          <w:marTop w:val="0"/>
          <w:marBottom w:val="0"/>
          <w:divBdr>
            <w:top w:val="none" w:sz="0" w:space="0" w:color="auto"/>
            <w:left w:val="none" w:sz="0" w:space="0" w:color="auto"/>
            <w:bottom w:val="none" w:sz="0" w:space="0" w:color="auto"/>
            <w:right w:val="none" w:sz="0" w:space="0" w:color="auto"/>
          </w:divBdr>
        </w:div>
        <w:div w:id="1028795897">
          <w:marLeft w:val="0"/>
          <w:marRight w:val="0"/>
          <w:marTop w:val="0"/>
          <w:marBottom w:val="0"/>
          <w:divBdr>
            <w:top w:val="none" w:sz="0" w:space="0" w:color="auto"/>
            <w:left w:val="none" w:sz="0" w:space="0" w:color="auto"/>
            <w:bottom w:val="none" w:sz="0" w:space="0" w:color="auto"/>
            <w:right w:val="none" w:sz="0" w:space="0" w:color="auto"/>
          </w:divBdr>
        </w:div>
        <w:div w:id="1292325661">
          <w:marLeft w:val="0"/>
          <w:marRight w:val="0"/>
          <w:marTop w:val="0"/>
          <w:marBottom w:val="0"/>
          <w:divBdr>
            <w:top w:val="none" w:sz="0" w:space="0" w:color="auto"/>
            <w:left w:val="none" w:sz="0" w:space="0" w:color="auto"/>
            <w:bottom w:val="none" w:sz="0" w:space="0" w:color="auto"/>
            <w:right w:val="none" w:sz="0" w:space="0" w:color="auto"/>
          </w:divBdr>
        </w:div>
        <w:div w:id="570968261">
          <w:marLeft w:val="0"/>
          <w:marRight w:val="0"/>
          <w:marTop w:val="0"/>
          <w:marBottom w:val="0"/>
          <w:divBdr>
            <w:top w:val="none" w:sz="0" w:space="0" w:color="auto"/>
            <w:left w:val="none" w:sz="0" w:space="0" w:color="auto"/>
            <w:bottom w:val="none" w:sz="0" w:space="0" w:color="auto"/>
            <w:right w:val="none" w:sz="0" w:space="0" w:color="auto"/>
          </w:divBdr>
        </w:div>
        <w:div w:id="1468935133">
          <w:marLeft w:val="0"/>
          <w:marRight w:val="0"/>
          <w:marTop w:val="0"/>
          <w:marBottom w:val="0"/>
          <w:divBdr>
            <w:top w:val="none" w:sz="0" w:space="0" w:color="auto"/>
            <w:left w:val="none" w:sz="0" w:space="0" w:color="auto"/>
            <w:bottom w:val="none" w:sz="0" w:space="0" w:color="auto"/>
            <w:right w:val="none" w:sz="0" w:space="0" w:color="auto"/>
          </w:divBdr>
        </w:div>
        <w:div w:id="1531531594">
          <w:marLeft w:val="0"/>
          <w:marRight w:val="0"/>
          <w:marTop w:val="0"/>
          <w:marBottom w:val="0"/>
          <w:divBdr>
            <w:top w:val="none" w:sz="0" w:space="0" w:color="auto"/>
            <w:left w:val="none" w:sz="0" w:space="0" w:color="auto"/>
            <w:bottom w:val="none" w:sz="0" w:space="0" w:color="auto"/>
            <w:right w:val="none" w:sz="0" w:space="0" w:color="auto"/>
          </w:divBdr>
        </w:div>
        <w:div w:id="856506009">
          <w:marLeft w:val="0"/>
          <w:marRight w:val="0"/>
          <w:marTop w:val="0"/>
          <w:marBottom w:val="0"/>
          <w:divBdr>
            <w:top w:val="none" w:sz="0" w:space="0" w:color="auto"/>
            <w:left w:val="none" w:sz="0" w:space="0" w:color="auto"/>
            <w:bottom w:val="none" w:sz="0" w:space="0" w:color="auto"/>
            <w:right w:val="none" w:sz="0" w:space="0" w:color="auto"/>
          </w:divBdr>
        </w:div>
        <w:div w:id="313224802">
          <w:marLeft w:val="0"/>
          <w:marRight w:val="0"/>
          <w:marTop w:val="0"/>
          <w:marBottom w:val="0"/>
          <w:divBdr>
            <w:top w:val="none" w:sz="0" w:space="0" w:color="auto"/>
            <w:left w:val="none" w:sz="0" w:space="0" w:color="auto"/>
            <w:bottom w:val="none" w:sz="0" w:space="0" w:color="auto"/>
            <w:right w:val="none" w:sz="0" w:space="0" w:color="auto"/>
          </w:divBdr>
        </w:div>
        <w:div w:id="1603032622">
          <w:marLeft w:val="0"/>
          <w:marRight w:val="0"/>
          <w:marTop w:val="0"/>
          <w:marBottom w:val="0"/>
          <w:divBdr>
            <w:top w:val="none" w:sz="0" w:space="0" w:color="auto"/>
            <w:left w:val="none" w:sz="0" w:space="0" w:color="auto"/>
            <w:bottom w:val="none" w:sz="0" w:space="0" w:color="auto"/>
            <w:right w:val="none" w:sz="0" w:space="0" w:color="auto"/>
          </w:divBdr>
        </w:div>
        <w:div w:id="849298448">
          <w:marLeft w:val="0"/>
          <w:marRight w:val="0"/>
          <w:marTop w:val="0"/>
          <w:marBottom w:val="0"/>
          <w:divBdr>
            <w:top w:val="none" w:sz="0" w:space="0" w:color="auto"/>
            <w:left w:val="none" w:sz="0" w:space="0" w:color="auto"/>
            <w:bottom w:val="none" w:sz="0" w:space="0" w:color="auto"/>
            <w:right w:val="none" w:sz="0" w:space="0" w:color="auto"/>
          </w:divBdr>
        </w:div>
        <w:div w:id="938759880">
          <w:marLeft w:val="0"/>
          <w:marRight w:val="0"/>
          <w:marTop w:val="0"/>
          <w:marBottom w:val="0"/>
          <w:divBdr>
            <w:top w:val="none" w:sz="0" w:space="0" w:color="auto"/>
            <w:left w:val="none" w:sz="0" w:space="0" w:color="auto"/>
            <w:bottom w:val="none" w:sz="0" w:space="0" w:color="auto"/>
            <w:right w:val="none" w:sz="0" w:space="0" w:color="auto"/>
          </w:divBdr>
        </w:div>
        <w:div w:id="1249772446">
          <w:marLeft w:val="0"/>
          <w:marRight w:val="0"/>
          <w:marTop w:val="0"/>
          <w:marBottom w:val="0"/>
          <w:divBdr>
            <w:top w:val="none" w:sz="0" w:space="0" w:color="auto"/>
            <w:left w:val="none" w:sz="0" w:space="0" w:color="auto"/>
            <w:bottom w:val="none" w:sz="0" w:space="0" w:color="auto"/>
            <w:right w:val="none" w:sz="0" w:space="0" w:color="auto"/>
          </w:divBdr>
        </w:div>
        <w:div w:id="1116025823">
          <w:marLeft w:val="0"/>
          <w:marRight w:val="0"/>
          <w:marTop w:val="0"/>
          <w:marBottom w:val="0"/>
          <w:divBdr>
            <w:top w:val="none" w:sz="0" w:space="0" w:color="auto"/>
            <w:left w:val="none" w:sz="0" w:space="0" w:color="auto"/>
            <w:bottom w:val="none" w:sz="0" w:space="0" w:color="auto"/>
            <w:right w:val="none" w:sz="0" w:space="0" w:color="auto"/>
          </w:divBdr>
        </w:div>
        <w:div w:id="397363845">
          <w:marLeft w:val="0"/>
          <w:marRight w:val="0"/>
          <w:marTop w:val="0"/>
          <w:marBottom w:val="0"/>
          <w:divBdr>
            <w:top w:val="none" w:sz="0" w:space="0" w:color="auto"/>
            <w:left w:val="none" w:sz="0" w:space="0" w:color="auto"/>
            <w:bottom w:val="none" w:sz="0" w:space="0" w:color="auto"/>
            <w:right w:val="none" w:sz="0" w:space="0" w:color="auto"/>
          </w:divBdr>
        </w:div>
        <w:div w:id="1992100348">
          <w:marLeft w:val="0"/>
          <w:marRight w:val="0"/>
          <w:marTop w:val="0"/>
          <w:marBottom w:val="0"/>
          <w:divBdr>
            <w:top w:val="none" w:sz="0" w:space="0" w:color="auto"/>
            <w:left w:val="none" w:sz="0" w:space="0" w:color="auto"/>
            <w:bottom w:val="none" w:sz="0" w:space="0" w:color="auto"/>
            <w:right w:val="none" w:sz="0" w:space="0" w:color="auto"/>
          </w:divBdr>
        </w:div>
        <w:div w:id="638263236">
          <w:marLeft w:val="0"/>
          <w:marRight w:val="0"/>
          <w:marTop w:val="0"/>
          <w:marBottom w:val="0"/>
          <w:divBdr>
            <w:top w:val="none" w:sz="0" w:space="0" w:color="auto"/>
            <w:left w:val="none" w:sz="0" w:space="0" w:color="auto"/>
            <w:bottom w:val="none" w:sz="0" w:space="0" w:color="auto"/>
            <w:right w:val="none" w:sz="0" w:space="0" w:color="auto"/>
          </w:divBdr>
        </w:div>
        <w:div w:id="794446715">
          <w:marLeft w:val="0"/>
          <w:marRight w:val="0"/>
          <w:marTop w:val="0"/>
          <w:marBottom w:val="0"/>
          <w:divBdr>
            <w:top w:val="none" w:sz="0" w:space="0" w:color="auto"/>
            <w:left w:val="none" w:sz="0" w:space="0" w:color="auto"/>
            <w:bottom w:val="none" w:sz="0" w:space="0" w:color="auto"/>
            <w:right w:val="none" w:sz="0" w:space="0" w:color="auto"/>
          </w:divBdr>
        </w:div>
        <w:div w:id="1569415054">
          <w:marLeft w:val="0"/>
          <w:marRight w:val="0"/>
          <w:marTop w:val="0"/>
          <w:marBottom w:val="0"/>
          <w:divBdr>
            <w:top w:val="none" w:sz="0" w:space="0" w:color="auto"/>
            <w:left w:val="none" w:sz="0" w:space="0" w:color="auto"/>
            <w:bottom w:val="none" w:sz="0" w:space="0" w:color="auto"/>
            <w:right w:val="none" w:sz="0" w:space="0" w:color="auto"/>
          </w:divBdr>
        </w:div>
        <w:div w:id="1791701676">
          <w:marLeft w:val="0"/>
          <w:marRight w:val="0"/>
          <w:marTop w:val="0"/>
          <w:marBottom w:val="0"/>
          <w:divBdr>
            <w:top w:val="none" w:sz="0" w:space="0" w:color="auto"/>
            <w:left w:val="none" w:sz="0" w:space="0" w:color="auto"/>
            <w:bottom w:val="none" w:sz="0" w:space="0" w:color="auto"/>
            <w:right w:val="none" w:sz="0" w:space="0" w:color="auto"/>
          </w:divBdr>
        </w:div>
        <w:div w:id="2045010111">
          <w:marLeft w:val="0"/>
          <w:marRight w:val="0"/>
          <w:marTop w:val="0"/>
          <w:marBottom w:val="0"/>
          <w:divBdr>
            <w:top w:val="none" w:sz="0" w:space="0" w:color="auto"/>
            <w:left w:val="none" w:sz="0" w:space="0" w:color="auto"/>
            <w:bottom w:val="none" w:sz="0" w:space="0" w:color="auto"/>
            <w:right w:val="none" w:sz="0" w:space="0" w:color="auto"/>
          </w:divBdr>
        </w:div>
        <w:div w:id="430735134">
          <w:marLeft w:val="0"/>
          <w:marRight w:val="0"/>
          <w:marTop w:val="0"/>
          <w:marBottom w:val="0"/>
          <w:divBdr>
            <w:top w:val="none" w:sz="0" w:space="0" w:color="auto"/>
            <w:left w:val="none" w:sz="0" w:space="0" w:color="auto"/>
            <w:bottom w:val="none" w:sz="0" w:space="0" w:color="auto"/>
            <w:right w:val="none" w:sz="0" w:space="0" w:color="auto"/>
          </w:divBdr>
        </w:div>
        <w:div w:id="1036615035">
          <w:marLeft w:val="0"/>
          <w:marRight w:val="0"/>
          <w:marTop w:val="0"/>
          <w:marBottom w:val="0"/>
          <w:divBdr>
            <w:top w:val="none" w:sz="0" w:space="0" w:color="auto"/>
            <w:left w:val="none" w:sz="0" w:space="0" w:color="auto"/>
            <w:bottom w:val="none" w:sz="0" w:space="0" w:color="auto"/>
            <w:right w:val="none" w:sz="0" w:space="0" w:color="auto"/>
          </w:divBdr>
        </w:div>
        <w:div w:id="2125611592">
          <w:marLeft w:val="0"/>
          <w:marRight w:val="0"/>
          <w:marTop w:val="0"/>
          <w:marBottom w:val="0"/>
          <w:divBdr>
            <w:top w:val="none" w:sz="0" w:space="0" w:color="auto"/>
            <w:left w:val="none" w:sz="0" w:space="0" w:color="auto"/>
            <w:bottom w:val="none" w:sz="0" w:space="0" w:color="auto"/>
            <w:right w:val="none" w:sz="0" w:space="0" w:color="auto"/>
          </w:divBdr>
        </w:div>
        <w:div w:id="1356077057">
          <w:marLeft w:val="0"/>
          <w:marRight w:val="0"/>
          <w:marTop w:val="0"/>
          <w:marBottom w:val="0"/>
          <w:divBdr>
            <w:top w:val="none" w:sz="0" w:space="0" w:color="auto"/>
            <w:left w:val="none" w:sz="0" w:space="0" w:color="auto"/>
            <w:bottom w:val="none" w:sz="0" w:space="0" w:color="auto"/>
            <w:right w:val="none" w:sz="0" w:space="0" w:color="auto"/>
          </w:divBdr>
        </w:div>
        <w:div w:id="1525243741">
          <w:marLeft w:val="0"/>
          <w:marRight w:val="0"/>
          <w:marTop w:val="0"/>
          <w:marBottom w:val="0"/>
          <w:divBdr>
            <w:top w:val="none" w:sz="0" w:space="0" w:color="auto"/>
            <w:left w:val="none" w:sz="0" w:space="0" w:color="auto"/>
            <w:bottom w:val="none" w:sz="0" w:space="0" w:color="auto"/>
            <w:right w:val="none" w:sz="0" w:space="0" w:color="auto"/>
          </w:divBdr>
        </w:div>
        <w:div w:id="152068477">
          <w:marLeft w:val="0"/>
          <w:marRight w:val="0"/>
          <w:marTop w:val="0"/>
          <w:marBottom w:val="0"/>
          <w:divBdr>
            <w:top w:val="none" w:sz="0" w:space="0" w:color="auto"/>
            <w:left w:val="none" w:sz="0" w:space="0" w:color="auto"/>
            <w:bottom w:val="none" w:sz="0" w:space="0" w:color="auto"/>
            <w:right w:val="none" w:sz="0" w:space="0" w:color="auto"/>
          </w:divBdr>
        </w:div>
        <w:div w:id="349838077">
          <w:marLeft w:val="0"/>
          <w:marRight w:val="0"/>
          <w:marTop w:val="0"/>
          <w:marBottom w:val="0"/>
          <w:divBdr>
            <w:top w:val="none" w:sz="0" w:space="0" w:color="auto"/>
            <w:left w:val="none" w:sz="0" w:space="0" w:color="auto"/>
            <w:bottom w:val="none" w:sz="0" w:space="0" w:color="auto"/>
            <w:right w:val="none" w:sz="0" w:space="0" w:color="auto"/>
          </w:divBdr>
        </w:div>
        <w:div w:id="1773937823">
          <w:marLeft w:val="0"/>
          <w:marRight w:val="0"/>
          <w:marTop w:val="0"/>
          <w:marBottom w:val="0"/>
          <w:divBdr>
            <w:top w:val="none" w:sz="0" w:space="0" w:color="auto"/>
            <w:left w:val="none" w:sz="0" w:space="0" w:color="auto"/>
            <w:bottom w:val="none" w:sz="0" w:space="0" w:color="auto"/>
            <w:right w:val="none" w:sz="0" w:space="0" w:color="auto"/>
          </w:divBdr>
        </w:div>
        <w:div w:id="1744915648">
          <w:marLeft w:val="0"/>
          <w:marRight w:val="0"/>
          <w:marTop w:val="0"/>
          <w:marBottom w:val="0"/>
          <w:divBdr>
            <w:top w:val="none" w:sz="0" w:space="0" w:color="auto"/>
            <w:left w:val="none" w:sz="0" w:space="0" w:color="auto"/>
            <w:bottom w:val="none" w:sz="0" w:space="0" w:color="auto"/>
            <w:right w:val="none" w:sz="0" w:space="0" w:color="auto"/>
          </w:divBdr>
        </w:div>
        <w:div w:id="1990284623">
          <w:marLeft w:val="0"/>
          <w:marRight w:val="0"/>
          <w:marTop w:val="0"/>
          <w:marBottom w:val="0"/>
          <w:divBdr>
            <w:top w:val="none" w:sz="0" w:space="0" w:color="auto"/>
            <w:left w:val="none" w:sz="0" w:space="0" w:color="auto"/>
            <w:bottom w:val="none" w:sz="0" w:space="0" w:color="auto"/>
            <w:right w:val="none" w:sz="0" w:space="0" w:color="auto"/>
          </w:divBdr>
        </w:div>
        <w:div w:id="1707680208">
          <w:marLeft w:val="0"/>
          <w:marRight w:val="0"/>
          <w:marTop w:val="0"/>
          <w:marBottom w:val="0"/>
          <w:divBdr>
            <w:top w:val="none" w:sz="0" w:space="0" w:color="auto"/>
            <w:left w:val="none" w:sz="0" w:space="0" w:color="auto"/>
            <w:bottom w:val="none" w:sz="0" w:space="0" w:color="auto"/>
            <w:right w:val="none" w:sz="0" w:space="0" w:color="auto"/>
          </w:divBdr>
        </w:div>
        <w:div w:id="892889133">
          <w:marLeft w:val="0"/>
          <w:marRight w:val="0"/>
          <w:marTop w:val="0"/>
          <w:marBottom w:val="0"/>
          <w:divBdr>
            <w:top w:val="none" w:sz="0" w:space="0" w:color="auto"/>
            <w:left w:val="none" w:sz="0" w:space="0" w:color="auto"/>
            <w:bottom w:val="none" w:sz="0" w:space="0" w:color="auto"/>
            <w:right w:val="none" w:sz="0" w:space="0" w:color="auto"/>
          </w:divBdr>
        </w:div>
        <w:div w:id="634869607">
          <w:marLeft w:val="0"/>
          <w:marRight w:val="0"/>
          <w:marTop w:val="0"/>
          <w:marBottom w:val="0"/>
          <w:divBdr>
            <w:top w:val="none" w:sz="0" w:space="0" w:color="auto"/>
            <w:left w:val="none" w:sz="0" w:space="0" w:color="auto"/>
            <w:bottom w:val="none" w:sz="0" w:space="0" w:color="auto"/>
            <w:right w:val="none" w:sz="0" w:space="0" w:color="auto"/>
          </w:divBdr>
        </w:div>
        <w:div w:id="654531885">
          <w:marLeft w:val="0"/>
          <w:marRight w:val="0"/>
          <w:marTop w:val="0"/>
          <w:marBottom w:val="0"/>
          <w:divBdr>
            <w:top w:val="none" w:sz="0" w:space="0" w:color="auto"/>
            <w:left w:val="none" w:sz="0" w:space="0" w:color="auto"/>
            <w:bottom w:val="none" w:sz="0" w:space="0" w:color="auto"/>
            <w:right w:val="none" w:sz="0" w:space="0" w:color="auto"/>
          </w:divBdr>
        </w:div>
        <w:div w:id="1042635228">
          <w:marLeft w:val="0"/>
          <w:marRight w:val="0"/>
          <w:marTop w:val="0"/>
          <w:marBottom w:val="0"/>
          <w:divBdr>
            <w:top w:val="none" w:sz="0" w:space="0" w:color="auto"/>
            <w:left w:val="none" w:sz="0" w:space="0" w:color="auto"/>
            <w:bottom w:val="none" w:sz="0" w:space="0" w:color="auto"/>
            <w:right w:val="none" w:sz="0" w:space="0" w:color="auto"/>
          </w:divBdr>
        </w:div>
        <w:div w:id="1793866216">
          <w:marLeft w:val="0"/>
          <w:marRight w:val="0"/>
          <w:marTop w:val="0"/>
          <w:marBottom w:val="0"/>
          <w:divBdr>
            <w:top w:val="none" w:sz="0" w:space="0" w:color="auto"/>
            <w:left w:val="none" w:sz="0" w:space="0" w:color="auto"/>
            <w:bottom w:val="none" w:sz="0" w:space="0" w:color="auto"/>
            <w:right w:val="none" w:sz="0" w:space="0" w:color="auto"/>
          </w:divBdr>
        </w:div>
        <w:div w:id="113641411">
          <w:marLeft w:val="0"/>
          <w:marRight w:val="0"/>
          <w:marTop w:val="0"/>
          <w:marBottom w:val="0"/>
          <w:divBdr>
            <w:top w:val="none" w:sz="0" w:space="0" w:color="auto"/>
            <w:left w:val="none" w:sz="0" w:space="0" w:color="auto"/>
            <w:bottom w:val="none" w:sz="0" w:space="0" w:color="auto"/>
            <w:right w:val="none" w:sz="0" w:space="0" w:color="auto"/>
          </w:divBdr>
        </w:div>
        <w:div w:id="1236477717">
          <w:marLeft w:val="0"/>
          <w:marRight w:val="0"/>
          <w:marTop w:val="0"/>
          <w:marBottom w:val="0"/>
          <w:divBdr>
            <w:top w:val="none" w:sz="0" w:space="0" w:color="auto"/>
            <w:left w:val="none" w:sz="0" w:space="0" w:color="auto"/>
            <w:bottom w:val="none" w:sz="0" w:space="0" w:color="auto"/>
            <w:right w:val="none" w:sz="0" w:space="0" w:color="auto"/>
          </w:divBdr>
        </w:div>
        <w:div w:id="1998142810">
          <w:marLeft w:val="0"/>
          <w:marRight w:val="0"/>
          <w:marTop w:val="0"/>
          <w:marBottom w:val="0"/>
          <w:divBdr>
            <w:top w:val="none" w:sz="0" w:space="0" w:color="auto"/>
            <w:left w:val="none" w:sz="0" w:space="0" w:color="auto"/>
            <w:bottom w:val="none" w:sz="0" w:space="0" w:color="auto"/>
            <w:right w:val="none" w:sz="0" w:space="0" w:color="auto"/>
          </w:divBdr>
        </w:div>
        <w:div w:id="1066337947">
          <w:marLeft w:val="0"/>
          <w:marRight w:val="0"/>
          <w:marTop w:val="0"/>
          <w:marBottom w:val="0"/>
          <w:divBdr>
            <w:top w:val="none" w:sz="0" w:space="0" w:color="auto"/>
            <w:left w:val="none" w:sz="0" w:space="0" w:color="auto"/>
            <w:bottom w:val="none" w:sz="0" w:space="0" w:color="auto"/>
            <w:right w:val="none" w:sz="0" w:space="0" w:color="auto"/>
          </w:divBdr>
        </w:div>
        <w:div w:id="1636520730">
          <w:marLeft w:val="0"/>
          <w:marRight w:val="0"/>
          <w:marTop w:val="0"/>
          <w:marBottom w:val="0"/>
          <w:divBdr>
            <w:top w:val="none" w:sz="0" w:space="0" w:color="auto"/>
            <w:left w:val="none" w:sz="0" w:space="0" w:color="auto"/>
            <w:bottom w:val="none" w:sz="0" w:space="0" w:color="auto"/>
            <w:right w:val="none" w:sz="0" w:space="0" w:color="auto"/>
          </w:divBdr>
        </w:div>
        <w:div w:id="1029188330">
          <w:marLeft w:val="0"/>
          <w:marRight w:val="0"/>
          <w:marTop w:val="0"/>
          <w:marBottom w:val="0"/>
          <w:divBdr>
            <w:top w:val="none" w:sz="0" w:space="0" w:color="auto"/>
            <w:left w:val="none" w:sz="0" w:space="0" w:color="auto"/>
            <w:bottom w:val="none" w:sz="0" w:space="0" w:color="auto"/>
            <w:right w:val="none" w:sz="0" w:space="0" w:color="auto"/>
          </w:divBdr>
        </w:div>
        <w:div w:id="1943798480">
          <w:marLeft w:val="0"/>
          <w:marRight w:val="0"/>
          <w:marTop w:val="0"/>
          <w:marBottom w:val="0"/>
          <w:divBdr>
            <w:top w:val="none" w:sz="0" w:space="0" w:color="auto"/>
            <w:left w:val="none" w:sz="0" w:space="0" w:color="auto"/>
            <w:bottom w:val="none" w:sz="0" w:space="0" w:color="auto"/>
            <w:right w:val="none" w:sz="0" w:space="0" w:color="auto"/>
          </w:divBdr>
        </w:div>
        <w:div w:id="2107801174">
          <w:marLeft w:val="0"/>
          <w:marRight w:val="0"/>
          <w:marTop w:val="0"/>
          <w:marBottom w:val="0"/>
          <w:divBdr>
            <w:top w:val="none" w:sz="0" w:space="0" w:color="auto"/>
            <w:left w:val="none" w:sz="0" w:space="0" w:color="auto"/>
            <w:bottom w:val="none" w:sz="0" w:space="0" w:color="auto"/>
            <w:right w:val="none" w:sz="0" w:space="0" w:color="auto"/>
          </w:divBdr>
        </w:div>
        <w:div w:id="1295865030">
          <w:marLeft w:val="0"/>
          <w:marRight w:val="0"/>
          <w:marTop w:val="0"/>
          <w:marBottom w:val="0"/>
          <w:divBdr>
            <w:top w:val="none" w:sz="0" w:space="0" w:color="auto"/>
            <w:left w:val="none" w:sz="0" w:space="0" w:color="auto"/>
            <w:bottom w:val="none" w:sz="0" w:space="0" w:color="auto"/>
            <w:right w:val="none" w:sz="0" w:space="0" w:color="auto"/>
          </w:divBdr>
        </w:div>
        <w:div w:id="1450205149">
          <w:marLeft w:val="0"/>
          <w:marRight w:val="0"/>
          <w:marTop w:val="0"/>
          <w:marBottom w:val="0"/>
          <w:divBdr>
            <w:top w:val="none" w:sz="0" w:space="0" w:color="auto"/>
            <w:left w:val="none" w:sz="0" w:space="0" w:color="auto"/>
            <w:bottom w:val="none" w:sz="0" w:space="0" w:color="auto"/>
            <w:right w:val="none" w:sz="0" w:space="0" w:color="auto"/>
          </w:divBdr>
        </w:div>
        <w:div w:id="1075665034">
          <w:marLeft w:val="0"/>
          <w:marRight w:val="0"/>
          <w:marTop w:val="0"/>
          <w:marBottom w:val="0"/>
          <w:divBdr>
            <w:top w:val="none" w:sz="0" w:space="0" w:color="auto"/>
            <w:left w:val="none" w:sz="0" w:space="0" w:color="auto"/>
            <w:bottom w:val="none" w:sz="0" w:space="0" w:color="auto"/>
            <w:right w:val="none" w:sz="0" w:space="0" w:color="auto"/>
          </w:divBdr>
        </w:div>
        <w:div w:id="1278827681">
          <w:marLeft w:val="0"/>
          <w:marRight w:val="0"/>
          <w:marTop w:val="0"/>
          <w:marBottom w:val="0"/>
          <w:divBdr>
            <w:top w:val="none" w:sz="0" w:space="0" w:color="auto"/>
            <w:left w:val="none" w:sz="0" w:space="0" w:color="auto"/>
            <w:bottom w:val="none" w:sz="0" w:space="0" w:color="auto"/>
            <w:right w:val="none" w:sz="0" w:space="0" w:color="auto"/>
          </w:divBdr>
        </w:div>
        <w:div w:id="577178051">
          <w:marLeft w:val="0"/>
          <w:marRight w:val="0"/>
          <w:marTop w:val="0"/>
          <w:marBottom w:val="0"/>
          <w:divBdr>
            <w:top w:val="none" w:sz="0" w:space="0" w:color="auto"/>
            <w:left w:val="none" w:sz="0" w:space="0" w:color="auto"/>
            <w:bottom w:val="none" w:sz="0" w:space="0" w:color="auto"/>
            <w:right w:val="none" w:sz="0" w:space="0" w:color="auto"/>
          </w:divBdr>
        </w:div>
        <w:div w:id="91898896">
          <w:marLeft w:val="0"/>
          <w:marRight w:val="0"/>
          <w:marTop w:val="0"/>
          <w:marBottom w:val="0"/>
          <w:divBdr>
            <w:top w:val="none" w:sz="0" w:space="0" w:color="auto"/>
            <w:left w:val="none" w:sz="0" w:space="0" w:color="auto"/>
            <w:bottom w:val="none" w:sz="0" w:space="0" w:color="auto"/>
            <w:right w:val="none" w:sz="0" w:space="0" w:color="auto"/>
          </w:divBdr>
        </w:div>
        <w:div w:id="712266414">
          <w:marLeft w:val="0"/>
          <w:marRight w:val="0"/>
          <w:marTop w:val="0"/>
          <w:marBottom w:val="0"/>
          <w:divBdr>
            <w:top w:val="none" w:sz="0" w:space="0" w:color="auto"/>
            <w:left w:val="none" w:sz="0" w:space="0" w:color="auto"/>
            <w:bottom w:val="none" w:sz="0" w:space="0" w:color="auto"/>
            <w:right w:val="none" w:sz="0" w:space="0" w:color="auto"/>
          </w:divBdr>
        </w:div>
        <w:div w:id="1945917446">
          <w:marLeft w:val="0"/>
          <w:marRight w:val="0"/>
          <w:marTop w:val="0"/>
          <w:marBottom w:val="0"/>
          <w:divBdr>
            <w:top w:val="none" w:sz="0" w:space="0" w:color="auto"/>
            <w:left w:val="none" w:sz="0" w:space="0" w:color="auto"/>
            <w:bottom w:val="none" w:sz="0" w:space="0" w:color="auto"/>
            <w:right w:val="none" w:sz="0" w:space="0" w:color="auto"/>
          </w:divBdr>
        </w:div>
        <w:div w:id="165748997">
          <w:marLeft w:val="0"/>
          <w:marRight w:val="0"/>
          <w:marTop w:val="0"/>
          <w:marBottom w:val="0"/>
          <w:divBdr>
            <w:top w:val="none" w:sz="0" w:space="0" w:color="auto"/>
            <w:left w:val="none" w:sz="0" w:space="0" w:color="auto"/>
            <w:bottom w:val="none" w:sz="0" w:space="0" w:color="auto"/>
            <w:right w:val="none" w:sz="0" w:space="0" w:color="auto"/>
          </w:divBdr>
        </w:div>
        <w:div w:id="1316834900">
          <w:marLeft w:val="0"/>
          <w:marRight w:val="0"/>
          <w:marTop w:val="0"/>
          <w:marBottom w:val="0"/>
          <w:divBdr>
            <w:top w:val="none" w:sz="0" w:space="0" w:color="auto"/>
            <w:left w:val="none" w:sz="0" w:space="0" w:color="auto"/>
            <w:bottom w:val="none" w:sz="0" w:space="0" w:color="auto"/>
            <w:right w:val="none" w:sz="0" w:space="0" w:color="auto"/>
          </w:divBdr>
        </w:div>
        <w:div w:id="2083797417">
          <w:marLeft w:val="0"/>
          <w:marRight w:val="0"/>
          <w:marTop w:val="0"/>
          <w:marBottom w:val="0"/>
          <w:divBdr>
            <w:top w:val="none" w:sz="0" w:space="0" w:color="auto"/>
            <w:left w:val="none" w:sz="0" w:space="0" w:color="auto"/>
            <w:bottom w:val="none" w:sz="0" w:space="0" w:color="auto"/>
            <w:right w:val="none" w:sz="0" w:space="0" w:color="auto"/>
          </w:divBdr>
        </w:div>
        <w:div w:id="309292271">
          <w:marLeft w:val="0"/>
          <w:marRight w:val="0"/>
          <w:marTop w:val="0"/>
          <w:marBottom w:val="0"/>
          <w:divBdr>
            <w:top w:val="none" w:sz="0" w:space="0" w:color="auto"/>
            <w:left w:val="none" w:sz="0" w:space="0" w:color="auto"/>
            <w:bottom w:val="none" w:sz="0" w:space="0" w:color="auto"/>
            <w:right w:val="none" w:sz="0" w:space="0" w:color="auto"/>
          </w:divBdr>
        </w:div>
        <w:div w:id="1076124422">
          <w:marLeft w:val="0"/>
          <w:marRight w:val="0"/>
          <w:marTop w:val="0"/>
          <w:marBottom w:val="0"/>
          <w:divBdr>
            <w:top w:val="none" w:sz="0" w:space="0" w:color="auto"/>
            <w:left w:val="none" w:sz="0" w:space="0" w:color="auto"/>
            <w:bottom w:val="none" w:sz="0" w:space="0" w:color="auto"/>
            <w:right w:val="none" w:sz="0" w:space="0" w:color="auto"/>
          </w:divBdr>
        </w:div>
        <w:div w:id="446199683">
          <w:marLeft w:val="0"/>
          <w:marRight w:val="0"/>
          <w:marTop w:val="0"/>
          <w:marBottom w:val="0"/>
          <w:divBdr>
            <w:top w:val="none" w:sz="0" w:space="0" w:color="auto"/>
            <w:left w:val="none" w:sz="0" w:space="0" w:color="auto"/>
            <w:bottom w:val="none" w:sz="0" w:space="0" w:color="auto"/>
            <w:right w:val="none" w:sz="0" w:space="0" w:color="auto"/>
          </w:divBdr>
        </w:div>
        <w:div w:id="398207878">
          <w:marLeft w:val="0"/>
          <w:marRight w:val="0"/>
          <w:marTop w:val="0"/>
          <w:marBottom w:val="0"/>
          <w:divBdr>
            <w:top w:val="none" w:sz="0" w:space="0" w:color="auto"/>
            <w:left w:val="none" w:sz="0" w:space="0" w:color="auto"/>
            <w:bottom w:val="none" w:sz="0" w:space="0" w:color="auto"/>
            <w:right w:val="none" w:sz="0" w:space="0" w:color="auto"/>
          </w:divBdr>
        </w:div>
        <w:div w:id="1351446396">
          <w:marLeft w:val="0"/>
          <w:marRight w:val="0"/>
          <w:marTop w:val="0"/>
          <w:marBottom w:val="0"/>
          <w:divBdr>
            <w:top w:val="none" w:sz="0" w:space="0" w:color="auto"/>
            <w:left w:val="none" w:sz="0" w:space="0" w:color="auto"/>
            <w:bottom w:val="none" w:sz="0" w:space="0" w:color="auto"/>
            <w:right w:val="none" w:sz="0" w:space="0" w:color="auto"/>
          </w:divBdr>
        </w:div>
        <w:div w:id="109788574">
          <w:marLeft w:val="0"/>
          <w:marRight w:val="0"/>
          <w:marTop w:val="0"/>
          <w:marBottom w:val="0"/>
          <w:divBdr>
            <w:top w:val="none" w:sz="0" w:space="0" w:color="auto"/>
            <w:left w:val="none" w:sz="0" w:space="0" w:color="auto"/>
            <w:bottom w:val="none" w:sz="0" w:space="0" w:color="auto"/>
            <w:right w:val="none" w:sz="0" w:space="0" w:color="auto"/>
          </w:divBdr>
        </w:div>
        <w:div w:id="1882132377">
          <w:marLeft w:val="0"/>
          <w:marRight w:val="0"/>
          <w:marTop w:val="0"/>
          <w:marBottom w:val="0"/>
          <w:divBdr>
            <w:top w:val="none" w:sz="0" w:space="0" w:color="auto"/>
            <w:left w:val="none" w:sz="0" w:space="0" w:color="auto"/>
            <w:bottom w:val="none" w:sz="0" w:space="0" w:color="auto"/>
            <w:right w:val="none" w:sz="0" w:space="0" w:color="auto"/>
          </w:divBdr>
        </w:div>
        <w:div w:id="1510833002">
          <w:marLeft w:val="0"/>
          <w:marRight w:val="0"/>
          <w:marTop w:val="0"/>
          <w:marBottom w:val="0"/>
          <w:divBdr>
            <w:top w:val="none" w:sz="0" w:space="0" w:color="auto"/>
            <w:left w:val="none" w:sz="0" w:space="0" w:color="auto"/>
            <w:bottom w:val="none" w:sz="0" w:space="0" w:color="auto"/>
            <w:right w:val="none" w:sz="0" w:space="0" w:color="auto"/>
          </w:divBdr>
        </w:div>
        <w:div w:id="1269655340">
          <w:marLeft w:val="0"/>
          <w:marRight w:val="0"/>
          <w:marTop w:val="0"/>
          <w:marBottom w:val="0"/>
          <w:divBdr>
            <w:top w:val="none" w:sz="0" w:space="0" w:color="auto"/>
            <w:left w:val="none" w:sz="0" w:space="0" w:color="auto"/>
            <w:bottom w:val="none" w:sz="0" w:space="0" w:color="auto"/>
            <w:right w:val="none" w:sz="0" w:space="0" w:color="auto"/>
          </w:divBdr>
        </w:div>
        <w:div w:id="589123443">
          <w:marLeft w:val="0"/>
          <w:marRight w:val="0"/>
          <w:marTop w:val="0"/>
          <w:marBottom w:val="0"/>
          <w:divBdr>
            <w:top w:val="none" w:sz="0" w:space="0" w:color="auto"/>
            <w:left w:val="none" w:sz="0" w:space="0" w:color="auto"/>
            <w:bottom w:val="none" w:sz="0" w:space="0" w:color="auto"/>
            <w:right w:val="none" w:sz="0" w:space="0" w:color="auto"/>
          </w:divBdr>
        </w:div>
        <w:div w:id="509416983">
          <w:marLeft w:val="0"/>
          <w:marRight w:val="0"/>
          <w:marTop w:val="0"/>
          <w:marBottom w:val="0"/>
          <w:divBdr>
            <w:top w:val="none" w:sz="0" w:space="0" w:color="auto"/>
            <w:left w:val="none" w:sz="0" w:space="0" w:color="auto"/>
            <w:bottom w:val="none" w:sz="0" w:space="0" w:color="auto"/>
            <w:right w:val="none" w:sz="0" w:space="0" w:color="auto"/>
          </w:divBdr>
        </w:div>
        <w:div w:id="2019850316">
          <w:marLeft w:val="0"/>
          <w:marRight w:val="0"/>
          <w:marTop w:val="0"/>
          <w:marBottom w:val="0"/>
          <w:divBdr>
            <w:top w:val="none" w:sz="0" w:space="0" w:color="auto"/>
            <w:left w:val="none" w:sz="0" w:space="0" w:color="auto"/>
            <w:bottom w:val="none" w:sz="0" w:space="0" w:color="auto"/>
            <w:right w:val="none" w:sz="0" w:space="0" w:color="auto"/>
          </w:divBdr>
        </w:div>
        <w:div w:id="606932486">
          <w:marLeft w:val="0"/>
          <w:marRight w:val="0"/>
          <w:marTop w:val="0"/>
          <w:marBottom w:val="0"/>
          <w:divBdr>
            <w:top w:val="none" w:sz="0" w:space="0" w:color="auto"/>
            <w:left w:val="none" w:sz="0" w:space="0" w:color="auto"/>
            <w:bottom w:val="none" w:sz="0" w:space="0" w:color="auto"/>
            <w:right w:val="none" w:sz="0" w:space="0" w:color="auto"/>
          </w:divBdr>
        </w:div>
        <w:div w:id="197667405">
          <w:marLeft w:val="0"/>
          <w:marRight w:val="0"/>
          <w:marTop w:val="0"/>
          <w:marBottom w:val="0"/>
          <w:divBdr>
            <w:top w:val="none" w:sz="0" w:space="0" w:color="auto"/>
            <w:left w:val="none" w:sz="0" w:space="0" w:color="auto"/>
            <w:bottom w:val="none" w:sz="0" w:space="0" w:color="auto"/>
            <w:right w:val="none" w:sz="0" w:space="0" w:color="auto"/>
          </w:divBdr>
        </w:div>
        <w:div w:id="1772582402">
          <w:marLeft w:val="0"/>
          <w:marRight w:val="0"/>
          <w:marTop w:val="0"/>
          <w:marBottom w:val="0"/>
          <w:divBdr>
            <w:top w:val="none" w:sz="0" w:space="0" w:color="auto"/>
            <w:left w:val="none" w:sz="0" w:space="0" w:color="auto"/>
            <w:bottom w:val="none" w:sz="0" w:space="0" w:color="auto"/>
            <w:right w:val="none" w:sz="0" w:space="0" w:color="auto"/>
          </w:divBdr>
        </w:div>
        <w:div w:id="1341465098">
          <w:marLeft w:val="0"/>
          <w:marRight w:val="0"/>
          <w:marTop w:val="0"/>
          <w:marBottom w:val="0"/>
          <w:divBdr>
            <w:top w:val="none" w:sz="0" w:space="0" w:color="auto"/>
            <w:left w:val="none" w:sz="0" w:space="0" w:color="auto"/>
            <w:bottom w:val="none" w:sz="0" w:space="0" w:color="auto"/>
            <w:right w:val="none" w:sz="0" w:space="0" w:color="auto"/>
          </w:divBdr>
        </w:div>
        <w:div w:id="1629429303">
          <w:marLeft w:val="0"/>
          <w:marRight w:val="0"/>
          <w:marTop w:val="0"/>
          <w:marBottom w:val="0"/>
          <w:divBdr>
            <w:top w:val="none" w:sz="0" w:space="0" w:color="auto"/>
            <w:left w:val="none" w:sz="0" w:space="0" w:color="auto"/>
            <w:bottom w:val="none" w:sz="0" w:space="0" w:color="auto"/>
            <w:right w:val="none" w:sz="0" w:space="0" w:color="auto"/>
          </w:divBdr>
        </w:div>
        <w:div w:id="923685418">
          <w:marLeft w:val="0"/>
          <w:marRight w:val="0"/>
          <w:marTop w:val="0"/>
          <w:marBottom w:val="0"/>
          <w:divBdr>
            <w:top w:val="none" w:sz="0" w:space="0" w:color="auto"/>
            <w:left w:val="none" w:sz="0" w:space="0" w:color="auto"/>
            <w:bottom w:val="none" w:sz="0" w:space="0" w:color="auto"/>
            <w:right w:val="none" w:sz="0" w:space="0" w:color="auto"/>
          </w:divBdr>
        </w:div>
        <w:div w:id="903374142">
          <w:marLeft w:val="0"/>
          <w:marRight w:val="0"/>
          <w:marTop w:val="0"/>
          <w:marBottom w:val="0"/>
          <w:divBdr>
            <w:top w:val="none" w:sz="0" w:space="0" w:color="auto"/>
            <w:left w:val="none" w:sz="0" w:space="0" w:color="auto"/>
            <w:bottom w:val="none" w:sz="0" w:space="0" w:color="auto"/>
            <w:right w:val="none" w:sz="0" w:space="0" w:color="auto"/>
          </w:divBdr>
        </w:div>
        <w:div w:id="591351724">
          <w:marLeft w:val="0"/>
          <w:marRight w:val="0"/>
          <w:marTop w:val="0"/>
          <w:marBottom w:val="0"/>
          <w:divBdr>
            <w:top w:val="none" w:sz="0" w:space="0" w:color="auto"/>
            <w:left w:val="none" w:sz="0" w:space="0" w:color="auto"/>
            <w:bottom w:val="none" w:sz="0" w:space="0" w:color="auto"/>
            <w:right w:val="none" w:sz="0" w:space="0" w:color="auto"/>
          </w:divBdr>
        </w:div>
        <w:div w:id="367729645">
          <w:marLeft w:val="0"/>
          <w:marRight w:val="0"/>
          <w:marTop w:val="0"/>
          <w:marBottom w:val="0"/>
          <w:divBdr>
            <w:top w:val="none" w:sz="0" w:space="0" w:color="auto"/>
            <w:left w:val="none" w:sz="0" w:space="0" w:color="auto"/>
            <w:bottom w:val="none" w:sz="0" w:space="0" w:color="auto"/>
            <w:right w:val="none" w:sz="0" w:space="0" w:color="auto"/>
          </w:divBdr>
        </w:div>
        <w:div w:id="1631206620">
          <w:marLeft w:val="0"/>
          <w:marRight w:val="0"/>
          <w:marTop w:val="0"/>
          <w:marBottom w:val="0"/>
          <w:divBdr>
            <w:top w:val="none" w:sz="0" w:space="0" w:color="auto"/>
            <w:left w:val="none" w:sz="0" w:space="0" w:color="auto"/>
            <w:bottom w:val="none" w:sz="0" w:space="0" w:color="auto"/>
            <w:right w:val="none" w:sz="0" w:space="0" w:color="auto"/>
          </w:divBdr>
        </w:div>
        <w:div w:id="1273248536">
          <w:marLeft w:val="0"/>
          <w:marRight w:val="0"/>
          <w:marTop w:val="0"/>
          <w:marBottom w:val="0"/>
          <w:divBdr>
            <w:top w:val="none" w:sz="0" w:space="0" w:color="auto"/>
            <w:left w:val="none" w:sz="0" w:space="0" w:color="auto"/>
            <w:bottom w:val="none" w:sz="0" w:space="0" w:color="auto"/>
            <w:right w:val="none" w:sz="0" w:space="0" w:color="auto"/>
          </w:divBdr>
        </w:div>
        <w:div w:id="606353673">
          <w:marLeft w:val="0"/>
          <w:marRight w:val="0"/>
          <w:marTop w:val="0"/>
          <w:marBottom w:val="0"/>
          <w:divBdr>
            <w:top w:val="none" w:sz="0" w:space="0" w:color="auto"/>
            <w:left w:val="none" w:sz="0" w:space="0" w:color="auto"/>
            <w:bottom w:val="none" w:sz="0" w:space="0" w:color="auto"/>
            <w:right w:val="none" w:sz="0" w:space="0" w:color="auto"/>
          </w:divBdr>
        </w:div>
        <w:div w:id="856045344">
          <w:marLeft w:val="0"/>
          <w:marRight w:val="0"/>
          <w:marTop w:val="0"/>
          <w:marBottom w:val="0"/>
          <w:divBdr>
            <w:top w:val="none" w:sz="0" w:space="0" w:color="auto"/>
            <w:left w:val="none" w:sz="0" w:space="0" w:color="auto"/>
            <w:bottom w:val="none" w:sz="0" w:space="0" w:color="auto"/>
            <w:right w:val="none" w:sz="0" w:space="0" w:color="auto"/>
          </w:divBdr>
        </w:div>
        <w:div w:id="1642343006">
          <w:marLeft w:val="0"/>
          <w:marRight w:val="0"/>
          <w:marTop w:val="0"/>
          <w:marBottom w:val="0"/>
          <w:divBdr>
            <w:top w:val="none" w:sz="0" w:space="0" w:color="auto"/>
            <w:left w:val="none" w:sz="0" w:space="0" w:color="auto"/>
            <w:bottom w:val="none" w:sz="0" w:space="0" w:color="auto"/>
            <w:right w:val="none" w:sz="0" w:space="0" w:color="auto"/>
          </w:divBdr>
        </w:div>
        <w:div w:id="1631204028">
          <w:marLeft w:val="0"/>
          <w:marRight w:val="0"/>
          <w:marTop w:val="0"/>
          <w:marBottom w:val="0"/>
          <w:divBdr>
            <w:top w:val="none" w:sz="0" w:space="0" w:color="auto"/>
            <w:left w:val="none" w:sz="0" w:space="0" w:color="auto"/>
            <w:bottom w:val="none" w:sz="0" w:space="0" w:color="auto"/>
            <w:right w:val="none" w:sz="0" w:space="0" w:color="auto"/>
          </w:divBdr>
        </w:div>
        <w:div w:id="1528445219">
          <w:marLeft w:val="0"/>
          <w:marRight w:val="0"/>
          <w:marTop w:val="0"/>
          <w:marBottom w:val="0"/>
          <w:divBdr>
            <w:top w:val="none" w:sz="0" w:space="0" w:color="auto"/>
            <w:left w:val="none" w:sz="0" w:space="0" w:color="auto"/>
            <w:bottom w:val="none" w:sz="0" w:space="0" w:color="auto"/>
            <w:right w:val="none" w:sz="0" w:space="0" w:color="auto"/>
          </w:divBdr>
        </w:div>
        <w:div w:id="510073016">
          <w:marLeft w:val="0"/>
          <w:marRight w:val="0"/>
          <w:marTop w:val="0"/>
          <w:marBottom w:val="0"/>
          <w:divBdr>
            <w:top w:val="none" w:sz="0" w:space="0" w:color="auto"/>
            <w:left w:val="none" w:sz="0" w:space="0" w:color="auto"/>
            <w:bottom w:val="none" w:sz="0" w:space="0" w:color="auto"/>
            <w:right w:val="none" w:sz="0" w:space="0" w:color="auto"/>
          </w:divBdr>
        </w:div>
        <w:div w:id="1399128839">
          <w:marLeft w:val="0"/>
          <w:marRight w:val="0"/>
          <w:marTop w:val="0"/>
          <w:marBottom w:val="0"/>
          <w:divBdr>
            <w:top w:val="none" w:sz="0" w:space="0" w:color="auto"/>
            <w:left w:val="none" w:sz="0" w:space="0" w:color="auto"/>
            <w:bottom w:val="none" w:sz="0" w:space="0" w:color="auto"/>
            <w:right w:val="none" w:sz="0" w:space="0" w:color="auto"/>
          </w:divBdr>
        </w:div>
        <w:div w:id="528303218">
          <w:marLeft w:val="0"/>
          <w:marRight w:val="0"/>
          <w:marTop w:val="0"/>
          <w:marBottom w:val="0"/>
          <w:divBdr>
            <w:top w:val="none" w:sz="0" w:space="0" w:color="auto"/>
            <w:left w:val="none" w:sz="0" w:space="0" w:color="auto"/>
            <w:bottom w:val="none" w:sz="0" w:space="0" w:color="auto"/>
            <w:right w:val="none" w:sz="0" w:space="0" w:color="auto"/>
          </w:divBdr>
        </w:div>
        <w:div w:id="1785030989">
          <w:marLeft w:val="0"/>
          <w:marRight w:val="0"/>
          <w:marTop w:val="0"/>
          <w:marBottom w:val="0"/>
          <w:divBdr>
            <w:top w:val="none" w:sz="0" w:space="0" w:color="auto"/>
            <w:left w:val="none" w:sz="0" w:space="0" w:color="auto"/>
            <w:bottom w:val="none" w:sz="0" w:space="0" w:color="auto"/>
            <w:right w:val="none" w:sz="0" w:space="0" w:color="auto"/>
          </w:divBdr>
        </w:div>
        <w:div w:id="1520004989">
          <w:marLeft w:val="0"/>
          <w:marRight w:val="0"/>
          <w:marTop w:val="0"/>
          <w:marBottom w:val="0"/>
          <w:divBdr>
            <w:top w:val="none" w:sz="0" w:space="0" w:color="auto"/>
            <w:left w:val="none" w:sz="0" w:space="0" w:color="auto"/>
            <w:bottom w:val="none" w:sz="0" w:space="0" w:color="auto"/>
            <w:right w:val="none" w:sz="0" w:space="0" w:color="auto"/>
          </w:divBdr>
        </w:div>
        <w:div w:id="912275283">
          <w:marLeft w:val="0"/>
          <w:marRight w:val="0"/>
          <w:marTop w:val="0"/>
          <w:marBottom w:val="0"/>
          <w:divBdr>
            <w:top w:val="none" w:sz="0" w:space="0" w:color="auto"/>
            <w:left w:val="none" w:sz="0" w:space="0" w:color="auto"/>
            <w:bottom w:val="none" w:sz="0" w:space="0" w:color="auto"/>
            <w:right w:val="none" w:sz="0" w:space="0" w:color="auto"/>
          </w:divBdr>
        </w:div>
        <w:div w:id="1923292396">
          <w:marLeft w:val="0"/>
          <w:marRight w:val="0"/>
          <w:marTop w:val="0"/>
          <w:marBottom w:val="0"/>
          <w:divBdr>
            <w:top w:val="none" w:sz="0" w:space="0" w:color="auto"/>
            <w:left w:val="none" w:sz="0" w:space="0" w:color="auto"/>
            <w:bottom w:val="none" w:sz="0" w:space="0" w:color="auto"/>
            <w:right w:val="none" w:sz="0" w:space="0" w:color="auto"/>
          </w:divBdr>
        </w:div>
        <w:div w:id="346373688">
          <w:marLeft w:val="0"/>
          <w:marRight w:val="0"/>
          <w:marTop w:val="0"/>
          <w:marBottom w:val="0"/>
          <w:divBdr>
            <w:top w:val="none" w:sz="0" w:space="0" w:color="auto"/>
            <w:left w:val="none" w:sz="0" w:space="0" w:color="auto"/>
            <w:bottom w:val="none" w:sz="0" w:space="0" w:color="auto"/>
            <w:right w:val="none" w:sz="0" w:space="0" w:color="auto"/>
          </w:divBdr>
        </w:div>
        <w:div w:id="2077438682">
          <w:marLeft w:val="0"/>
          <w:marRight w:val="0"/>
          <w:marTop w:val="0"/>
          <w:marBottom w:val="0"/>
          <w:divBdr>
            <w:top w:val="none" w:sz="0" w:space="0" w:color="auto"/>
            <w:left w:val="none" w:sz="0" w:space="0" w:color="auto"/>
            <w:bottom w:val="none" w:sz="0" w:space="0" w:color="auto"/>
            <w:right w:val="none" w:sz="0" w:space="0" w:color="auto"/>
          </w:divBdr>
        </w:div>
        <w:div w:id="1699969782">
          <w:marLeft w:val="0"/>
          <w:marRight w:val="0"/>
          <w:marTop w:val="0"/>
          <w:marBottom w:val="0"/>
          <w:divBdr>
            <w:top w:val="none" w:sz="0" w:space="0" w:color="auto"/>
            <w:left w:val="none" w:sz="0" w:space="0" w:color="auto"/>
            <w:bottom w:val="none" w:sz="0" w:space="0" w:color="auto"/>
            <w:right w:val="none" w:sz="0" w:space="0" w:color="auto"/>
          </w:divBdr>
        </w:div>
        <w:div w:id="1359283519">
          <w:marLeft w:val="0"/>
          <w:marRight w:val="0"/>
          <w:marTop w:val="0"/>
          <w:marBottom w:val="0"/>
          <w:divBdr>
            <w:top w:val="none" w:sz="0" w:space="0" w:color="auto"/>
            <w:left w:val="none" w:sz="0" w:space="0" w:color="auto"/>
            <w:bottom w:val="none" w:sz="0" w:space="0" w:color="auto"/>
            <w:right w:val="none" w:sz="0" w:space="0" w:color="auto"/>
          </w:divBdr>
        </w:div>
        <w:div w:id="1024792813">
          <w:marLeft w:val="0"/>
          <w:marRight w:val="0"/>
          <w:marTop w:val="0"/>
          <w:marBottom w:val="0"/>
          <w:divBdr>
            <w:top w:val="none" w:sz="0" w:space="0" w:color="auto"/>
            <w:left w:val="none" w:sz="0" w:space="0" w:color="auto"/>
            <w:bottom w:val="none" w:sz="0" w:space="0" w:color="auto"/>
            <w:right w:val="none" w:sz="0" w:space="0" w:color="auto"/>
          </w:divBdr>
        </w:div>
        <w:div w:id="1046374814">
          <w:marLeft w:val="0"/>
          <w:marRight w:val="0"/>
          <w:marTop w:val="0"/>
          <w:marBottom w:val="0"/>
          <w:divBdr>
            <w:top w:val="none" w:sz="0" w:space="0" w:color="auto"/>
            <w:left w:val="none" w:sz="0" w:space="0" w:color="auto"/>
            <w:bottom w:val="none" w:sz="0" w:space="0" w:color="auto"/>
            <w:right w:val="none" w:sz="0" w:space="0" w:color="auto"/>
          </w:divBdr>
        </w:div>
        <w:div w:id="1954509391">
          <w:marLeft w:val="0"/>
          <w:marRight w:val="0"/>
          <w:marTop w:val="0"/>
          <w:marBottom w:val="0"/>
          <w:divBdr>
            <w:top w:val="none" w:sz="0" w:space="0" w:color="auto"/>
            <w:left w:val="none" w:sz="0" w:space="0" w:color="auto"/>
            <w:bottom w:val="none" w:sz="0" w:space="0" w:color="auto"/>
            <w:right w:val="none" w:sz="0" w:space="0" w:color="auto"/>
          </w:divBdr>
        </w:div>
        <w:div w:id="2087653761">
          <w:marLeft w:val="0"/>
          <w:marRight w:val="0"/>
          <w:marTop w:val="0"/>
          <w:marBottom w:val="0"/>
          <w:divBdr>
            <w:top w:val="none" w:sz="0" w:space="0" w:color="auto"/>
            <w:left w:val="none" w:sz="0" w:space="0" w:color="auto"/>
            <w:bottom w:val="none" w:sz="0" w:space="0" w:color="auto"/>
            <w:right w:val="none" w:sz="0" w:space="0" w:color="auto"/>
          </w:divBdr>
        </w:div>
        <w:div w:id="140932023">
          <w:marLeft w:val="0"/>
          <w:marRight w:val="0"/>
          <w:marTop w:val="0"/>
          <w:marBottom w:val="0"/>
          <w:divBdr>
            <w:top w:val="none" w:sz="0" w:space="0" w:color="auto"/>
            <w:left w:val="none" w:sz="0" w:space="0" w:color="auto"/>
            <w:bottom w:val="none" w:sz="0" w:space="0" w:color="auto"/>
            <w:right w:val="none" w:sz="0" w:space="0" w:color="auto"/>
          </w:divBdr>
        </w:div>
        <w:div w:id="1483690040">
          <w:marLeft w:val="0"/>
          <w:marRight w:val="0"/>
          <w:marTop w:val="0"/>
          <w:marBottom w:val="0"/>
          <w:divBdr>
            <w:top w:val="none" w:sz="0" w:space="0" w:color="auto"/>
            <w:left w:val="none" w:sz="0" w:space="0" w:color="auto"/>
            <w:bottom w:val="none" w:sz="0" w:space="0" w:color="auto"/>
            <w:right w:val="none" w:sz="0" w:space="0" w:color="auto"/>
          </w:divBdr>
        </w:div>
        <w:div w:id="423844892">
          <w:marLeft w:val="0"/>
          <w:marRight w:val="0"/>
          <w:marTop w:val="0"/>
          <w:marBottom w:val="0"/>
          <w:divBdr>
            <w:top w:val="none" w:sz="0" w:space="0" w:color="auto"/>
            <w:left w:val="none" w:sz="0" w:space="0" w:color="auto"/>
            <w:bottom w:val="none" w:sz="0" w:space="0" w:color="auto"/>
            <w:right w:val="none" w:sz="0" w:space="0" w:color="auto"/>
          </w:divBdr>
        </w:div>
        <w:div w:id="1350375258">
          <w:marLeft w:val="0"/>
          <w:marRight w:val="0"/>
          <w:marTop w:val="0"/>
          <w:marBottom w:val="0"/>
          <w:divBdr>
            <w:top w:val="none" w:sz="0" w:space="0" w:color="auto"/>
            <w:left w:val="none" w:sz="0" w:space="0" w:color="auto"/>
            <w:bottom w:val="none" w:sz="0" w:space="0" w:color="auto"/>
            <w:right w:val="none" w:sz="0" w:space="0" w:color="auto"/>
          </w:divBdr>
        </w:div>
        <w:div w:id="1609849559">
          <w:marLeft w:val="0"/>
          <w:marRight w:val="0"/>
          <w:marTop w:val="0"/>
          <w:marBottom w:val="0"/>
          <w:divBdr>
            <w:top w:val="none" w:sz="0" w:space="0" w:color="auto"/>
            <w:left w:val="none" w:sz="0" w:space="0" w:color="auto"/>
            <w:bottom w:val="none" w:sz="0" w:space="0" w:color="auto"/>
            <w:right w:val="none" w:sz="0" w:space="0" w:color="auto"/>
          </w:divBdr>
        </w:div>
        <w:div w:id="257064071">
          <w:marLeft w:val="0"/>
          <w:marRight w:val="0"/>
          <w:marTop w:val="0"/>
          <w:marBottom w:val="0"/>
          <w:divBdr>
            <w:top w:val="none" w:sz="0" w:space="0" w:color="auto"/>
            <w:left w:val="none" w:sz="0" w:space="0" w:color="auto"/>
            <w:bottom w:val="none" w:sz="0" w:space="0" w:color="auto"/>
            <w:right w:val="none" w:sz="0" w:space="0" w:color="auto"/>
          </w:divBdr>
        </w:div>
        <w:div w:id="1997957577">
          <w:marLeft w:val="0"/>
          <w:marRight w:val="0"/>
          <w:marTop w:val="0"/>
          <w:marBottom w:val="0"/>
          <w:divBdr>
            <w:top w:val="none" w:sz="0" w:space="0" w:color="auto"/>
            <w:left w:val="none" w:sz="0" w:space="0" w:color="auto"/>
            <w:bottom w:val="none" w:sz="0" w:space="0" w:color="auto"/>
            <w:right w:val="none" w:sz="0" w:space="0" w:color="auto"/>
          </w:divBdr>
        </w:div>
        <w:div w:id="1509952634">
          <w:marLeft w:val="0"/>
          <w:marRight w:val="0"/>
          <w:marTop w:val="0"/>
          <w:marBottom w:val="0"/>
          <w:divBdr>
            <w:top w:val="none" w:sz="0" w:space="0" w:color="auto"/>
            <w:left w:val="none" w:sz="0" w:space="0" w:color="auto"/>
            <w:bottom w:val="none" w:sz="0" w:space="0" w:color="auto"/>
            <w:right w:val="none" w:sz="0" w:space="0" w:color="auto"/>
          </w:divBdr>
        </w:div>
        <w:div w:id="867375022">
          <w:marLeft w:val="0"/>
          <w:marRight w:val="0"/>
          <w:marTop w:val="0"/>
          <w:marBottom w:val="0"/>
          <w:divBdr>
            <w:top w:val="none" w:sz="0" w:space="0" w:color="auto"/>
            <w:left w:val="none" w:sz="0" w:space="0" w:color="auto"/>
            <w:bottom w:val="none" w:sz="0" w:space="0" w:color="auto"/>
            <w:right w:val="none" w:sz="0" w:space="0" w:color="auto"/>
          </w:divBdr>
        </w:div>
        <w:div w:id="2113014605">
          <w:marLeft w:val="0"/>
          <w:marRight w:val="0"/>
          <w:marTop w:val="0"/>
          <w:marBottom w:val="0"/>
          <w:divBdr>
            <w:top w:val="none" w:sz="0" w:space="0" w:color="auto"/>
            <w:left w:val="none" w:sz="0" w:space="0" w:color="auto"/>
            <w:bottom w:val="none" w:sz="0" w:space="0" w:color="auto"/>
            <w:right w:val="none" w:sz="0" w:space="0" w:color="auto"/>
          </w:divBdr>
        </w:div>
        <w:div w:id="550842859">
          <w:marLeft w:val="0"/>
          <w:marRight w:val="0"/>
          <w:marTop w:val="0"/>
          <w:marBottom w:val="0"/>
          <w:divBdr>
            <w:top w:val="none" w:sz="0" w:space="0" w:color="auto"/>
            <w:left w:val="none" w:sz="0" w:space="0" w:color="auto"/>
            <w:bottom w:val="none" w:sz="0" w:space="0" w:color="auto"/>
            <w:right w:val="none" w:sz="0" w:space="0" w:color="auto"/>
          </w:divBdr>
        </w:div>
        <w:div w:id="516967864">
          <w:marLeft w:val="0"/>
          <w:marRight w:val="0"/>
          <w:marTop w:val="0"/>
          <w:marBottom w:val="0"/>
          <w:divBdr>
            <w:top w:val="none" w:sz="0" w:space="0" w:color="auto"/>
            <w:left w:val="none" w:sz="0" w:space="0" w:color="auto"/>
            <w:bottom w:val="none" w:sz="0" w:space="0" w:color="auto"/>
            <w:right w:val="none" w:sz="0" w:space="0" w:color="auto"/>
          </w:divBdr>
        </w:div>
        <w:div w:id="574440659">
          <w:marLeft w:val="0"/>
          <w:marRight w:val="0"/>
          <w:marTop w:val="0"/>
          <w:marBottom w:val="0"/>
          <w:divBdr>
            <w:top w:val="none" w:sz="0" w:space="0" w:color="auto"/>
            <w:left w:val="none" w:sz="0" w:space="0" w:color="auto"/>
            <w:bottom w:val="none" w:sz="0" w:space="0" w:color="auto"/>
            <w:right w:val="none" w:sz="0" w:space="0" w:color="auto"/>
          </w:divBdr>
        </w:div>
        <w:div w:id="2025204046">
          <w:marLeft w:val="0"/>
          <w:marRight w:val="0"/>
          <w:marTop w:val="0"/>
          <w:marBottom w:val="0"/>
          <w:divBdr>
            <w:top w:val="none" w:sz="0" w:space="0" w:color="auto"/>
            <w:left w:val="none" w:sz="0" w:space="0" w:color="auto"/>
            <w:bottom w:val="none" w:sz="0" w:space="0" w:color="auto"/>
            <w:right w:val="none" w:sz="0" w:space="0" w:color="auto"/>
          </w:divBdr>
        </w:div>
        <w:div w:id="549458950">
          <w:marLeft w:val="0"/>
          <w:marRight w:val="0"/>
          <w:marTop w:val="0"/>
          <w:marBottom w:val="0"/>
          <w:divBdr>
            <w:top w:val="none" w:sz="0" w:space="0" w:color="auto"/>
            <w:left w:val="none" w:sz="0" w:space="0" w:color="auto"/>
            <w:bottom w:val="none" w:sz="0" w:space="0" w:color="auto"/>
            <w:right w:val="none" w:sz="0" w:space="0" w:color="auto"/>
          </w:divBdr>
        </w:div>
        <w:div w:id="940916062">
          <w:marLeft w:val="0"/>
          <w:marRight w:val="0"/>
          <w:marTop w:val="0"/>
          <w:marBottom w:val="0"/>
          <w:divBdr>
            <w:top w:val="none" w:sz="0" w:space="0" w:color="auto"/>
            <w:left w:val="none" w:sz="0" w:space="0" w:color="auto"/>
            <w:bottom w:val="none" w:sz="0" w:space="0" w:color="auto"/>
            <w:right w:val="none" w:sz="0" w:space="0" w:color="auto"/>
          </w:divBdr>
        </w:div>
        <w:div w:id="1617828327">
          <w:marLeft w:val="0"/>
          <w:marRight w:val="0"/>
          <w:marTop w:val="0"/>
          <w:marBottom w:val="0"/>
          <w:divBdr>
            <w:top w:val="none" w:sz="0" w:space="0" w:color="auto"/>
            <w:left w:val="none" w:sz="0" w:space="0" w:color="auto"/>
            <w:bottom w:val="none" w:sz="0" w:space="0" w:color="auto"/>
            <w:right w:val="none" w:sz="0" w:space="0" w:color="auto"/>
          </w:divBdr>
        </w:div>
        <w:div w:id="877280852">
          <w:marLeft w:val="0"/>
          <w:marRight w:val="0"/>
          <w:marTop w:val="0"/>
          <w:marBottom w:val="0"/>
          <w:divBdr>
            <w:top w:val="none" w:sz="0" w:space="0" w:color="auto"/>
            <w:left w:val="none" w:sz="0" w:space="0" w:color="auto"/>
            <w:bottom w:val="none" w:sz="0" w:space="0" w:color="auto"/>
            <w:right w:val="none" w:sz="0" w:space="0" w:color="auto"/>
          </w:divBdr>
        </w:div>
        <w:div w:id="603224527">
          <w:marLeft w:val="0"/>
          <w:marRight w:val="0"/>
          <w:marTop w:val="0"/>
          <w:marBottom w:val="0"/>
          <w:divBdr>
            <w:top w:val="none" w:sz="0" w:space="0" w:color="auto"/>
            <w:left w:val="none" w:sz="0" w:space="0" w:color="auto"/>
            <w:bottom w:val="none" w:sz="0" w:space="0" w:color="auto"/>
            <w:right w:val="none" w:sz="0" w:space="0" w:color="auto"/>
          </w:divBdr>
        </w:div>
        <w:div w:id="707411860">
          <w:marLeft w:val="0"/>
          <w:marRight w:val="0"/>
          <w:marTop w:val="0"/>
          <w:marBottom w:val="0"/>
          <w:divBdr>
            <w:top w:val="none" w:sz="0" w:space="0" w:color="auto"/>
            <w:left w:val="none" w:sz="0" w:space="0" w:color="auto"/>
            <w:bottom w:val="none" w:sz="0" w:space="0" w:color="auto"/>
            <w:right w:val="none" w:sz="0" w:space="0" w:color="auto"/>
          </w:divBdr>
        </w:div>
        <w:div w:id="791286905">
          <w:marLeft w:val="0"/>
          <w:marRight w:val="0"/>
          <w:marTop w:val="0"/>
          <w:marBottom w:val="0"/>
          <w:divBdr>
            <w:top w:val="none" w:sz="0" w:space="0" w:color="auto"/>
            <w:left w:val="none" w:sz="0" w:space="0" w:color="auto"/>
            <w:bottom w:val="none" w:sz="0" w:space="0" w:color="auto"/>
            <w:right w:val="none" w:sz="0" w:space="0" w:color="auto"/>
          </w:divBdr>
        </w:div>
        <w:div w:id="2059931344">
          <w:marLeft w:val="0"/>
          <w:marRight w:val="0"/>
          <w:marTop w:val="0"/>
          <w:marBottom w:val="0"/>
          <w:divBdr>
            <w:top w:val="none" w:sz="0" w:space="0" w:color="auto"/>
            <w:left w:val="none" w:sz="0" w:space="0" w:color="auto"/>
            <w:bottom w:val="none" w:sz="0" w:space="0" w:color="auto"/>
            <w:right w:val="none" w:sz="0" w:space="0" w:color="auto"/>
          </w:divBdr>
        </w:div>
        <w:div w:id="1151629173">
          <w:marLeft w:val="0"/>
          <w:marRight w:val="0"/>
          <w:marTop w:val="0"/>
          <w:marBottom w:val="0"/>
          <w:divBdr>
            <w:top w:val="none" w:sz="0" w:space="0" w:color="auto"/>
            <w:left w:val="none" w:sz="0" w:space="0" w:color="auto"/>
            <w:bottom w:val="none" w:sz="0" w:space="0" w:color="auto"/>
            <w:right w:val="none" w:sz="0" w:space="0" w:color="auto"/>
          </w:divBdr>
        </w:div>
        <w:div w:id="1656490329">
          <w:marLeft w:val="0"/>
          <w:marRight w:val="0"/>
          <w:marTop w:val="0"/>
          <w:marBottom w:val="0"/>
          <w:divBdr>
            <w:top w:val="none" w:sz="0" w:space="0" w:color="auto"/>
            <w:left w:val="none" w:sz="0" w:space="0" w:color="auto"/>
            <w:bottom w:val="none" w:sz="0" w:space="0" w:color="auto"/>
            <w:right w:val="none" w:sz="0" w:space="0" w:color="auto"/>
          </w:divBdr>
        </w:div>
        <w:div w:id="750546362">
          <w:marLeft w:val="0"/>
          <w:marRight w:val="0"/>
          <w:marTop w:val="0"/>
          <w:marBottom w:val="0"/>
          <w:divBdr>
            <w:top w:val="none" w:sz="0" w:space="0" w:color="auto"/>
            <w:left w:val="none" w:sz="0" w:space="0" w:color="auto"/>
            <w:bottom w:val="none" w:sz="0" w:space="0" w:color="auto"/>
            <w:right w:val="none" w:sz="0" w:space="0" w:color="auto"/>
          </w:divBdr>
        </w:div>
        <w:div w:id="837308389">
          <w:marLeft w:val="0"/>
          <w:marRight w:val="0"/>
          <w:marTop w:val="0"/>
          <w:marBottom w:val="0"/>
          <w:divBdr>
            <w:top w:val="none" w:sz="0" w:space="0" w:color="auto"/>
            <w:left w:val="none" w:sz="0" w:space="0" w:color="auto"/>
            <w:bottom w:val="none" w:sz="0" w:space="0" w:color="auto"/>
            <w:right w:val="none" w:sz="0" w:space="0" w:color="auto"/>
          </w:divBdr>
        </w:div>
        <w:div w:id="521673115">
          <w:marLeft w:val="0"/>
          <w:marRight w:val="0"/>
          <w:marTop w:val="0"/>
          <w:marBottom w:val="0"/>
          <w:divBdr>
            <w:top w:val="none" w:sz="0" w:space="0" w:color="auto"/>
            <w:left w:val="none" w:sz="0" w:space="0" w:color="auto"/>
            <w:bottom w:val="none" w:sz="0" w:space="0" w:color="auto"/>
            <w:right w:val="none" w:sz="0" w:space="0" w:color="auto"/>
          </w:divBdr>
        </w:div>
        <w:div w:id="1789741580">
          <w:marLeft w:val="0"/>
          <w:marRight w:val="0"/>
          <w:marTop w:val="0"/>
          <w:marBottom w:val="0"/>
          <w:divBdr>
            <w:top w:val="none" w:sz="0" w:space="0" w:color="auto"/>
            <w:left w:val="none" w:sz="0" w:space="0" w:color="auto"/>
            <w:bottom w:val="none" w:sz="0" w:space="0" w:color="auto"/>
            <w:right w:val="none" w:sz="0" w:space="0" w:color="auto"/>
          </w:divBdr>
        </w:div>
        <w:div w:id="1261261181">
          <w:marLeft w:val="0"/>
          <w:marRight w:val="0"/>
          <w:marTop w:val="0"/>
          <w:marBottom w:val="0"/>
          <w:divBdr>
            <w:top w:val="none" w:sz="0" w:space="0" w:color="auto"/>
            <w:left w:val="none" w:sz="0" w:space="0" w:color="auto"/>
            <w:bottom w:val="none" w:sz="0" w:space="0" w:color="auto"/>
            <w:right w:val="none" w:sz="0" w:space="0" w:color="auto"/>
          </w:divBdr>
        </w:div>
        <w:div w:id="983462156">
          <w:marLeft w:val="0"/>
          <w:marRight w:val="0"/>
          <w:marTop w:val="0"/>
          <w:marBottom w:val="0"/>
          <w:divBdr>
            <w:top w:val="none" w:sz="0" w:space="0" w:color="auto"/>
            <w:left w:val="none" w:sz="0" w:space="0" w:color="auto"/>
            <w:bottom w:val="none" w:sz="0" w:space="0" w:color="auto"/>
            <w:right w:val="none" w:sz="0" w:space="0" w:color="auto"/>
          </w:divBdr>
        </w:div>
        <w:div w:id="368341486">
          <w:marLeft w:val="0"/>
          <w:marRight w:val="0"/>
          <w:marTop w:val="0"/>
          <w:marBottom w:val="0"/>
          <w:divBdr>
            <w:top w:val="none" w:sz="0" w:space="0" w:color="auto"/>
            <w:left w:val="none" w:sz="0" w:space="0" w:color="auto"/>
            <w:bottom w:val="none" w:sz="0" w:space="0" w:color="auto"/>
            <w:right w:val="none" w:sz="0" w:space="0" w:color="auto"/>
          </w:divBdr>
        </w:div>
        <w:div w:id="1507012632">
          <w:marLeft w:val="0"/>
          <w:marRight w:val="0"/>
          <w:marTop w:val="0"/>
          <w:marBottom w:val="0"/>
          <w:divBdr>
            <w:top w:val="none" w:sz="0" w:space="0" w:color="auto"/>
            <w:left w:val="none" w:sz="0" w:space="0" w:color="auto"/>
            <w:bottom w:val="none" w:sz="0" w:space="0" w:color="auto"/>
            <w:right w:val="none" w:sz="0" w:space="0" w:color="auto"/>
          </w:divBdr>
        </w:div>
        <w:div w:id="711000921">
          <w:marLeft w:val="0"/>
          <w:marRight w:val="0"/>
          <w:marTop w:val="0"/>
          <w:marBottom w:val="0"/>
          <w:divBdr>
            <w:top w:val="none" w:sz="0" w:space="0" w:color="auto"/>
            <w:left w:val="none" w:sz="0" w:space="0" w:color="auto"/>
            <w:bottom w:val="none" w:sz="0" w:space="0" w:color="auto"/>
            <w:right w:val="none" w:sz="0" w:space="0" w:color="auto"/>
          </w:divBdr>
        </w:div>
        <w:div w:id="9645411">
          <w:marLeft w:val="0"/>
          <w:marRight w:val="0"/>
          <w:marTop w:val="0"/>
          <w:marBottom w:val="0"/>
          <w:divBdr>
            <w:top w:val="none" w:sz="0" w:space="0" w:color="auto"/>
            <w:left w:val="none" w:sz="0" w:space="0" w:color="auto"/>
            <w:bottom w:val="none" w:sz="0" w:space="0" w:color="auto"/>
            <w:right w:val="none" w:sz="0" w:space="0" w:color="auto"/>
          </w:divBdr>
        </w:div>
        <w:div w:id="1248540459">
          <w:marLeft w:val="0"/>
          <w:marRight w:val="0"/>
          <w:marTop w:val="0"/>
          <w:marBottom w:val="0"/>
          <w:divBdr>
            <w:top w:val="none" w:sz="0" w:space="0" w:color="auto"/>
            <w:left w:val="none" w:sz="0" w:space="0" w:color="auto"/>
            <w:bottom w:val="none" w:sz="0" w:space="0" w:color="auto"/>
            <w:right w:val="none" w:sz="0" w:space="0" w:color="auto"/>
          </w:divBdr>
        </w:div>
        <w:div w:id="154227715">
          <w:marLeft w:val="0"/>
          <w:marRight w:val="0"/>
          <w:marTop w:val="0"/>
          <w:marBottom w:val="0"/>
          <w:divBdr>
            <w:top w:val="none" w:sz="0" w:space="0" w:color="auto"/>
            <w:left w:val="none" w:sz="0" w:space="0" w:color="auto"/>
            <w:bottom w:val="none" w:sz="0" w:space="0" w:color="auto"/>
            <w:right w:val="none" w:sz="0" w:space="0" w:color="auto"/>
          </w:divBdr>
        </w:div>
        <w:div w:id="663896546">
          <w:marLeft w:val="0"/>
          <w:marRight w:val="0"/>
          <w:marTop w:val="0"/>
          <w:marBottom w:val="0"/>
          <w:divBdr>
            <w:top w:val="none" w:sz="0" w:space="0" w:color="auto"/>
            <w:left w:val="none" w:sz="0" w:space="0" w:color="auto"/>
            <w:bottom w:val="none" w:sz="0" w:space="0" w:color="auto"/>
            <w:right w:val="none" w:sz="0" w:space="0" w:color="auto"/>
          </w:divBdr>
        </w:div>
        <w:div w:id="353728288">
          <w:marLeft w:val="0"/>
          <w:marRight w:val="0"/>
          <w:marTop w:val="0"/>
          <w:marBottom w:val="0"/>
          <w:divBdr>
            <w:top w:val="none" w:sz="0" w:space="0" w:color="auto"/>
            <w:left w:val="none" w:sz="0" w:space="0" w:color="auto"/>
            <w:bottom w:val="none" w:sz="0" w:space="0" w:color="auto"/>
            <w:right w:val="none" w:sz="0" w:space="0" w:color="auto"/>
          </w:divBdr>
        </w:div>
        <w:div w:id="1012683990">
          <w:marLeft w:val="0"/>
          <w:marRight w:val="0"/>
          <w:marTop w:val="0"/>
          <w:marBottom w:val="0"/>
          <w:divBdr>
            <w:top w:val="none" w:sz="0" w:space="0" w:color="auto"/>
            <w:left w:val="none" w:sz="0" w:space="0" w:color="auto"/>
            <w:bottom w:val="none" w:sz="0" w:space="0" w:color="auto"/>
            <w:right w:val="none" w:sz="0" w:space="0" w:color="auto"/>
          </w:divBdr>
        </w:div>
        <w:div w:id="1190415496">
          <w:marLeft w:val="0"/>
          <w:marRight w:val="0"/>
          <w:marTop w:val="0"/>
          <w:marBottom w:val="0"/>
          <w:divBdr>
            <w:top w:val="none" w:sz="0" w:space="0" w:color="auto"/>
            <w:left w:val="none" w:sz="0" w:space="0" w:color="auto"/>
            <w:bottom w:val="none" w:sz="0" w:space="0" w:color="auto"/>
            <w:right w:val="none" w:sz="0" w:space="0" w:color="auto"/>
          </w:divBdr>
        </w:div>
        <w:div w:id="654262638">
          <w:marLeft w:val="0"/>
          <w:marRight w:val="0"/>
          <w:marTop w:val="0"/>
          <w:marBottom w:val="0"/>
          <w:divBdr>
            <w:top w:val="none" w:sz="0" w:space="0" w:color="auto"/>
            <w:left w:val="none" w:sz="0" w:space="0" w:color="auto"/>
            <w:bottom w:val="none" w:sz="0" w:space="0" w:color="auto"/>
            <w:right w:val="none" w:sz="0" w:space="0" w:color="auto"/>
          </w:divBdr>
        </w:div>
        <w:div w:id="1075400873">
          <w:marLeft w:val="0"/>
          <w:marRight w:val="0"/>
          <w:marTop w:val="0"/>
          <w:marBottom w:val="0"/>
          <w:divBdr>
            <w:top w:val="none" w:sz="0" w:space="0" w:color="auto"/>
            <w:left w:val="none" w:sz="0" w:space="0" w:color="auto"/>
            <w:bottom w:val="none" w:sz="0" w:space="0" w:color="auto"/>
            <w:right w:val="none" w:sz="0" w:space="0" w:color="auto"/>
          </w:divBdr>
        </w:div>
        <w:div w:id="9379836">
          <w:marLeft w:val="0"/>
          <w:marRight w:val="0"/>
          <w:marTop w:val="0"/>
          <w:marBottom w:val="0"/>
          <w:divBdr>
            <w:top w:val="none" w:sz="0" w:space="0" w:color="auto"/>
            <w:left w:val="none" w:sz="0" w:space="0" w:color="auto"/>
            <w:bottom w:val="none" w:sz="0" w:space="0" w:color="auto"/>
            <w:right w:val="none" w:sz="0" w:space="0" w:color="auto"/>
          </w:divBdr>
        </w:div>
        <w:div w:id="364404195">
          <w:marLeft w:val="0"/>
          <w:marRight w:val="0"/>
          <w:marTop w:val="0"/>
          <w:marBottom w:val="0"/>
          <w:divBdr>
            <w:top w:val="none" w:sz="0" w:space="0" w:color="auto"/>
            <w:left w:val="none" w:sz="0" w:space="0" w:color="auto"/>
            <w:bottom w:val="none" w:sz="0" w:space="0" w:color="auto"/>
            <w:right w:val="none" w:sz="0" w:space="0" w:color="auto"/>
          </w:divBdr>
        </w:div>
        <w:div w:id="1985086322">
          <w:marLeft w:val="0"/>
          <w:marRight w:val="0"/>
          <w:marTop w:val="0"/>
          <w:marBottom w:val="0"/>
          <w:divBdr>
            <w:top w:val="none" w:sz="0" w:space="0" w:color="auto"/>
            <w:left w:val="none" w:sz="0" w:space="0" w:color="auto"/>
            <w:bottom w:val="none" w:sz="0" w:space="0" w:color="auto"/>
            <w:right w:val="none" w:sz="0" w:space="0" w:color="auto"/>
          </w:divBdr>
        </w:div>
        <w:div w:id="862016207">
          <w:marLeft w:val="0"/>
          <w:marRight w:val="0"/>
          <w:marTop w:val="0"/>
          <w:marBottom w:val="0"/>
          <w:divBdr>
            <w:top w:val="none" w:sz="0" w:space="0" w:color="auto"/>
            <w:left w:val="none" w:sz="0" w:space="0" w:color="auto"/>
            <w:bottom w:val="none" w:sz="0" w:space="0" w:color="auto"/>
            <w:right w:val="none" w:sz="0" w:space="0" w:color="auto"/>
          </w:divBdr>
        </w:div>
        <w:div w:id="1880820190">
          <w:marLeft w:val="0"/>
          <w:marRight w:val="0"/>
          <w:marTop w:val="0"/>
          <w:marBottom w:val="0"/>
          <w:divBdr>
            <w:top w:val="none" w:sz="0" w:space="0" w:color="auto"/>
            <w:left w:val="none" w:sz="0" w:space="0" w:color="auto"/>
            <w:bottom w:val="none" w:sz="0" w:space="0" w:color="auto"/>
            <w:right w:val="none" w:sz="0" w:space="0" w:color="auto"/>
          </w:divBdr>
        </w:div>
        <w:div w:id="648485385">
          <w:marLeft w:val="0"/>
          <w:marRight w:val="0"/>
          <w:marTop w:val="0"/>
          <w:marBottom w:val="0"/>
          <w:divBdr>
            <w:top w:val="none" w:sz="0" w:space="0" w:color="auto"/>
            <w:left w:val="none" w:sz="0" w:space="0" w:color="auto"/>
            <w:bottom w:val="none" w:sz="0" w:space="0" w:color="auto"/>
            <w:right w:val="none" w:sz="0" w:space="0" w:color="auto"/>
          </w:divBdr>
        </w:div>
        <w:div w:id="1369990017">
          <w:marLeft w:val="0"/>
          <w:marRight w:val="0"/>
          <w:marTop w:val="0"/>
          <w:marBottom w:val="0"/>
          <w:divBdr>
            <w:top w:val="none" w:sz="0" w:space="0" w:color="auto"/>
            <w:left w:val="none" w:sz="0" w:space="0" w:color="auto"/>
            <w:bottom w:val="none" w:sz="0" w:space="0" w:color="auto"/>
            <w:right w:val="none" w:sz="0" w:space="0" w:color="auto"/>
          </w:divBdr>
        </w:div>
        <w:div w:id="2073767356">
          <w:marLeft w:val="0"/>
          <w:marRight w:val="0"/>
          <w:marTop w:val="0"/>
          <w:marBottom w:val="0"/>
          <w:divBdr>
            <w:top w:val="none" w:sz="0" w:space="0" w:color="auto"/>
            <w:left w:val="none" w:sz="0" w:space="0" w:color="auto"/>
            <w:bottom w:val="none" w:sz="0" w:space="0" w:color="auto"/>
            <w:right w:val="none" w:sz="0" w:space="0" w:color="auto"/>
          </w:divBdr>
        </w:div>
        <w:div w:id="159276929">
          <w:marLeft w:val="0"/>
          <w:marRight w:val="0"/>
          <w:marTop w:val="0"/>
          <w:marBottom w:val="0"/>
          <w:divBdr>
            <w:top w:val="none" w:sz="0" w:space="0" w:color="auto"/>
            <w:left w:val="none" w:sz="0" w:space="0" w:color="auto"/>
            <w:bottom w:val="none" w:sz="0" w:space="0" w:color="auto"/>
            <w:right w:val="none" w:sz="0" w:space="0" w:color="auto"/>
          </w:divBdr>
        </w:div>
        <w:div w:id="1976905104">
          <w:marLeft w:val="0"/>
          <w:marRight w:val="0"/>
          <w:marTop w:val="0"/>
          <w:marBottom w:val="0"/>
          <w:divBdr>
            <w:top w:val="none" w:sz="0" w:space="0" w:color="auto"/>
            <w:left w:val="none" w:sz="0" w:space="0" w:color="auto"/>
            <w:bottom w:val="none" w:sz="0" w:space="0" w:color="auto"/>
            <w:right w:val="none" w:sz="0" w:space="0" w:color="auto"/>
          </w:divBdr>
        </w:div>
        <w:div w:id="351877443">
          <w:marLeft w:val="0"/>
          <w:marRight w:val="0"/>
          <w:marTop w:val="0"/>
          <w:marBottom w:val="0"/>
          <w:divBdr>
            <w:top w:val="none" w:sz="0" w:space="0" w:color="auto"/>
            <w:left w:val="none" w:sz="0" w:space="0" w:color="auto"/>
            <w:bottom w:val="none" w:sz="0" w:space="0" w:color="auto"/>
            <w:right w:val="none" w:sz="0" w:space="0" w:color="auto"/>
          </w:divBdr>
        </w:div>
        <w:div w:id="1620145409">
          <w:marLeft w:val="0"/>
          <w:marRight w:val="0"/>
          <w:marTop w:val="0"/>
          <w:marBottom w:val="0"/>
          <w:divBdr>
            <w:top w:val="none" w:sz="0" w:space="0" w:color="auto"/>
            <w:left w:val="none" w:sz="0" w:space="0" w:color="auto"/>
            <w:bottom w:val="none" w:sz="0" w:space="0" w:color="auto"/>
            <w:right w:val="none" w:sz="0" w:space="0" w:color="auto"/>
          </w:divBdr>
        </w:div>
        <w:div w:id="1254121015">
          <w:marLeft w:val="0"/>
          <w:marRight w:val="0"/>
          <w:marTop w:val="0"/>
          <w:marBottom w:val="0"/>
          <w:divBdr>
            <w:top w:val="none" w:sz="0" w:space="0" w:color="auto"/>
            <w:left w:val="none" w:sz="0" w:space="0" w:color="auto"/>
            <w:bottom w:val="none" w:sz="0" w:space="0" w:color="auto"/>
            <w:right w:val="none" w:sz="0" w:space="0" w:color="auto"/>
          </w:divBdr>
        </w:div>
        <w:div w:id="51781731">
          <w:marLeft w:val="0"/>
          <w:marRight w:val="0"/>
          <w:marTop w:val="0"/>
          <w:marBottom w:val="0"/>
          <w:divBdr>
            <w:top w:val="none" w:sz="0" w:space="0" w:color="auto"/>
            <w:left w:val="none" w:sz="0" w:space="0" w:color="auto"/>
            <w:bottom w:val="none" w:sz="0" w:space="0" w:color="auto"/>
            <w:right w:val="none" w:sz="0" w:space="0" w:color="auto"/>
          </w:divBdr>
        </w:div>
        <w:div w:id="34237224">
          <w:marLeft w:val="0"/>
          <w:marRight w:val="0"/>
          <w:marTop w:val="0"/>
          <w:marBottom w:val="0"/>
          <w:divBdr>
            <w:top w:val="none" w:sz="0" w:space="0" w:color="auto"/>
            <w:left w:val="none" w:sz="0" w:space="0" w:color="auto"/>
            <w:bottom w:val="none" w:sz="0" w:space="0" w:color="auto"/>
            <w:right w:val="none" w:sz="0" w:space="0" w:color="auto"/>
          </w:divBdr>
        </w:div>
        <w:div w:id="2044016164">
          <w:marLeft w:val="0"/>
          <w:marRight w:val="0"/>
          <w:marTop w:val="0"/>
          <w:marBottom w:val="0"/>
          <w:divBdr>
            <w:top w:val="none" w:sz="0" w:space="0" w:color="auto"/>
            <w:left w:val="none" w:sz="0" w:space="0" w:color="auto"/>
            <w:bottom w:val="none" w:sz="0" w:space="0" w:color="auto"/>
            <w:right w:val="none" w:sz="0" w:space="0" w:color="auto"/>
          </w:divBdr>
        </w:div>
        <w:div w:id="179052906">
          <w:marLeft w:val="0"/>
          <w:marRight w:val="0"/>
          <w:marTop w:val="0"/>
          <w:marBottom w:val="0"/>
          <w:divBdr>
            <w:top w:val="none" w:sz="0" w:space="0" w:color="auto"/>
            <w:left w:val="none" w:sz="0" w:space="0" w:color="auto"/>
            <w:bottom w:val="none" w:sz="0" w:space="0" w:color="auto"/>
            <w:right w:val="none" w:sz="0" w:space="0" w:color="auto"/>
          </w:divBdr>
        </w:div>
        <w:div w:id="2024746297">
          <w:marLeft w:val="0"/>
          <w:marRight w:val="0"/>
          <w:marTop w:val="0"/>
          <w:marBottom w:val="0"/>
          <w:divBdr>
            <w:top w:val="none" w:sz="0" w:space="0" w:color="auto"/>
            <w:left w:val="none" w:sz="0" w:space="0" w:color="auto"/>
            <w:bottom w:val="none" w:sz="0" w:space="0" w:color="auto"/>
            <w:right w:val="none" w:sz="0" w:space="0" w:color="auto"/>
          </w:divBdr>
        </w:div>
        <w:div w:id="1762531730">
          <w:marLeft w:val="0"/>
          <w:marRight w:val="0"/>
          <w:marTop w:val="0"/>
          <w:marBottom w:val="0"/>
          <w:divBdr>
            <w:top w:val="none" w:sz="0" w:space="0" w:color="auto"/>
            <w:left w:val="none" w:sz="0" w:space="0" w:color="auto"/>
            <w:bottom w:val="none" w:sz="0" w:space="0" w:color="auto"/>
            <w:right w:val="none" w:sz="0" w:space="0" w:color="auto"/>
          </w:divBdr>
        </w:div>
        <w:div w:id="2011979037">
          <w:marLeft w:val="0"/>
          <w:marRight w:val="0"/>
          <w:marTop w:val="0"/>
          <w:marBottom w:val="0"/>
          <w:divBdr>
            <w:top w:val="none" w:sz="0" w:space="0" w:color="auto"/>
            <w:left w:val="none" w:sz="0" w:space="0" w:color="auto"/>
            <w:bottom w:val="none" w:sz="0" w:space="0" w:color="auto"/>
            <w:right w:val="none" w:sz="0" w:space="0" w:color="auto"/>
          </w:divBdr>
        </w:div>
        <w:div w:id="1075201466">
          <w:marLeft w:val="0"/>
          <w:marRight w:val="0"/>
          <w:marTop w:val="0"/>
          <w:marBottom w:val="0"/>
          <w:divBdr>
            <w:top w:val="none" w:sz="0" w:space="0" w:color="auto"/>
            <w:left w:val="none" w:sz="0" w:space="0" w:color="auto"/>
            <w:bottom w:val="none" w:sz="0" w:space="0" w:color="auto"/>
            <w:right w:val="none" w:sz="0" w:space="0" w:color="auto"/>
          </w:divBdr>
        </w:div>
        <w:div w:id="349797384">
          <w:marLeft w:val="0"/>
          <w:marRight w:val="0"/>
          <w:marTop w:val="0"/>
          <w:marBottom w:val="0"/>
          <w:divBdr>
            <w:top w:val="none" w:sz="0" w:space="0" w:color="auto"/>
            <w:left w:val="none" w:sz="0" w:space="0" w:color="auto"/>
            <w:bottom w:val="none" w:sz="0" w:space="0" w:color="auto"/>
            <w:right w:val="none" w:sz="0" w:space="0" w:color="auto"/>
          </w:divBdr>
        </w:div>
        <w:div w:id="1493375460">
          <w:marLeft w:val="0"/>
          <w:marRight w:val="0"/>
          <w:marTop w:val="0"/>
          <w:marBottom w:val="0"/>
          <w:divBdr>
            <w:top w:val="none" w:sz="0" w:space="0" w:color="auto"/>
            <w:left w:val="none" w:sz="0" w:space="0" w:color="auto"/>
            <w:bottom w:val="none" w:sz="0" w:space="0" w:color="auto"/>
            <w:right w:val="none" w:sz="0" w:space="0" w:color="auto"/>
          </w:divBdr>
        </w:div>
        <w:div w:id="1422214333">
          <w:marLeft w:val="0"/>
          <w:marRight w:val="0"/>
          <w:marTop w:val="0"/>
          <w:marBottom w:val="0"/>
          <w:divBdr>
            <w:top w:val="none" w:sz="0" w:space="0" w:color="auto"/>
            <w:left w:val="none" w:sz="0" w:space="0" w:color="auto"/>
            <w:bottom w:val="none" w:sz="0" w:space="0" w:color="auto"/>
            <w:right w:val="none" w:sz="0" w:space="0" w:color="auto"/>
          </w:divBdr>
        </w:div>
        <w:div w:id="404300507">
          <w:marLeft w:val="0"/>
          <w:marRight w:val="0"/>
          <w:marTop w:val="0"/>
          <w:marBottom w:val="0"/>
          <w:divBdr>
            <w:top w:val="none" w:sz="0" w:space="0" w:color="auto"/>
            <w:left w:val="none" w:sz="0" w:space="0" w:color="auto"/>
            <w:bottom w:val="none" w:sz="0" w:space="0" w:color="auto"/>
            <w:right w:val="none" w:sz="0" w:space="0" w:color="auto"/>
          </w:divBdr>
        </w:div>
        <w:div w:id="804928927">
          <w:marLeft w:val="0"/>
          <w:marRight w:val="0"/>
          <w:marTop w:val="0"/>
          <w:marBottom w:val="0"/>
          <w:divBdr>
            <w:top w:val="none" w:sz="0" w:space="0" w:color="auto"/>
            <w:left w:val="none" w:sz="0" w:space="0" w:color="auto"/>
            <w:bottom w:val="none" w:sz="0" w:space="0" w:color="auto"/>
            <w:right w:val="none" w:sz="0" w:space="0" w:color="auto"/>
          </w:divBdr>
        </w:div>
        <w:div w:id="104272015">
          <w:marLeft w:val="0"/>
          <w:marRight w:val="0"/>
          <w:marTop w:val="0"/>
          <w:marBottom w:val="0"/>
          <w:divBdr>
            <w:top w:val="none" w:sz="0" w:space="0" w:color="auto"/>
            <w:left w:val="none" w:sz="0" w:space="0" w:color="auto"/>
            <w:bottom w:val="none" w:sz="0" w:space="0" w:color="auto"/>
            <w:right w:val="none" w:sz="0" w:space="0" w:color="auto"/>
          </w:divBdr>
        </w:div>
        <w:div w:id="957833947">
          <w:marLeft w:val="0"/>
          <w:marRight w:val="0"/>
          <w:marTop w:val="0"/>
          <w:marBottom w:val="0"/>
          <w:divBdr>
            <w:top w:val="none" w:sz="0" w:space="0" w:color="auto"/>
            <w:left w:val="none" w:sz="0" w:space="0" w:color="auto"/>
            <w:bottom w:val="none" w:sz="0" w:space="0" w:color="auto"/>
            <w:right w:val="none" w:sz="0" w:space="0" w:color="auto"/>
          </w:divBdr>
        </w:div>
        <w:div w:id="68231264">
          <w:marLeft w:val="0"/>
          <w:marRight w:val="0"/>
          <w:marTop w:val="0"/>
          <w:marBottom w:val="0"/>
          <w:divBdr>
            <w:top w:val="none" w:sz="0" w:space="0" w:color="auto"/>
            <w:left w:val="none" w:sz="0" w:space="0" w:color="auto"/>
            <w:bottom w:val="none" w:sz="0" w:space="0" w:color="auto"/>
            <w:right w:val="none" w:sz="0" w:space="0" w:color="auto"/>
          </w:divBdr>
        </w:div>
        <w:div w:id="424307646">
          <w:marLeft w:val="0"/>
          <w:marRight w:val="0"/>
          <w:marTop w:val="0"/>
          <w:marBottom w:val="0"/>
          <w:divBdr>
            <w:top w:val="none" w:sz="0" w:space="0" w:color="auto"/>
            <w:left w:val="none" w:sz="0" w:space="0" w:color="auto"/>
            <w:bottom w:val="none" w:sz="0" w:space="0" w:color="auto"/>
            <w:right w:val="none" w:sz="0" w:space="0" w:color="auto"/>
          </w:divBdr>
        </w:div>
        <w:div w:id="787260">
          <w:marLeft w:val="0"/>
          <w:marRight w:val="0"/>
          <w:marTop w:val="0"/>
          <w:marBottom w:val="0"/>
          <w:divBdr>
            <w:top w:val="none" w:sz="0" w:space="0" w:color="auto"/>
            <w:left w:val="none" w:sz="0" w:space="0" w:color="auto"/>
            <w:bottom w:val="none" w:sz="0" w:space="0" w:color="auto"/>
            <w:right w:val="none" w:sz="0" w:space="0" w:color="auto"/>
          </w:divBdr>
        </w:div>
        <w:div w:id="613286990">
          <w:marLeft w:val="0"/>
          <w:marRight w:val="0"/>
          <w:marTop w:val="0"/>
          <w:marBottom w:val="0"/>
          <w:divBdr>
            <w:top w:val="none" w:sz="0" w:space="0" w:color="auto"/>
            <w:left w:val="none" w:sz="0" w:space="0" w:color="auto"/>
            <w:bottom w:val="none" w:sz="0" w:space="0" w:color="auto"/>
            <w:right w:val="none" w:sz="0" w:space="0" w:color="auto"/>
          </w:divBdr>
        </w:div>
        <w:div w:id="1081944725">
          <w:marLeft w:val="0"/>
          <w:marRight w:val="0"/>
          <w:marTop w:val="0"/>
          <w:marBottom w:val="0"/>
          <w:divBdr>
            <w:top w:val="none" w:sz="0" w:space="0" w:color="auto"/>
            <w:left w:val="none" w:sz="0" w:space="0" w:color="auto"/>
            <w:bottom w:val="none" w:sz="0" w:space="0" w:color="auto"/>
            <w:right w:val="none" w:sz="0" w:space="0" w:color="auto"/>
          </w:divBdr>
        </w:div>
        <w:div w:id="609094556">
          <w:marLeft w:val="0"/>
          <w:marRight w:val="0"/>
          <w:marTop w:val="0"/>
          <w:marBottom w:val="0"/>
          <w:divBdr>
            <w:top w:val="none" w:sz="0" w:space="0" w:color="auto"/>
            <w:left w:val="none" w:sz="0" w:space="0" w:color="auto"/>
            <w:bottom w:val="none" w:sz="0" w:space="0" w:color="auto"/>
            <w:right w:val="none" w:sz="0" w:space="0" w:color="auto"/>
          </w:divBdr>
        </w:div>
        <w:div w:id="1980915347">
          <w:marLeft w:val="0"/>
          <w:marRight w:val="0"/>
          <w:marTop w:val="0"/>
          <w:marBottom w:val="0"/>
          <w:divBdr>
            <w:top w:val="none" w:sz="0" w:space="0" w:color="auto"/>
            <w:left w:val="none" w:sz="0" w:space="0" w:color="auto"/>
            <w:bottom w:val="none" w:sz="0" w:space="0" w:color="auto"/>
            <w:right w:val="none" w:sz="0" w:space="0" w:color="auto"/>
          </w:divBdr>
        </w:div>
        <w:div w:id="1282762140">
          <w:marLeft w:val="0"/>
          <w:marRight w:val="0"/>
          <w:marTop w:val="0"/>
          <w:marBottom w:val="0"/>
          <w:divBdr>
            <w:top w:val="none" w:sz="0" w:space="0" w:color="auto"/>
            <w:left w:val="none" w:sz="0" w:space="0" w:color="auto"/>
            <w:bottom w:val="none" w:sz="0" w:space="0" w:color="auto"/>
            <w:right w:val="none" w:sz="0" w:space="0" w:color="auto"/>
          </w:divBdr>
        </w:div>
        <w:div w:id="1075594644">
          <w:marLeft w:val="0"/>
          <w:marRight w:val="0"/>
          <w:marTop w:val="0"/>
          <w:marBottom w:val="0"/>
          <w:divBdr>
            <w:top w:val="none" w:sz="0" w:space="0" w:color="auto"/>
            <w:left w:val="none" w:sz="0" w:space="0" w:color="auto"/>
            <w:bottom w:val="none" w:sz="0" w:space="0" w:color="auto"/>
            <w:right w:val="none" w:sz="0" w:space="0" w:color="auto"/>
          </w:divBdr>
        </w:div>
        <w:div w:id="1804537487">
          <w:marLeft w:val="0"/>
          <w:marRight w:val="0"/>
          <w:marTop w:val="0"/>
          <w:marBottom w:val="0"/>
          <w:divBdr>
            <w:top w:val="none" w:sz="0" w:space="0" w:color="auto"/>
            <w:left w:val="none" w:sz="0" w:space="0" w:color="auto"/>
            <w:bottom w:val="none" w:sz="0" w:space="0" w:color="auto"/>
            <w:right w:val="none" w:sz="0" w:space="0" w:color="auto"/>
          </w:divBdr>
        </w:div>
        <w:div w:id="299579266">
          <w:marLeft w:val="0"/>
          <w:marRight w:val="0"/>
          <w:marTop w:val="0"/>
          <w:marBottom w:val="0"/>
          <w:divBdr>
            <w:top w:val="none" w:sz="0" w:space="0" w:color="auto"/>
            <w:left w:val="none" w:sz="0" w:space="0" w:color="auto"/>
            <w:bottom w:val="none" w:sz="0" w:space="0" w:color="auto"/>
            <w:right w:val="none" w:sz="0" w:space="0" w:color="auto"/>
          </w:divBdr>
        </w:div>
        <w:div w:id="445545728">
          <w:marLeft w:val="0"/>
          <w:marRight w:val="0"/>
          <w:marTop w:val="0"/>
          <w:marBottom w:val="0"/>
          <w:divBdr>
            <w:top w:val="none" w:sz="0" w:space="0" w:color="auto"/>
            <w:left w:val="none" w:sz="0" w:space="0" w:color="auto"/>
            <w:bottom w:val="none" w:sz="0" w:space="0" w:color="auto"/>
            <w:right w:val="none" w:sz="0" w:space="0" w:color="auto"/>
          </w:divBdr>
        </w:div>
        <w:div w:id="266160379">
          <w:marLeft w:val="0"/>
          <w:marRight w:val="0"/>
          <w:marTop w:val="0"/>
          <w:marBottom w:val="0"/>
          <w:divBdr>
            <w:top w:val="none" w:sz="0" w:space="0" w:color="auto"/>
            <w:left w:val="none" w:sz="0" w:space="0" w:color="auto"/>
            <w:bottom w:val="none" w:sz="0" w:space="0" w:color="auto"/>
            <w:right w:val="none" w:sz="0" w:space="0" w:color="auto"/>
          </w:divBdr>
        </w:div>
        <w:div w:id="1881280623">
          <w:marLeft w:val="0"/>
          <w:marRight w:val="0"/>
          <w:marTop w:val="0"/>
          <w:marBottom w:val="0"/>
          <w:divBdr>
            <w:top w:val="none" w:sz="0" w:space="0" w:color="auto"/>
            <w:left w:val="none" w:sz="0" w:space="0" w:color="auto"/>
            <w:bottom w:val="none" w:sz="0" w:space="0" w:color="auto"/>
            <w:right w:val="none" w:sz="0" w:space="0" w:color="auto"/>
          </w:divBdr>
        </w:div>
        <w:div w:id="1992783298">
          <w:marLeft w:val="0"/>
          <w:marRight w:val="0"/>
          <w:marTop w:val="0"/>
          <w:marBottom w:val="0"/>
          <w:divBdr>
            <w:top w:val="none" w:sz="0" w:space="0" w:color="auto"/>
            <w:left w:val="none" w:sz="0" w:space="0" w:color="auto"/>
            <w:bottom w:val="none" w:sz="0" w:space="0" w:color="auto"/>
            <w:right w:val="none" w:sz="0" w:space="0" w:color="auto"/>
          </w:divBdr>
        </w:div>
        <w:div w:id="1319534292">
          <w:marLeft w:val="0"/>
          <w:marRight w:val="0"/>
          <w:marTop w:val="0"/>
          <w:marBottom w:val="0"/>
          <w:divBdr>
            <w:top w:val="none" w:sz="0" w:space="0" w:color="auto"/>
            <w:left w:val="none" w:sz="0" w:space="0" w:color="auto"/>
            <w:bottom w:val="none" w:sz="0" w:space="0" w:color="auto"/>
            <w:right w:val="none" w:sz="0" w:space="0" w:color="auto"/>
          </w:divBdr>
        </w:div>
        <w:div w:id="1094126663">
          <w:marLeft w:val="0"/>
          <w:marRight w:val="0"/>
          <w:marTop w:val="0"/>
          <w:marBottom w:val="0"/>
          <w:divBdr>
            <w:top w:val="none" w:sz="0" w:space="0" w:color="auto"/>
            <w:left w:val="none" w:sz="0" w:space="0" w:color="auto"/>
            <w:bottom w:val="none" w:sz="0" w:space="0" w:color="auto"/>
            <w:right w:val="none" w:sz="0" w:space="0" w:color="auto"/>
          </w:divBdr>
        </w:div>
        <w:div w:id="495078731">
          <w:marLeft w:val="0"/>
          <w:marRight w:val="0"/>
          <w:marTop w:val="0"/>
          <w:marBottom w:val="0"/>
          <w:divBdr>
            <w:top w:val="none" w:sz="0" w:space="0" w:color="auto"/>
            <w:left w:val="none" w:sz="0" w:space="0" w:color="auto"/>
            <w:bottom w:val="none" w:sz="0" w:space="0" w:color="auto"/>
            <w:right w:val="none" w:sz="0" w:space="0" w:color="auto"/>
          </w:divBdr>
        </w:div>
        <w:div w:id="1549755825">
          <w:marLeft w:val="0"/>
          <w:marRight w:val="0"/>
          <w:marTop w:val="0"/>
          <w:marBottom w:val="0"/>
          <w:divBdr>
            <w:top w:val="none" w:sz="0" w:space="0" w:color="auto"/>
            <w:left w:val="none" w:sz="0" w:space="0" w:color="auto"/>
            <w:bottom w:val="none" w:sz="0" w:space="0" w:color="auto"/>
            <w:right w:val="none" w:sz="0" w:space="0" w:color="auto"/>
          </w:divBdr>
        </w:div>
        <w:div w:id="1706982767">
          <w:marLeft w:val="0"/>
          <w:marRight w:val="0"/>
          <w:marTop w:val="0"/>
          <w:marBottom w:val="0"/>
          <w:divBdr>
            <w:top w:val="none" w:sz="0" w:space="0" w:color="auto"/>
            <w:left w:val="none" w:sz="0" w:space="0" w:color="auto"/>
            <w:bottom w:val="none" w:sz="0" w:space="0" w:color="auto"/>
            <w:right w:val="none" w:sz="0" w:space="0" w:color="auto"/>
          </w:divBdr>
        </w:div>
        <w:div w:id="1037244494">
          <w:marLeft w:val="0"/>
          <w:marRight w:val="0"/>
          <w:marTop w:val="0"/>
          <w:marBottom w:val="0"/>
          <w:divBdr>
            <w:top w:val="none" w:sz="0" w:space="0" w:color="auto"/>
            <w:left w:val="none" w:sz="0" w:space="0" w:color="auto"/>
            <w:bottom w:val="none" w:sz="0" w:space="0" w:color="auto"/>
            <w:right w:val="none" w:sz="0" w:space="0" w:color="auto"/>
          </w:divBdr>
        </w:div>
        <w:div w:id="170337922">
          <w:marLeft w:val="0"/>
          <w:marRight w:val="0"/>
          <w:marTop w:val="0"/>
          <w:marBottom w:val="0"/>
          <w:divBdr>
            <w:top w:val="none" w:sz="0" w:space="0" w:color="auto"/>
            <w:left w:val="none" w:sz="0" w:space="0" w:color="auto"/>
            <w:bottom w:val="none" w:sz="0" w:space="0" w:color="auto"/>
            <w:right w:val="none" w:sz="0" w:space="0" w:color="auto"/>
          </w:divBdr>
        </w:div>
        <w:div w:id="1866409585">
          <w:marLeft w:val="0"/>
          <w:marRight w:val="0"/>
          <w:marTop w:val="0"/>
          <w:marBottom w:val="0"/>
          <w:divBdr>
            <w:top w:val="none" w:sz="0" w:space="0" w:color="auto"/>
            <w:left w:val="none" w:sz="0" w:space="0" w:color="auto"/>
            <w:bottom w:val="none" w:sz="0" w:space="0" w:color="auto"/>
            <w:right w:val="none" w:sz="0" w:space="0" w:color="auto"/>
          </w:divBdr>
        </w:div>
        <w:div w:id="1108697447">
          <w:marLeft w:val="0"/>
          <w:marRight w:val="0"/>
          <w:marTop w:val="0"/>
          <w:marBottom w:val="0"/>
          <w:divBdr>
            <w:top w:val="none" w:sz="0" w:space="0" w:color="auto"/>
            <w:left w:val="none" w:sz="0" w:space="0" w:color="auto"/>
            <w:bottom w:val="none" w:sz="0" w:space="0" w:color="auto"/>
            <w:right w:val="none" w:sz="0" w:space="0" w:color="auto"/>
          </w:divBdr>
        </w:div>
        <w:div w:id="1557004834">
          <w:marLeft w:val="0"/>
          <w:marRight w:val="0"/>
          <w:marTop w:val="0"/>
          <w:marBottom w:val="0"/>
          <w:divBdr>
            <w:top w:val="none" w:sz="0" w:space="0" w:color="auto"/>
            <w:left w:val="none" w:sz="0" w:space="0" w:color="auto"/>
            <w:bottom w:val="none" w:sz="0" w:space="0" w:color="auto"/>
            <w:right w:val="none" w:sz="0" w:space="0" w:color="auto"/>
          </w:divBdr>
        </w:div>
        <w:div w:id="1806853559">
          <w:marLeft w:val="0"/>
          <w:marRight w:val="0"/>
          <w:marTop w:val="0"/>
          <w:marBottom w:val="0"/>
          <w:divBdr>
            <w:top w:val="none" w:sz="0" w:space="0" w:color="auto"/>
            <w:left w:val="none" w:sz="0" w:space="0" w:color="auto"/>
            <w:bottom w:val="none" w:sz="0" w:space="0" w:color="auto"/>
            <w:right w:val="none" w:sz="0" w:space="0" w:color="auto"/>
          </w:divBdr>
        </w:div>
        <w:div w:id="1455783879">
          <w:marLeft w:val="0"/>
          <w:marRight w:val="0"/>
          <w:marTop w:val="0"/>
          <w:marBottom w:val="0"/>
          <w:divBdr>
            <w:top w:val="none" w:sz="0" w:space="0" w:color="auto"/>
            <w:left w:val="none" w:sz="0" w:space="0" w:color="auto"/>
            <w:bottom w:val="none" w:sz="0" w:space="0" w:color="auto"/>
            <w:right w:val="none" w:sz="0" w:space="0" w:color="auto"/>
          </w:divBdr>
        </w:div>
        <w:div w:id="558130588">
          <w:marLeft w:val="0"/>
          <w:marRight w:val="0"/>
          <w:marTop w:val="0"/>
          <w:marBottom w:val="0"/>
          <w:divBdr>
            <w:top w:val="none" w:sz="0" w:space="0" w:color="auto"/>
            <w:left w:val="none" w:sz="0" w:space="0" w:color="auto"/>
            <w:bottom w:val="none" w:sz="0" w:space="0" w:color="auto"/>
            <w:right w:val="none" w:sz="0" w:space="0" w:color="auto"/>
          </w:divBdr>
        </w:div>
        <w:div w:id="945424679">
          <w:marLeft w:val="0"/>
          <w:marRight w:val="0"/>
          <w:marTop w:val="0"/>
          <w:marBottom w:val="0"/>
          <w:divBdr>
            <w:top w:val="none" w:sz="0" w:space="0" w:color="auto"/>
            <w:left w:val="none" w:sz="0" w:space="0" w:color="auto"/>
            <w:bottom w:val="none" w:sz="0" w:space="0" w:color="auto"/>
            <w:right w:val="none" w:sz="0" w:space="0" w:color="auto"/>
          </w:divBdr>
        </w:div>
        <w:div w:id="497044393">
          <w:marLeft w:val="0"/>
          <w:marRight w:val="0"/>
          <w:marTop w:val="0"/>
          <w:marBottom w:val="0"/>
          <w:divBdr>
            <w:top w:val="none" w:sz="0" w:space="0" w:color="auto"/>
            <w:left w:val="none" w:sz="0" w:space="0" w:color="auto"/>
            <w:bottom w:val="none" w:sz="0" w:space="0" w:color="auto"/>
            <w:right w:val="none" w:sz="0" w:space="0" w:color="auto"/>
          </w:divBdr>
        </w:div>
        <w:div w:id="773749217">
          <w:marLeft w:val="0"/>
          <w:marRight w:val="0"/>
          <w:marTop w:val="0"/>
          <w:marBottom w:val="0"/>
          <w:divBdr>
            <w:top w:val="none" w:sz="0" w:space="0" w:color="auto"/>
            <w:left w:val="none" w:sz="0" w:space="0" w:color="auto"/>
            <w:bottom w:val="none" w:sz="0" w:space="0" w:color="auto"/>
            <w:right w:val="none" w:sz="0" w:space="0" w:color="auto"/>
          </w:divBdr>
        </w:div>
        <w:div w:id="1513380141">
          <w:marLeft w:val="0"/>
          <w:marRight w:val="0"/>
          <w:marTop w:val="0"/>
          <w:marBottom w:val="0"/>
          <w:divBdr>
            <w:top w:val="none" w:sz="0" w:space="0" w:color="auto"/>
            <w:left w:val="none" w:sz="0" w:space="0" w:color="auto"/>
            <w:bottom w:val="none" w:sz="0" w:space="0" w:color="auto"/>
            <w:right w:val="none" w:sz="0" w:space="0" w:color="auto"/>
          </w:divBdr>
        </w:div>
        <w:div w:id="592470503">
          <w:marLeft w:val="0"/>
          <w:marRight w:val="0"/>
          <w:marTop w:val="0"/>
          <w:marBottom w:val="0"/>
          <w:divBdr>
            <w:top w:val="none" w:sz="0" w:space="0" w:color="auto"/>
            <w:left w:val="none" w:sz="0" w:space="0" w:color="auto"/>
            <w:bottom w:val="none" w:sz="0" w:space="0" w:color="auto"/>
            <w:right w:val="none" w:sz="0" w:space="0" w:color="auto"/>
          </w:divBdr>
        </w:div>
        <w:div w:id="3673438">
          <w:marLeft w:val="0"/>
          <w:marRight w:val="0"/>
          <w:marTop w:val="0"/>
          <w:marBottom w:val="0"/>
          <w:divBdr>
            <w:top w:val="none" w:sz="0" w:space="0" w:color="auto"/>
            <w:left w:val="none" w:sz="0" w:space="0" w:color="auto"/>
            <w:bottom w:val="none" w:sz="0" w:space="0" w:color="auto"/>
            <w:right w:val="none" w:sz="0" w:space="0" w:color="auto"/>
          </w:divBdr>
        </w:div>
        <w:div w:id="1683581796">
          <w:marLeft w:val="0"/>
          <w:marRight w:val="0"/>
          <w:marTop w:val="0"/>
          <w:marBottom w:val="0"/>
          <w:divBdr>
            <w:top w:val="none" w:sz="0" w:space="0" w:color="auto"/>
            <w:left w:val="none" w:sz="0" w:space="0" w:color="auto"/>
            <w:bottom w:val="none" w:sz="0" w:space="0" w:color="auto"/>
            <w:right w:val="none" w:sz="0" w:space="0" w:color="auto"/>
          </w:divBdr>
        </w:div>
        <w:div w:id="2066445565">
          <w:marLeft w:val="0"/>
          <w:marRight w:val="0"/>
          <w:marTop w:val="0"/>
          <w:marBottom w:val="0"/>
          <w:divBdr>
            <w:top w:val="none" w:sz="0" w:space="0" w:color="auto"/>
            <w:left w:val="none" w:sz="0" w:space="0" w:color="auto"/>
            <w:bottom w:val="none" w:sz="0" w:space="0" w:color="auto"/>
            <w:right w:val="none" w:sz="0" w:space="0" w:color="auto"/>
          </w:divBdr>
        </w:div>
        <w:div w:id="825047093">
          <w:marLeft w:val="0"/>
          <w:marRight w:val="0"/>
          <w:marTop w:val="0"/>
          <w:marBottom w:val="0"/>
          <w:divBdr>
            <w:top w:val="none" w:sz="0" w:space="0" w:color="auto"/>
            <w:left w:val="none" w:sz="0" w:space="0" w:color="auto"/>
            <w:bottom w:val="none" w:sz="0" w:space="0" w:color="auto"/>
            <w:right w:val="none" w:sz="0" w:space="0" w:color="auto"/>
          </w:divBdr>
        </w:div>
        <w:div w:id="1871869724">
          <w:marLeft w:val="0"/>
          <w:marRight w:val="0"/>
          <w:marTop w:val="0"/>
          <w:marBottom w:val="0"/>
          <w:divBdr>
            <w:top w:val="none" w:sz="0" w:space="0" w:color="auto"/>
            <w:left w:val="none" w:sz="0" w:space="0" w:color="auto"/>
            <w:bottom w:val="none" w:sz="0" w:space="0" w:color="auto"/>
            <w:right w:val="none" w:sz="0" w:space="0" w:color="auto"/>
          </w:divBdr>
        </w:div>
        <w:div w:id="406192283">
          <w:marLeft w:val="0"/>
          <w:marRight w:val="0"/>
          <w:marTop w:val="0"/>
          <w:marBottom w:val="0"/>
          <w:divBdr>
            <w:top w:val="none" w:sz="0" w:space="0" w:color="auto"/>
            <w:left w:val="none" w:sz="0" w:space="0" w:color="auto"/>
            <w:bottom w:val="none" w:sz="0" w:space="0" w:color="auto"/>
            <w:right w:val="none" w:sz="0" w:space="0" w:color="auto"/>
          </w:divBdr>
        </w:div>
        <w:div w:id="870528762">
          <w:marLeft w:val="0"/>
          <w:marRight w:val="0"/>
          <w:marTop w:val="0"/>
          <w:marBottom w:val="0"/>
          <w:divBdr>
            <w:top w:val="none" w:sz="0" w:space="0" w:color="auto"/>
            <w:left w:val="none" w:sz="0" w:space="0" w:color="auto"/>
            <w:bottom w:val="none" w:sz="0" w:space="0" w:color="auto"/>
            <w:right w:val="none" w:sz="0" w:space="0" w:color="auto"/>
          </w:divBdr>
        </w:div>
        <w:div w:id="836068777">
          <w:marLeft w:val="0"/>
          <w:marRight w:val="0"/>
          <w:marTop w:val="0"/>
          <w:marBottom w:val="0"/>
          <w:divBdr>
            <w:top w:val="none" w:sz="0" w:space="0" w:color="auto"/>
            <w:left w:val="none" w:sz="0" w:space="0" w:color="auto"/>
            <w:bottom w:val="none" w:sz="0" w:space="0" w:color="auto"/>
            <w:right w:val="none" w:sz="0" w:space="0" w:color="auto"/>
          </w:divBdr>
        </w:div>
        <w:div w:id="869030307">
          <w:marLeft w:val="0"/>
          <w:marRight w:val="0"/>
          <w:marTop w:val="0"/>
          <w:marBottom w:val="0"/>
          <w:divBdr>
            <w:top w:val="none" w:sz="0" w:space="0" w:color="auto"/>
            <w:left w:val="none" w:sz="0" w:space="0" w:color="auto"/>
            <w:bottom w:val="none" w:sz="0" w:space="0" w:color="auto"/>
            <w:right w:val="none" w:sz="0" w:space="0" w:color="auto"/>
          </w:divBdr>
        </w:div>
        <w:div w:id="1961184676">
          <w:marLeft w:val="0"/>
          <w:marRight w:val="0"/>
          <w:marTop w:val="0"/>
          <w:marBottom w:val="0"/>
          <w:divBdr>
            <w:top w:val="none" w:sz="0" w:space="0" w:color="auto"/>
            <w:left w:val="none" w:sz="0" w:space="0" w:color="auto"/>
            <w:bottom w:val="none" w:sz="0" w:space="0" w:color="auto"/>
            <w:right w:val="none" w:sz="0" w:space="0" w:color="auto"/>
          </w:divBdr>
        </w:div>
        <w:div w:id="780537921">
          <w:marLeft w:val="0"/>
          <w:marRight w:val="0"/>
          <w:marTop w:val="0"/>
          <w:marBottom w:val="0"/>
          <w:divBdr>
            <w:top w:val="none" w:sz="0" w:space="0" w:color="auto"/>
            <w:left w:val="none" w:sz="0" w:space="0" w:color="auto"/>
            <w:bottom w:val="none" w:sz="0" w:space="0" w:color="auto"/>
            <w:right w:val="none" w:sz="0" w:space="0" w:color="auto"/>
          </w:divBdr>
        </w:div>
        <w:div w:id="565070981">
          <w:marLeft w:val="0"/>
          <w:marRight w:val="0"/>
          <w:marTop w:val="0"/>
          <w:marBottom w:val="0"/>
          <w:divBdr>
            <w:top w:val="none" w:sz="0" w:space="0" w:color="auto"/>
            <w:left w:val="none" w:sz="0" w:space="0" w:color="auto"/>
            <w:bottom w:val="none" w:sz="0" w:space="0" w:color="auto"/>
            <w:right w:val="none" w:sz="0" w:space="0" w:color="auto"/>
          </w:divBdr>
        </w:div>
        <w:div w:id="914046595">
          <w:marLeft w:val="0"/>
          <w:marRight w:val="0"/>
          <w:marTop w:val="0"/>
          <w:marBottom w:val="0"/>
          <w:divBdr>
            <w:top w:val="none" w:sz="0" w:space="0" w:color="auto"/>
            <w:left w:val="none" w:sz="0" w:space="0" w:color="auto"/>
            <w:bottom w:val="none" w:sz="0" w:space="0" w:color="auto"/>
            <w:right w:val="none" w:sz="0" w:space="0" w:color="auto"/>
          </w:divBdr>
        </w:div>
        <w:div w:id="1119685718">
          <w:marLeft w:val="0"/>
          <w:marRight w:val="0"/>
          <w:marTop w:val="0"/>
          <w:marBottom w:val="0"/>
          <w:divBdr>
            <w:top w:val="none" w:sz="0" w:space="0" w:color="auto"/>
            <w:left w:val="none" w:sz="0" w:space="0" w:color="auto"/>
            <w:bottom w:val="none" w:sz="0" w:space="0" w:color="auto"/>
            <w:right w:val="none" w:sz="0" w:space="0" w:color="auto"/>
          </w:divBdr>
        </w:div>
        <w:div w:id="1235043843">
          <w:marLeft w:val="0"/>
          <w:marRight w:val="0"/>
          <w:marTop w:val="0"/>
          <w:marBottom w:val="0"/>
          <w:divBdr>
            <w:top w:val="none" w:sz="0" w:space="0" w:color="auto"/>
            <w:left w:val="none" w:sz="0" w:space="0" w:color="auto"/>
            <w:bottom w:val="none" w:sz="0" w:space="0" w:color="auto"/>
            <w:right w:val="none" w:sz="0" w:space="0" w:color="auto"/>
          </w:divBdr>
        </w:div>
        <w:div w:id="1903445058">
          <w:marLeft w:val="0"/>
          <w:marRight w:val="0"/>
          <w:marTop w:val="0"/>
          <w:marBottom w:val="0"/>
          <w:divBdr>
            <w:top w:val="none" w:sz="0" w:space="0" w:color="auto"/>
            <w:left w:val="none" w:sz="0" w:space="0" w:color="auto"/>
            <w:bottom w:val="none" w:sz="0" w:space="0" w:color="auto"/>
            <w:right w:val="none" w:sz="0" w:space="0" w:color="auto"/>
          </w:divBdr>
        </w:div>
        <w:div w:id="581715756">
          <w:marLeft w:val="0"/>
          <w:marRight w:val="0"/>
          <w:marTop w:val="0"/>
          <w:marBottom w:val="0"/>
          <w:divBdr>
            <w:top w:val="none" w:sz="0" w:space="0" w:color="auto"/>
            <w:left w:val="none" w:sz="0" w:space="0" w:color="auto"/>
            <w:bottom w:val="none" w:sz="0" w:space="0" w:color="auto"/>
            <w:right w:val="none" w:sz="0" w:space="0" w:color="auto"/>
          </w:divBdr>
        </w:div>
        <w:div w:id="2006131214">
          <w:marLeft w:val="0"/>
          <w:marRight w:val="0"/>
          <w:marTop w:val="0"/>
          <w:marBottom w:val="0"/>
          <w:divBdr>
            <w:top w:val="none" w:sz="0" w:space="0" w:color="auto"/>
            <w:left w:val="none" w:sz="0" w:space="0" w:color="auto"/>
            <w:bottom w:val="none" w:sz="0" w:space="0" w:color="auto"/>
            <w:right w:val="none" w:sz="0" w:space="0" w:color="auto"/>
          </w:divBdr>
        </w:div>
        <w:div w:id="283929745">
          <w:marLeft w:val="0"/>
          <w:marRight w:val="0"/>
          <w:marTop w:val="0"/>
          <w:marBottom w:val="0"/>
          <w:divBdr>
            <w:top w:val="none" w:sz="0" w:space="0" w:color="auto"/>
            <w:left w:val="none" w:sz="0" w:space="0" w:color="auto"/>
            <w:bottom w:val="none" w:sz="0" w:space="0" w:color="auto"/>
            <w:right w:val="none" w:sz="0" w:space="0" w:color="auto"/>
          </w:divBdr>
        </w:div>
        <w:div w:id="212665454">
          <w:marLeft w:val="0"/>
          <w:marRight w:val="0"/>
          <w:marTop w:val="0"/>
          <w:marBottom w:val="0"/>
          <w:divBdr>
            <w:top w:val="none" w:sz="0" w:space="0" w:color="auto"/>
            <w:left w:val="none" w:sz="0" w:space="0" w:color="auto"/>
            <w:bottom w:val="none" w:sz="0" w:space="0" w:color="auto"/>
            <w:right w:val="none" w:sz="0" w:space="0" w:color="auto"/>
          </w:divBdr>
        </w:div>
        <w:div w:id="1760373882">
          <w:marLeft w:val="0"/>
          <w:marRight w:val="0"/>
          <w:marTop w:val="0"/>
          <w:marBottom w:val="0"/>
          <w:divBdr>
            <w:top w:val="none" w:sz="0" w:space="0" w:color="auto"/>
            <w:left w:val="none" w:sz="0" w:space="0" w:color="auto"/>
            <w:bottom w:val="none" w:sz="0" w:space="0" w:color="auto"/>
            <w:right w:val="none" w:sz="0" w:space="0" w:color="auto"/>
          </w:divBdr>
        </w:div>
        <w:div w:id="1538158506">
          <w:marLeft w:val="0"/>
          <w:marRight w:val="0"/>
          <w:marTop w:val="0"/>
          <w:marBottom w:val="0"/>
          <w:divBdr>
            <w:top w:val="none" w:sz="0" w:space="0" w:color="auto"/>
            <w:left w:val="none" w:sz="0" w:space="0" w:color="auto"/>
            <w:bottom w:val="none" w:sz="0" w:space="0" w:color="auto"/>
            <w:right w:val="none" w:sz="0" w:space="0" w:color="auto"/>
          </w:divBdr>
        </w:div>
        <w:div w:id="2086338717">
          <w:marLeft w:val="0"/>
          <w:marRight w:val="0"/>
          <w:marTop w:val="0"/>
          <w:marBottom w:val="0"/>
          <w:divBdr>
            <w:top w:val="none" w:sz="0" w:space="0" w:color="auto"/>
            <w:left w:val="none" w:sz="0" w:space="0" w:color="auto"/>
            <w:bottom w:val="none" w:sz="0" w:space="0" w:color="auto"/>
            <w:right w:val="none" w:sz="0" w:space="0" w:color="auto"/>
          </w:divBdr>
        </w:div>
        <w:div w:id="121585051">
          <w:marLeft w:val="0"/>
          <w:marRight w:val="0"/>
          <w:marTop w:val="0"/>
          <w:marBottom w:val="0"/>
          <w:divBdr>
            <w:top w:val="none" w:sz="0" w:space="0" w:color="auto"/>
            <w:left w:val="none" w:sz="0" w:space="0" w:color="auto"/>
            <w:bottom w:val="none" w:sz="0" w:space="0" w:color="auto"/>
            <w:right w:val="none" w:sz="0" w:space="0" w:color="auto"/>
          </w:divBdr>
        </w:div>
        <w:div w:id="1918442604">
          <w:marLeft w:val="0"/>
          <w:marRight w:val="0"/>
          <w:marTop w:val="0"/>
          <w:marBottom w:val="0"/>
          <w:divBdr>
            <w:top w:val="none" w:sz="0" w:space="0" w:color="auto"/>
            <w:left w:val="none" w:sz="0" w:space="0" w:color="auto"/>
            <w:bottom w:val="none" w:sz="0" w:space="0" w:color="auto"/>
            <w:right w:val="none" w:sz="0" w:space="0" w:color="auto"/>
          </w:divBdr>
        </w:div>
        <w:div w:id="1781685452">
          <w:marLeft w:val="0"/>
          <w:marRight w:val="0"/>
          <w:marTop w:val="0"/>
          <w:marBottom w:val="0"/>
          <w:divBdr>
            <w:top w:val="none" w:sz="0" w:space="0" w:color="auto"/>
            <w:left w:val="none" w:sz="0" w:space="0" w:color="auto"/>
            <w:bottom w:val="none" w:sz="0" w:space="0" w:color="auto"/>
            <w:right w:val="none" w:sz="0" w:space="0" w:color="auto"/>
          </w:divBdr>
        </w:div>
        <w:div w:id="497889167">
          <w:marLeft w:val="0"/>
          <w:marRight w:val="0"/>
          <w:marTop w:val="0"/>
          <w:marBottom w:val="0"/>
          <w:divBdr>
            <w:top w:val="none" w:sz="0" w:space="0" w:color="auto"/>
            <w:left w:val="none" w:sz="0" w:space="0" w:color="auto"/>
            <w:bottom w:val="none" w:sz="0" w:space="0" w:color="auto"/>
            <w:right w:val="none" w:sz="0" w:space="0" w:color="auto"/>
          </w:divBdr>
        </w:div>
        <w:div w:id="619607612">
          <w:marLeft w:val="0"/>
          <w:marRight w:val="0"/>
          <w:marTop w:val="0"/>
          <w:marBottom w:val="0"/>
          <w:divBdr>
            <w:top w:val="none" w:sz="0" w:space="0" w:color="auto"/>
            <w:left w:val="none" w:sz="0" w:space="0" w:color="auto"/>
            <w:bottom w:val="none" w:sz="0" w:space="0" w:color="auto"/>
            <w:right w:val="none" w:sz="0" w:space="0" w:color="auto"/>
          </w:divBdr>
        </w:div>
        <w:div w:id="293875323">
          <w:marLeft w:val="0"/>
          <w:marRight w:val="0"/>
          <w:marTop w:val="0"/>
          <w:marBottom w:val="0"/>
          <w:divBdr>
            <w:top w:val="none" w:sz="0" w:space="0" w:color="auto"/>
            <w:left w:val="none" w:sz="0" w:space="0" w:color="auto"/>
            <w:bottom w:val="none" w:sz="0" w:space="0" w:color="auto"/>
            <w:right w:val="none" w:sz="0" w:space="0" w:color="auto"/>
          </w:divBdr>
        </w:div>
        <w:div w:id="825979224">
          <w:marLeft w:val="0"/>
          <w:marRight w:val="0"/>
          <w:marTop w:val="0"/>
          <w:marBottom w:val="0"/>
          <w:divBdr>
            <w:top w:val="none" w:sz="0" w:space="0" w:color="auto"/>
            <w:left w:val="none" w:sz="0" w:space="0" w:color="auto"/>
            <w:bottom w:val="none" w:sz="0" w:space="0" w:color="auto"/>
            <w:right w:val="none" w:sz="0" w:space="0" w:color="auto"/>
          </w:divBdr>
        </w:div>
        <w:div w:id="2033456405">
          <w:marLeft w:val="0"/>
          <w:marRight w:val="0"/>
          <w:marTop w:val="0"/>
          <w:marBottom w:val="0"/>
          <w:divBdr>
            <w:top w:val="none" w:sz="0" w:space="0" w:color="auto"/>
            <w:left w:val="none" w:sz="0" w:space="0" w:color="auto"/>
            <w:bottom w:val="none" w:sz="0" w:space="0" w:color="auto"/>
            <w:right w:val="none" w:sz="0" w:space="0" w:color="auto"/>
          </w:divBdr>
        </w:div>
        <w:div w:id="1183085162">
          <w:marLeft w:val="0"/>
          <w:marRight w:val="0"/>
          <w:marTop w:val="0"/>
          <w:marBottom w:val="0"/>
          <w:divBdr>
            <w:top w:val="none" w:sz="0" w:space="0" w:color="auto"/>
            <w:left w:val="none" w:sz="0" w:space="0" w:color="auto"/>
            <w:bottom w:val="none" w:sz="0" w:space="0" w:color="auto"/>
            <w:right w:val="none" w:sz="0" w:space="0" w:color="auto"/>
          </w:divBdr>
        </w:div>
        <w:div w:id="1693068517">
          <w:marLeft w:val="0"/>
          <w:marRight w:val="0"/>
          <w:marTop w:val="0"/>
          <w:marBottom w:val="0"/>
          <w:divBdr>
            <w:top w:val="none" w:sz="0" w:space="0" w:color="auto"/>
            <w:left w:val="none" w:sz="0" w:space="0" w:color="auto"/>
            <w:bottom w:val="none" w:sz="0" w:space="0" w:color="auto"/>
            <w:right w:val="none" w:sz="0" w:space="0" w:color="auto"/>
          </w:divBdr>
        </w:div>
        <w:div w:id="819229133">
          <w:marLeft w:val="0"/>
          <w:marRight w:val="0"/>
          <w:marTop w:val="0"/>
          <w:marBottom w:val="0"/>
          <w:divBdr>
            <w:top w:val="none" w:sz="0" w:space="0" w:color="auto"/>
            <w:left w:val="none" w:sz="0" w:space="0" w:color="auto"/>
            <w:bottom w:val="none" w:sz="0" w:space="0" w:color="auto"/>
            <w:right w:val="none" w:sz="0" w:space="0" w:color="auto"/>
          </w:divBdr>
        </w:div>
        <w:div w:id="1580938762">
          <w:marLeft w:val="0"/>
          <w:marRight w:val="0"/>
          <w:marTop w:val="0"/>
          <w:marBottom w:val="0"/>
          <w:divBdr>
            <w:top w:val="none" w:sz="0" w:space="0" w:color="auto"/>
            <w:left w:val="none" w:sz="0" w:space="0" w:color="auto"/>
            <w:bottom w:val="none" w:sz="0" w:space="0" w:color="auto"/>
            <w:right w:val="none" w:sz="0" w:space="0" w:color="auto"/>
          </w:divBdr>
        </w:div>
        <w:div w:id="833491011">
          <w:marLeft w:val="0"/>
          <w:marRight w:val="0"/>
          <w:marTop w:val="0"/>
          <w:marBottom w:val="0"/>
          <w:divBdr>
            <w:top w:val="none" w:sz="0" w:space="0" w:color="auto"/>
            <w:left w:val="none" w:sz="0" w:space="0" w:color="auto"/>
            <w:bottom w:val="none" w:sz="0" w:space="0" w:color="auto"/>
            <w:right w:val="none" w:sz="0" w:space="0" w:color="auto"/>
          </w:divBdr>
        </w:div>
        <w:div w:id="1649430442">
          <w:marLeft w:val="0"/>
          <w:marRight w:val="0"/>
          <w:marTop w:val="0"/>
          <w:marBottom w:val="0"/>
          <w:divBdr>
            <w:top w:val="none" w:sz="0" w:space="0" w:color="auto"/>
            <w:left w:val="none" w:sz="0" w:space="0" w:color="auto"/>
            <w:bottom w:val="none" w:sz="0" w:space="0" w:color="auto"/>
            <w:right w:val="none" w:sz="0" w:space="0" w:color="auto"/>
          </w:divBdr>
        </w:div>
        <w:div w:id="1152940238">
          <w:marLeft w:val="0"/>
          <w:marRight w:val="0"/>
          <w:marTop w:val="0"/>
          <w:marBottom w:val="0"/>
          <w:divBdr>
            <w:top w:val="none" w:sz="0" w:space="0" w:color="auto"/>
            <w:left w:val="none" w:sz="0" w:space="0" w:color="auto"/>
            <w:bottom w:val="none" w:sz="0" w:space="0" w:color="auto"/>
            <w:right w:val="none" w:sz="0" w:space="0" w:color="auto"/>
          </w:divBdr>
        </w:div>
        <w:div w:id="602149766">
          <w:marLeft w:val="0"/>
          <w:marRight w:val="0"/>
          <w:marTop w:val="0"/>
          <w:marBottom w:val="0"/>
          <w:divBdr>
            <w:top w:val="none" w:sz="0" w:space="0" w:color="auto"/>
            <w:left w:val="none" w:sz="0" w:space="0" w:color="auto"/>
            <w:bottom w:val="none" w:sz="0" w:space="0" w:color="auto"/>
            <w:right w:val="none" w:sz="0" w:space="0" w:color="auto"/>
          </w:divBdr>
        </w:div>
        <w:div w:id="289094873">
          <w:marLeft w:val="0"/>
          <w:marRight w:val="0"/>
          <w:marTop w:val="0"/>
          <w:marBottom w:val="0"/>
          <w:divBdr>
            <w:top w:val="none" w:sz="0" w:space="0" w:color="auto"/>
            <w:left w:val="none" w:sz="0" w:space="0" w:color="auto"/>
            <w:bottom w:val="none" w:sz="0" w:space="0" w:color="auto"/>
            <w:right w:val="none" w:sz="0" w:space="0" w:color="auto"/>
          </w:divBdr>
        </w:div>
        <w:div w:id="1564217461">
          <w:marLeft w:val="0"/>
          <w:marRight w:val="0"/>
          <w:marTop w:val="0"/>
          <w:marBottom w:val="0"/>
          <w:divBdr>
            <w:top w:val="none" w:sz="0" w:space="0" w:color="auto"/>
            <w:left w:val="none" w:sz="0" w:space="0" w:color="auto"/>
            <w:bottom w:val="none" w:sz="0" w:space="0" w:color="auto"/>
            <w:right w:val="none" w:sz="0" w:space="0" w:color="auto"/>
          </w:divBdr>
        </w:div>
        <w:div w:id="1857111939">
          <w:marLeft w:val="0"/>
          <w:marRight w:val="0"/>
          <w:marTop w:val="0"/>
          <w:marBottom w:val="0"/>
          <w:divBdr>
            <w:top w:val="none" w:sz="0" w:space="0" w:color="auto"/>
            <w:left w:val="none" w:sz="0" w:space="0" w:color="auto"/>
            <w:bottom w:val="none" w:sz="0" w:space="0" w:color="auto"/>
            <w:right w:val="none" w:sz="0" w:space="0" w:color="auto"/>
          </w:divBdr>
        </w:div>
        <w:div w:id="86508702">
          <w:marLeft w:val="0"/>
          <w:marRight w:val="0"/>
          <w:marTop w:val="0"/>
          <w:marBottom w:val="0"/>
          <w:divBdr>
            <w:top w:val="none" w:sz="0" w:space="0" w:color="auto"/>
            <w:left w:val="none" w:sz="0" w:space="0" w:color="auto"/>
            <w:bottom w:val="none" w:sz="0" w:space="0" w:color="auto"/>
            <w:right w:val="none" w:sz="0" w:space="0" w:color="auto"/>
          </w:divBdr>
        </w:div>
        <w:div w:id="643852193">
          <w:marLeft w:val="0"/>
          <w:marRight w:val="0"/>
          <w:marTop w:val="0"/>
          <w:marBottom w:val="0"/>
          <w:divBdr>
            <w:top w:val="none" w:sz="0" w:space="0" w:color="auto"/>
            <w:left w:val="none" w:sz="0" w:space="0" w:color="auto"/>
            <w:bottom w:val="none" w:sz="0" w:space="0" w:color="auto"/>
            <w:right w:val="none" w:sz="0" w:space="0" w:color="auto"/>
          </w:divBdr>
        </w:div>
        <w:div w:id="624696954">
          <w:marLeft w:val="0"/>
          <w:marRight w:val="0"/>
          <w:marTop w:val="0"/>
          <w:marBottom w:val="0"/>
          <w:divBdr>
            <w:top w:val="none" w:sz="0" w:space="0" w:color="auto"/>
            <w:left w:val="none" w:sz="0" w:space="0" w:color="auto"/>
            <w:bottom w:val="none" w:sz="0" w:space="0" w:color="auto"/>
            <w:right w:val="none" w:sz="0" w:space="0" w:color="auto"/>
          </w:divBdr>
        </w:div>
        <w:div w:id="1177619699">
          <w:marLeft w:val="0"/>
          <w:marRight w:val="0"/>
          <w:marTop w:val="0"/>
          <w:marBottom w:val="0"/>
          <w:divBdr>
            <w:top w:val="none" w:sz="0" w:space="0" w:color="auto"/>
            <w:left w:val="none" w:sz="0" w:space="0" w:color="auto"/>
            <w:bottom w:val="none" w:sz="0" w:space="0" w:color="auto"/>
            <w:right w:val="none" w:sz="0" w:space="0" w:color="auto"/>
          </w:divBdr>
        </w:div>
        <w:div w:id="1690175398">
          <w:marLeft w:val="0"/>
          <w:marRight w:val="0"/>
          <w:marTop w:val="0"/>
          <w:marBottom w:val="0"/>
          <w:divBdr>
            <w:top w:val="none" w:sz="0" w:space="0" w:color="auto"/>
            <w:left w:val="none" w:sz="0" w:space="0" w:color="auto"/>
            <w:bottom w:val="none" w:sz="0" w:space="0" w:color="auto"/>
            <w:right w:val="none" w:sz="0" w:space="0" w:color="auto"/>
          </w:divBdr>
        </w:div>
        <w:div w:id="56707762">
          <w:marLeft w:val="0"/>
          <w:marRight w:val="0"/>
          <w:marTop w:val="0"/>
          <w:marBottom w:val="0"/>
          <w:divBdr>
            <w:top w:val="none" w:sz="0" w:space="0" w:color="auto"/>
            <w:left w:val="none" w:sz="0" w:space="0" w:color="auto"/>
            <w:bottom w:val="none" w:sz="0" w:space="0" w:color="auto"/>
            <w:right w:val="none" w:sz="0" w:space="0" w:color="auto"/>
          </w:divBdr>
        </w:div>
        <w:div w:id="782306318">
          <w:marLeft w:val="0"/>
          <w:marRight w:val="0"/>
          <w:marTop w:val="0"/>
          <w:marBottom w:val="0"/>
          <w:divBdr>
            <w:top w:val="none" w:sz="0" w:space="0" w:color="auto"/>
            <w:left w:val="none" w:sz="0" w:space="0" w:color="auto"/>
            <w:bottom w:val="none" w:sz="0" w:space="0" w:color="auto"/>
            <w:right w:val="none" w:sz="0" w:space="0" w:color="auto"/>
          </w:divBdr>
        </w:div>
        <w:div w:id="185674843">
          <w:marLeft w:val="0"/>
          <w:marRight w:val="0"/>
          <w:marTop w:val="0"/>
          <w:marBottom w:val="0"/>
          <w:divBdr>
            <w:top w:val="none" w:sz="0" w:space="0" w:color="auto"/>
            <w:left w:val="none" w:sz="0" w:space="0" w:color="auto"/>
            <w:bottom w:val="none" w:sz="0" w:space="0" w:color="auto"/>
            <w:right w:val="none" w:sz="0" w:space="0" w:color="auto"/>
          </w:divBdr>
        </w:div>
        <w:div w:id="1090084608">
          <w:marLeft w:val="0"/>
          <w:marRight w:val="0"/>
          <w:marTop w:val="0"/>
          <w:marBottom w:val="0"/>
          <w:divBdr>
            <w:top w:val="none" w:sz="0" w:space="0" w:color="auto"/>
            <w:left w:val="none" w:sz="0" w:space="0" w:color="auto"/>
            <w:bottom w:val="none" w:sz="0" w:space="0" w:color="auto"/>
            <w:right w:val="none" w:sz="0" w:space="0" w:color="auto"/>
          </w:divBdr>
        </w:div>
        <w:div w:id="486435115">
          <w:marLeft w:val="0"/>
          <w:marRight w:val="0"/>
          <w:marTop w:val="0"/>
          <w:marBottom w:val="0"/>
          <w:divBdr>
            <w:top w:val="none" w:sz="0" w:space="0" w:color="auto"/>
            <w:left w:val="none" w:sz="0" w:space="0" w:color="auto"/>
            <w:bottom w:val="none" w:sz="0" w:space="0" w:color="auto"/>
            <w:right w:val="none" w:sz="0" w:space="0" w:color="auto"/>
          </w:divBdr>
        </w:div>
        <w:div w:id="1190336296">
          <w:marLeft w:val="0"/>
          <w:marRight w:val="0"/>
          <w:marTop w:val="0"/>
          <w:marBottom w:val="0"/>
          <w:divBdr>
            <w:top w:val="none" w:sz="0" w:space="0" w:color="auto"/>
            <w:left w:val="none" w:sz="0" w:space="0" w:color="auto"/>
            <w:bottom w:val="none" w:sz="0" w:space="0" w:color="auto"/>
            <w:right w:val="none" w:sz="0" w:space="0" w:color="auto"/>
          </w:divBdr>
        </w:div>
        <w:div w:id="1476070064">
          <w:marLeft w:val="0"/>
          <w:marRight w:val="0"/>
          <w:marTop w:val="0"/>
          <w:marBottom w:val="0"/>
          <w:divBdr>
            <w:top w:val="none" w:sz="0" w:space="0" w:color="auto"/>
            <w:left w:val="none" w:sz="0" w:space="0" w:color="auto"/>
            <w:bottom w:val="none" w:sz="0" w:space="0" w:color="auto"/>
            <w:right w:val="none" w:sz="0" w:space="0" w:color="auto"/>
          </w:divBdr>
        </w:div>
        <w:div w:id="71705670">
          <w:marLeft w:val="0"/>
          <w:marRight w:val="0"/>
          <w:marTop w:val="0"/>
          <w:marBottom w:val="0"/>
          <w:divBdr>
            <w:top w:val="none" w:sz="0" w:space="0" w:color="auto"/>
            <w:left w:val="none" w:sz="0" w:space="0" w:color="auto"/>
            <w:bottom w:val="none" w:sz="0" w:space="0" w:color="auto"/>
            <w:right w:val="none" w:sz="0" w:space="0" w:color="auto"/>
          </w:divBdr>
        </w:div>
        <w:div w:id="852231141">
          <w:marLeft w:val="0"/>
          <w:marRight w:val="0"/>
          <w:marTop w:val="0"/>
          <w:marBottom w:val="0"/>
          <w:divBdr>
            <w:top w:val="none" w:sz="0" w:space="0" w:color="auto"/>
            <w:left w:val="none" w:sz="0" w:space="0" w:color="auto"/>
            <w:bottom w:val="none" w:sz="0" w:space="0" w:color="auto"/>
            <w:right w:val="none" w:sz="0" w:space="0" w:color="auto"/>
          </w:divBdr>
        </w:div>
        <w:div w:id="1986741187">
          <w:marLeft w:val="0"/>
          <w:marRight w:val="0"/>
          <w:marTop w:val="0"/>
          <w:marBottom w:val="0"/>
          <w:divBdr>
            <w:top w:val="none" w:sz="0" w:space="0" w:color="auto"/>
            <w:left w:val="none" w:sz="0" w:space="0" w:color="auto"/>
            <w:bottom w:val="none" w:sz="0" w:space="0" w:color="auto"/>
            <w:right w:val="none" w:sz="0" w:space="0" w:color="auto"/>
          </w:divBdr>
        </w:div>
        <w:div w:id="618757653">
          <w:marLeft w:val="0"/>
          <w:marRight w:val="0"/>
          <w:marTop w:val="0"/>
          <w:marBottom w:val="0"/>
          <w:divBdr>
            <w:top w:val="none" w:sz="0" w:space="0" w:color="auto"/>
            <w:left w:val="none" w:sz="0" w:space="0" w:color="auto"/>
            <w:bottom w:val="none" w:sz="0" w:space="0" w:color="auto"/>
            <w:right w:val="none" w:sz="0" w:space="0" w:color="auto"/>
          </w:divBdr>
        </w:div>
        <w:div w:id="351229367">
          <w:marLeft w:val="0"/>
          <w:marRight w:val="0"/>
          <w:marTop w:val="0"/>
          <w:marBottom w:val="0"/>
          <w:divBdr>
            <w:top w:val="none" w:sz="0" w:space="0" w:color="auto"/>
            <w:left w:val="none" w:sz="0" w:space="0" w:color="auto"/>
            <w:bottom w:val="none" w:sz="0" w:space="0" w:color="auto"/>
            <w:right w:val="none" w:sz="0" w:space="0" w:color="auto"/>
          </w:divBdr>
        </w:div>
        <w:div w:id="1756129392">
          <w:marLeft w:val="0"/>
          <w:marRight w:val="0"/>
          <w:marTop w:val="0"/>
          <w:marBottom w:val="0"/>
          <w:divBdr>
            <w:top w:val="none" w:sz="0" w:space="0" w:color="auto"/>
            <w:left w:val="none" w:sz="0" w:space="0" w:color="auto"/>
            <w:bottom w:val="none" w:sz="0" w:space="0" w:color="auto"/>
            <w:right w:val="none" w:sz="0" w:space="0" w:color="auto"/>
          </w:divBdr>
        </w:div>
        <w:div w:id="747993462">
          <w:marLeft w:val="0"/>
          <w:marRight w:val="0"/>
          <w:marTop w:val="0"/>
          <w:marBottom w:val="0"/>
          <w:divBdr>
            <w:top w:val="none" w:sz="0" w:space="0" w:color="auto"/>
            <w:left w:val="none" w:sz="0" w:space="0" w:color="auto"/>
            <w:bottom w:val="none" w:sz="0" w:space="0" w:color="auto"/>
            <w:right w:val="none" w:sz="0" w:space="0" w:color="auto"/>
          </w:divBdr>
        </w:div>
        <w:div w:id="1235971049">
          <w:marLeft w:val="0"/>
          <w:marRight w:val="0"/>
          <w:marTop w:val="0"/>
          <w:marBottom w:val="0"/>
          <w:divBdr>
            <w:top w:val="none" w:sz="0" w:space="0" w:color="auto"/>
            <w:left w:val="none" w:sz="0" w:space="0" w:color="auto"/>
            <w:bottom w:val="none" w:sz="0" w:space="0" w:color="auto"/>
            <w:right w:val="none" w:sz="0" w:space="0" w:color="auto"/>
          </w:divBdr>
        </w:div>
        <w:div w:id="2063170676">
          <w:marLeft w:val="0"/>
          <w:marRight w:val="0"/>
          <w:marTop w:val="0"/>
          <w:marBottom w:val="0"/>
          <w:divBdr>
            <w:top w:val="none" w:sz="0" w:space="0" w:color="auto"/>
            <w:left w:val="none" w:sz="0" w:space="0" w:color="auto"/>
            <w:bottom w:val="none" w:sz="0" w:space="0" w:color="auto"/>
            <w:right w:val="none" w:sz="0" w:space="0" w:color="auto"/>
          </w:divBdr>
        </w:div>
        <w:div w:id="189341910">
          <w:marLeft w:val="0"/>
          <w:marRight w:val="0"/>
          <w:marTop w:val="0"/>
          <w:marBottom w:val="0"/>
          <w:divBdr>
            <w:top w:val="none" w:sz="0" w:space="0" w:color="auto"/>
            <w:left w:val="none" w:sz="0" w:space="0" w:color="auto"/>
            <w:bottom w:val="none" w:sz="0" w:space="0" w:color="auto"/>
            <w:right w:val="none" w:sz="0" w:space="0" w:color="auto"/>
          </w:divBdr>
        </w:div>
        <w:div w:id="1113280869">
          <w:marLeft w:val="0"/>
          <w:marRight w:val="0"/>
          <w:marTop w:val="0"/>
          <w:marBottom w:val="0"/>
          <w:divBdr>
            <w:top w:val="none" w:sz="0" w:space="0" w:color="auto"/>
            <w:left w:val="none" w:sz="0" w:space="0" w:color="auto"/>
            <w:bottom w:val="none" w:sz="0" w:space="0" w:color="auto"/>
            <w:right w:val="none" w:sz="0" w:space="0" w:color="auto"/>
          </w:divBdr>
        </w:div>
        <w:div w:id="530270249">
          <w:marLeft w:val="0"/>
          <w:marRight w:val="0"/>
          <w:marTop w:val="0"/>
          <w:marBottom w:val="0"/>
          <w:divBdr>
            <w:top w:val="none" w:sz="0" w:space="0" w:color="auto"/>
            <w:left w:val="none" w:sz="0" w:space="0" w:color="auto"/>
            <w:bottom w:val="none" w:sz="0" w:space="0" w:color="auto"/>
            <w:right w:val="none" w:sz="0" w:space="0" w:color="auto"/>
          </w:divBdr>
        </w:div>
        <w:div w:id="2001227012">
          <w:marLeft w:val="0"/>
          <w:marRight w:val="0"/>
          <w:marTop w:val="0"/>
          <w:marBottom w:val="0"/>
          <w:divBdr>
            <w:top w:val="none" w:sz="0" w:space="0" w:color="auto"/>
            <w:left w:val="none" w:sz="0" w:space="0" w:color="auto"/>
            <w:bottom w:val="none" w:sz="0" w:space="0" w:color="auto"/>
            <w:right w:val="none" w:sz="0" w:space="0" w:color="auto"/>
          </w:divBdr>
        </w:div>
        <w:div w:id="901259962">
          <w:marLeft w:val="0"/>
          <w:marRight w:val="0"/>
          <w:marTop w:val="0"/>
          <w:marBottom w:val="0"/>
          <w:divBdr>
            <w:top w:val="none" w:sz="0" w:space="0" w:color="auto"/>
            <w:left w:val="none" w:sz="0" w:space="0" w:color="auto"/>
            <w:bottom w:val="none" w:sz="0" w:space="0" w:color="auto"/>
            <w:right w:val="none" w:sz="0" w:space="0" w:color="auto"/>
          </w:divBdr>
        </w:div>
        <w:div w:id="1427849418">
          <w:marLeft w:val="0"/>
          <w:marRight w:val="0"/>
          <w:marTop w:val="0"/>
          <w:marBottom w:val="0"/>
          <w:divBdr>
            <w:top w:val="none" w:sz="0" w:space="0" w:color="auto"/>
            <w:left w:val="none" w:sz="0" w:space="0" w:color="auto"/>
            <w:bottom w:val="none" w:sz="0" w:space="0" w:color="auto"/>
            <w:right w:val="none" w:sz="0" w:space="0" w:color="auto"/>
          </w:divBdr>
        </w:div>
        <w:div w:id="723135745">
          <w:marLeft w:val="0"/>
          <w:marRight w:val="0"/>
          <w:marTop w:val="0"/>
          <w:marBottom w:val="0"/>
          <w:divBdr>
            <w:top w:val="none" w:sz="0" w:space="0" w:color="auto"/>
            <w:left w:val="none" w:sz="0" w:space="0" w:color="auto"/>
            <w:bottom w:val="none" w:sz="0" w:space="0" w:color="auto"/>
            <w:right w:val="none" w:sz="0" w:space="0" w:color="auto"/>
          </w:divBdr>
        </w:div>
        <w:div w:id="643856962">
          <w:marLeft w:val="0"/>
          <w:marRight w:val="0"/>
          <w:marTop w:val="0"/>
          <w:marBottom w:val="0"/>
          <w:divBdr>
            <w:top w:val="none" w:sz="0" w:space="0" w:color="auto"/>
            <w:left w:val="none" w:sz="0" w:space="0" w:color="auto"/>
            <w:bottom w:val="none" w:sz="0" w:space="0" w:color="auto"/>
            <w:right w:val="none" w:sz="0" w:space="0" w:color="auto"/>
          </w:divBdr>
        </w:div>
        <w:div w:id="1539975154">
          <w:marLeft w:val="0"/>
          <w:marRight w:val="0"/>
          <w:marTop w:val="0"/>
          <w:marBottom w:val="0"/>
          <w:divBdr>
            <w:top w:val="none" w:sz="0" w:space="0" w:color="auto"/>
            <w:left w:val="none" w:sz="0" w:space="0" w:color="auto"/>
            <w:bottom w:val="none" w:sz="0" w:space="0" w:color="auto"/>
            <w:right w:val="none" w:sz="0" w:space="0" w:color="auto"/>
          </w:divBdr>
        </w:div>
        <w:div w:id="1962956986">
          <w:marLeft w:val="0"/>
          <w:marRight w:val="0"/>
          <w:marTop w:val="0"/>
          <w:marBottom w:val="0"/>
          <w:divBdr>
            <w:top w:val="none" w:sz="0" w:space="0" w:color="auto"/>
            <w:left w:val="none" w:sz="0" w:space="0" w:color="auto"/>
            <w:bottom w:val="none" w:sz="0" w:space="0" w:color="auto"/>
            <w:right w:val="none" w:sz="0" w:space="0" w:color="auto"/>
          </w:divBdr>
        </w:div>
        <w:div w:id="1874614276">
          <w:marLeft w:val="0"/>
          <w:marRight w:val="0"/>
          <w:marTop w:val="0"/>
          <w:marBottom w:val="0"/>
          <w:divBdr>
            <w:top w:val="none" w:sz="0" w:space="0" w:color="auto"/>
            <w:left w:val="none" w:sz="0" w:space="0" w:color="auto"/>
            <w:bottom w:val="none" w:sz="0" w:space="0" w:color="auto"/>
            <w:right w:val="none" w:sz="0" w:space="0" w:color="auto"/>
          </w:divBdr>
        </w:div>
        <w:div w:id="1132019904">
          <w:marLeft w:val="0"/>
          <w:marRight w:val="0"/>
          <w:marTop w:val="0"/>
          <w:marBottom w:val="0"/>
          <w:divBdr>
            <w:top w:val="none" w:sz="0" w:space="0" w:color="auto"/>
            <w:left w:val="none" w:sz="0" w:space="0" w:color="auto"/>
            <w:bottom w:val="none" w:sz="0" w:space="0" w:color="auto"/>
            <w:right w:val="none" w:sz="0" w:space="0" w:color="auto"/>
          </w:divBdr>
        </w:div>
        <w:div w:id="387732305">
          <w:marLeft w:val="0"/>
          <w:marRight w:val="0"/>
          <w:marTop w:val="0"/>
          <w:marBottom w:val="0"/>
          <w:divBdr>
            <w:top w:val="none" w:sz="0" w:space="0" w:color="auto"/>
            <w:left w:val="none" w:sz="0" w:space="0" w:color="auto"/>
            <w:bottom w:val="none" w:sz="0" w:space="0" w:color="auto"/>
            <w:right w:val="none" w:sz="0" w:space="0" w:color="auto"/>
          </w:divBdr>
        </w:div>
        <w:div w:id="2100371102">
          <w:marLeft w:val="0"/>
          <w:marRight w:val="0"/>
          <w:marTop w:val="0"/>
          <w:marBottom w:val="0"/>
          <w:divBdr>
            <w:top w:val="none" w:sz="0" w:space="0" w:color="auto"/>
            <w:left w:val="none" w:sz="0" w:space="0" w:color="auto"/>
            <w:bottom w:val="none" w:sz="0" w:space="0" w:color="auto"/>
            <w:right w:val="none" w:sz="0" w:space="0" w:color="auto"/>
          </w:divBdr>
        </w:div>
        <w:div w:id="516386658">
          <w:marLeft w:val="0"/>
          <w:marRight w:val="0"/>
          <w:marTop w:val="0"/>
          <w:marBottom w:val="0"/>
          <w:divBdr>
            <w:top w:val="none" w:sz="0" w:space="0" w:color="auto"/>
            <w:left w:val="none" w:sz="0" w:space="0" w:color="auto"/>
            <w:bottom w:val="none" w:sz="0" w:space="0" w:color="auto"/>
            <w:right w:val="none" w:sz="0" w:space="0" w:color="auto"/>
          </w:divBdr>
        </w:div>
        <w:div w:id="687025011">
          <w:marLeft w:val="0"/>
          <w:marRight w:val="0"/>
          <w:marTop w:val="0"/>
          <w:marBottom w:val="0"/>
          <w:divBdr>
            <w:top w:val="none" w:sz="0" w:space="0" w:color="auto"/>
            <w:left w:val="none" w:sz="0" w:space="0" w:color="auto"/>
            <w:bottom w:val="none" w:sz="0" w:space="0" w:color="auto"/>
            <w:right w:val="none" w:sz="0" w:space="0" w:color="auto"/>
          </w:divBdr>
        </w:div>
        <w:div w:id="1770544029">
          <w:marLeft w:val="0"/>
          <w:marRight w:val="0"/>
          <w:marTop w:val="0"/>
          <w:marBottom w:val="0"/>
          <w:divBdr>
            <w:top w:val="none" w:sz="0" w:space="0" w:color="auto"/>
            <w:left w:val="none" w:sz="0" w:space="0" w:color="auto"/>
            <w:bottom w:val="none" w:sz="0" w:space="0" w:color="auto"/>
            <w:right w:val="none" w:sz="0" w:space="0" w:color="auto"/>
          </w:divBdr>
        </w:div>
        <w:div w:id="1180392832">
          <w:marLeft w:val="0"/>
          <w:marRight w:val="0"/>
          <w:marTop w:val="0"/>
          <w:marBottom w:val="0"/>
          <w:divBdr>
            <w:top w:val="none" w:sz="0" w:space="0" w:color="auto"/>
            <w:left w:val="none" w:sz="0" w:space="0" w:color="auto"/>
            <w:bottom w:val="none" w:sz="0" w:space="0" w:color="auto"/>
            <w:right w:val="none" w:sz="0" w:space="0" w:color="auto"/>
          </w:divBdr>
        </w:div>
        <w:div w:id="453599219">
          <w:marLeft w:val="0"/>
          <w:marRight w:val="0"/>
          <w:marTop w:val="0"/>
          <w:marBottom w:val="0"/>
          <w:divBdr>
            <w:top w:val="none" w:sz="0" w:space="0" w:color="auto"/>
            <w:left w:val="none" w:sz="0" w:space="0" w:color="auto"/>
            <w:bottom w:val="none" w:sz="0" w:space="0" w:color="auto"/>
            <w:right w:val="none" w:sz="0" w:space="0" w:color="auto"/>
          </w:divBdr>
        </w:div>
        <w:div w:id="196354676">
          <w:marLeft w:val="0"/>
          <w:marRight w:val="0"/>
          <w:marTop w:val="0"/>
          <w:marBottom w:val="0"/>
          <w:divBdr>
            <w:top w:val="none" w:sz="0" w:space="0" w:color="auto"/>
            <w:left w:val="none" w:sz="0" w:space="0" w:color="auto"/>
            <w:bottom w:val="none" w:sz="0" w:space="0" w:color="auto"/>
            <w:right w:val="none" w:sz="0" w:space="0" w:color="auto"/>
          </w:divBdr>
        </w:div>
        <w:div w:id="1496605224">
          <w:marLeft w:val="0"/>
          <w:marRight w:val="0"/>
          <w:marTop w:val="0"/>
          <w:marBottom w:val="0"/>
          <w:divBdr>
            <w:top w:val="none" w:sz="0" w:space="0" w:color="auto"/>
            <w:left w:val="none" w:sz="0" w:space="0" w:color="auto"/>
            <w:bottom w:val="none" w:sz="0" w:space="0" w:color="auto"/>
            <w:right w:val="none" w:sz="0" w:space="0" w:color="auto"/>
          </w:divBdr>
        </w:div>
        <w:div w:id="920715765">
          <w:marLeft w:val="0"/>
          <w:marRight w:val="0"/>
          <w:marTop w:val="0"/>
          <w:marBottom w:val="0"/>
          <w:divBdr>
            <w:top w:val="none" w:sz="0" w:space="0" w:color="auto"/>
            <w:left w:val="none" w:sz="0" w:space="0" w:color="auto"/>
            <w:bottom w:val="none" w:sz="0" w:space="0" w:color="auto"/>
            <w:right w:val="none" w:sz="0" w:space="0" w:color="auto"/>
          </w:divBdr>
        </w:div>
        <w:div w:id="773596666">
          <w:marLeft w:val="0"/>
          <w:marRight w:val="0"/>
          <w:marTop w:val="0"/>
          <w:marBottom w:val="0"/>
          <w:divBdr>
            <w:top w:val="none" w:sz="0" w:space="0" w:color="auto"/>
            <w:left w:val="none" w:sz="0" w:space="0" w:color="auto"/>
            <w:bottom w:val="none" w:sz="0" w:space="0" w:color="auto"/>
            <w:right w:val="none" w:sz="0" w:space="0" w:color="auto"/>
          </w:divBdr>
        </w:div>
        <w:div w:id="1787042172">
          <w:marLeft w:val="0"/>
          <w:marRight w:val="0"/>
          <w:marTop w:val="0"/>
          <w:marBottom w:val="0"/>
          <w:divBdr>
            <w:top w:val="none" w:sz="0" w:space="0" w:color="auto"/>
            <w:left w:val="none" w:sz="0" w:space="0" w:color="auto"/>
            <w:bottom w:val="none" w:sz="0" w:space="0" w:color="auto"/>
            <w:right w:val="none" w:sz="0" w:space="0" w:color="auto"/>
          </w:divBdr>
        </w:div>
        <w:div w:id="1051460980">
          <w:marLeft w:val="0"/>
          <w:marRight w:val="0"/>
          <w:marTop w:val="0"/>
          <w:marBottom w:val="0"/>
          <w:divBdr>
            <w:top w:val="none" w:sz="0" w:space="0" w:color="auto"/>
            <w:left w:val="none" w:sz="0" w:space="0" w:color="auto"/>
            <w:bottom w:val="none" w:sz="0" w:space="0" w:color="auto"/>
            <w:right w:val="none" w:sz="0" w:space="0" w:color="auto"/>
          </w:divBdr>
        </w:div>
        <w:div w:id="847909675">
          <w:marLeft w:val="0"/>
          <w:marRight w:val="0"/>
          <w:marTop w:val="0"/>
          <w:marBottom w:val="0"/>
          <w:divBdr>
            <w:top w:val="none" w:sz="0" w:space="0" w:color="auto"/>
            <w:left w:val="none" w:sz="0" w:space="0" w:color="auto"/>
            <w:bottom w:val="none" w:sz="0" w:space="0" w:color="auto"/>
            <w:right w:val="none" w:sz="0" w:space="0" w:color="auto"/>
          </w:divBdr>
        </w:div>
        <w:div w:id="1937205517">
          <w:marLeft w:val="0"/>
          <w:marRight w:val="0"/>
          <w:marTop w:val="0"/>
          <w:marBottom w:val="0"/>
          <w:divBdr>
            <w:top w:val="none" w:sz="0" w:space="0" w:color="auto"/>
            <w:left w:val="none" w:sz="0" w:space="0" w:color="auto"/>
            <w:bottom w:val="none" w:sz="0" w:space="0" w:color="auto"/>
            <w:right w:val="none" w:sz="0" w:space="0" w:color="auto"/>
          </w:divBdr>
        </w:div>
        <w:div w:id="917062247">
          <w:marLeft w:val="0"/>
          <w:marRight w:val="0"/>
          <w:marTop w:val="0"/>
          <w:marBottom w:val="0"/>
          <w:divBdr>
            <w:top w:val="none" w:sz="0" w:space="0" w:color="auto"/>
            <w:left w:val="none" w:sz="0" w:space="0" w:color="auto"/>
            <w:bottom w:val="none" w:sz="0" w:space="0" w:color="auto"/>
            <w:right w:val="none" w:sz="0" w:space="0" w:color="auto"/>
          </w:divBdr>
        </w:div>
        <w:div w:id="2106533570">
          <w:marLeft w:val="0"/>
          <w:marRight w:val="0"/>
          <w:marTop w:val="0"/>
          <w:marBottom w:val="0"/>
          <w:divBdr>
            <w:top w:val="none" w:sz="0" w:space="0" w:color="auto"/>
            <w:left w:val="none" w:sz="0" w:space="0" w:color="auto"/>
            <w:bottom w:val="none" w:sz="0" w:space="0" w:color="auto"/>
            <w:right w:val="none" w:sz="0" w:space="0" w:color="auto"/>
          </w:divBdr>
        </w:div>
        <w:div w:id="101919339">
          <w:marLeft w:val="0"/>
          <w:marRight w:val="0"/>
          <w:marTop w:val="0"/>
          <w:marBottom w:val="0"/>
          <w:divBdr>
            <w:top w:val="none" w:sz="0" w:space="0" w:color="auto"/>
            <w:left w:val="none" w:sz="0" w:space="0" w:color="auto"/>
            <w:bottom w:val="none" w:sz="0" w:space="0" w:color="auto"/>
            <w:right w:val="none" w:sz="0" w:space="0" w:color="auto"/>
          </w:divBdr>
        </w:div>
        <w:div w:id="1416901311">
          <w:marLeft w:val="0"/>
          <w:marRight w:val="0"/>
          <w:marTop w:val="0"/>
          <w:marBottom w:val="0"/>
          <w:divBdr>
            <w:top w:val="none" w:sz="0" w:space="0" w:color="auto"/>
            <w:left w:val="none" w:sz="0" w:space="0" w:color="auto"/>
            <w:bottom w:val="none" w:sz="0" w:space="0" w:color="auto"/>
            <w:right w:val="none" w:sz="0" w:space="0" w:color="auto"/>
          </w:divBdr>
        </w:div>
        <w:div w:id="1868055851">
          <w:marLeft w:val="0"/>
          <w:marRight w:val="0"/>
          <w:marTop w:val="0"/>
          <w:marBottom w:val="0"/>
          <w:divBdr>
            <w:top w:val="none" w:sz="0" w:space="0" w:color="auto"/>
            <w:left w:val="none" w:sz="0" w:space="0" w:color="auto"/>
            <w:bottom w:val="none" w:sz="0" w:space="0" w:color="auto"/>
            <w:right w:val="none" w:sz="0" w:space="0" w:color="auto"/>
          </w:divBdr>
        </w:div>
        <w:div w:id="415827585">
          <w:marLeft w:val="0"/>
          <w:marRight w:val="0"/>
          <w:marTop w:val="0"/>
          <w:marBottom w:val="0"/>
          <w:divBdr>
            <w:top w:val="none" w:sz="0" w:space="0" w:color="auto"/>
            <w:left w:val="none" w:sz="0" w:space="0" w:color="auto"/>
            <w:bottom w:val="none" w:sz="0" w:space="0" w:color="auto"/>
            <w:right w:val="none" w:sz="0" w:space="0" w:color="auto"/>
          </w:divBdr>
        </w:div>
        <w:div w:id="285433128">
          <w:marLeft w:val="0"/>
          <w:marRight w:val="0"/>
          <w:marTop w:val="0"/>
          <w:marBottom w:val="0"/>
          <w:divBdr>
            <w:top w:val="none" w:sz="0" w:space="0" w:color="auto"/>
            <w:left w:val="none" w:sz="0" w:space="0" w:color="auto"/>
            <w:bottom w:val="none" w:sz="0" w:space="0" w:color="auto"/>
            <w:right w:val="none" w:sz="0" w:space="0" w:color="auto"/>
          </w:divBdr>
        </w:div>
        <w:div w:id="2004552434">
          <w:marLeft w:val="0"/>
          <w:marRight w:val="0"/>
          <w:marTop w:val="0"/>
          <w:marBottom w:val="0"/>
          <w:divBdr>
            <w:top w:val="none" w:sz="0" w:space="0" w:color="auto"/>
            <w:left w:val="none" w:sz="0" w:space="0" w:color="auto"/>
            <w:bottom w:val="none" w:sz="0" w:space="0" w:color="auto"/>
            <w:right w:val="none" w:sz="0" w:space="0" w:color="auto"/>
          </w:divBdr>
        </w:div>
        <w:div w:id="1924946711">
          <w:marLeft w:val="0"/>
          <w:marRight w:val="0"/>
          <w:marTop w:val="0"/>
          <w:marBottom w:val="0"/>
          <w:divBdr>
            <w:top w:val="none" w:sz="0" w:space="0" w:color="auto"/>
            <w:left w:val="none" w:sz="0" w:space="0" w:color="auto"/>
            <w:bottom w:val="none" w:sz="0" w:space="0" w:color="auto"/>
            <w:right w:val="none" w:sz="0" w:space="0" w:color="auto"/>
          </w:divBdr>
        </w:div>
        <w:div w:id="821317276">
          <w:marLeft w:val="0"/>
          <w:marRight w:val="0"/>
          <w:marTop w:val="0"/>
          <w:marBottom w:val="0"/>
          <w:divBdr>
            <w:top w:val="none" w:sz="0" w:space="0" w:color="auto"/>
            <w:left w:val="none" w:sz="0" w:space="0" w:color="auto"/>
            <w:bottom w:val="none" w:sz="0" w:space="0" w:color="auto"/>
            <w:right w:val="none" w:sz="0" w:space="0" w:color="auto"/>
          </w:divBdr>
        </w:div>
        <w:div w:id="1587687549">
          <w:marLeft w:val="0"/>
          <w:marRight w:val="0"/>
          <w:marTop w:val="0"/>
          <w:marBottom w:val="0"/>
          <w:divBdr>
            <w:top w:val="none" w:sz="0" w:space="0" w:color="auto"/>
            <w:left w:val="none" w:sz="0" w:space="0" w:color="auto"/>
            <w:bottom w:val="none" w:sz="0" w:space="0" w:color="auto"/>
            <w:right w:val="none" w:sz="0" w:space="0" w:color="auto"/>
          </w:divBdr>
        </w:div>
        <w:div w:id="1099984285">
          <w:marLeft w:val="0"/>
          <w:marRight w:val="0"/>
          <w:marTop w:val="0"/>
          <w:marBottom w:val="0"/>
          <w:divBdr>
            <w:top w:val="none" w:sz="0" w:space="0" w:color="auto"/>
            <w:left w:val="none" w:sz="0" w:space="0" w:color="auto"/>
            <w:bottom w:val="none" w:sz="0" w:space="0" w:color="auto"/>
            <w:right w:val="none" w:sz="0" w:space="0" w:color="auto"/>
          </w:divBdr>
        </w:div>
        <w:div w:id="1483547141">
          <w:marLeft w:val="0"/>
          <w:marRight w:val="0"/>
          <w:marTop w:val="0"/>
          <w:marBottom w:val="0"/>
          <w:divBdr>
            <w:top w:val="none" w:sz="0" w:space="0" w:color="auto"/>
            <w:left w:val="none" w:sz="0" w:space="0" w:color="auto"/>
            <w:bottom w:val="none" w:sz="0" w:space="0" w:color="auto"/>
            <w:right w:val="none" w:sz="0" w:space="0" w:color="auto"/>
          </w:divBdr>
        </w:div>
        <w:div w:id="939146742">
          <w:marLeft w:val="0"/>
          <w:marRight w:val="0"/>
          <w:marTop w:val="0"/>
          <w:marBottom w:val="0"/>
          <w:divBdr>
            <w:top w:val="none" w:sz="0" w:space="0" w:color="auto"/>
            <w:left w:val="none" w:sz="0" w:space="0" w:color="auto"/>
            <w:bottom w:val="none" w:sz="0" w:space="0" w:color="auto"/>
            <w:right w:val="none" w:sz="0" w:space="0" w:color="auto"/>
          </w:divBdr>
        </w:div>
        <w:div w:id="327026327">
          <w:marLeft w:val="0"/>
          <w:marRight w:val="0"/>
          <w:marTop w:val="0"/>
          <w:marBottom w:val="0"/>
          <w:divBdr>
            <w:top w:val="none" w:sz="0" w:space="0" w:color="auto"/>
            <w:left w:val="none" w:sz="0" w:space="0" w:color="auto"/>
            <w:bottom w:val="none" w:sz="0" w:space="0" w:color="auto"/>
            <w:right w:val="none" w:sz="0" w:space="0" w:color="auto"/>
          </w:divBdr>
        </w:div>
        <w:div w:id="1195727948">
          <w:marLeft w:val="0"/>
          <w:marRight w:val="0"/>
          <w:marTop w:val="0"/>
          <w:marBottom w:val="0"/>
          <w:divBdr>
            <w:top w:val="none" w:sz="0" w:space="0" w:color="auto"/>
            <w:left w:val="none" w:sz="0" w:space="0" w:color="auto"/>
            <w:bottom w:val="none" w:sz="0" w:space="0" w:color="auto"/>
            <w:right w:val="none" w:sz="0" w:space="0" w:color="auto"/>
          </w:divBdr>
        </w:div>
        <w:div w:id="1940984086">
          <w:marLeft w:val="0"/>
          <w:marRight w:val="0"/>
          <w:marTop w:val="0"/>
          <w:marBottom w:val="0"/>
          <w:divBdr>
            <w:top w:val="none" w:sz="0" w:space="0" w:color="auto"/>
            <w:left w:val="none" w:sz="0" w:space="0" w:color="auto"/>
            <w:bottom w:val="none" w:sz="0" w:space="0" w:color="auto"/>
            <w:right w:val="none" w:sz="0" w:space="0" w:color="auto"/>
          </w:divBdr>
        </w:div>
        <w:div w:id="113604139">
          <w:marLeft w:val="0"/>
          <w:marRight w:val="0"/>
          <w:marTop w:val="0"/>
          <w:marBottom w:val="0"/>
          <w:divBdr>
            <w:top w:val="none" w:sz="0" w:space="0" w:color="auto"/>
            <w:left w:val="none" w:sz="0" w:space="0" w:color="auto"/>
            <w:bottom w:val="none" w:sz="0" w:space="0" w:color="auto"/>
            <w:right w:val="none" w:sz="0" w:space="0" w:color="auto"/>
          </w:divBdr>
        </w:div>
        <w:div w:id="134833289">
          <w:marLeft w:val="0"/>
          <w:marRight w:val="0"/>
          <w:marTop w:val="0"/>
          <w:marBottom w:val="0"/>
          <w:divBdr>
            <w:top w:val="none" w:sz="0" w:space="0" w:color="auto"/>
            <w:left w:val="none" w:sz="0" w:space="0" w:color="auto"/>
            <w:bottom w:val="none" w:sz="0" w:space="0" w:color="auto"/>
            <w:right w:val="none" w:sz="0" w:space="0" w:color="auto"/>
          </w:divBdr>
        </w:div>
        <w:div w:id="287903703">
          <w:marLeft w:val="0"/>
          <w:marRight w:val="0"/>
          <w:marTop w:val="0"/>
          <w:marBottom w:val="0"/>
          <w:divBdr>
            <w:top w:val="none" w:sz="0" w:space="0" w:color="auto"/>
            <w:left w:val="none" w:sz="0" w:space="0" w:color="auto"/>
            <w:bottom w:val="none" w:sz="0" w:space="0" w:color="auto"/>
            <w:right w:val="none" w:sz="0" w:space="0" w:color="auto"/>
          </w:divBdr>
        </w:div>
        <w:div w:id="875508870">
          <w:marLeft w:val="0"/>
          <w:marRight w:val="0"/>
          <w:marTop w:val="0"/>
          <w:marBottom w:val="0"/>
          <w:divBdr>
            <w:top w:val="none" w:sz="0" w:space="0" w:color="auto"/>
            <w:left w:val="none" w:sz="0" w:space="0" w:color="auto"/>
            <w:bottom w:val="none" w:sz="0" w:space="0" w:color="auto"/>
            <w:right w:val="none" w:sz="0" w:space="0" w:color="auto"/>
          </w:divBdr>
        </w:div>
        <w:div w:id="95954635">
          <w:marLeft w:val="0"/>
          <w:marRight w:val="0"/>
          <w:marTop w:val="0"/>
          <w:marBottom w:val="0"/>
          <w:divBdr>
            <w:top w:val="none" w:sz="0" w:space="0" w:color="auto"/>
            <w:left w:val="none" w:sz="0" w:space="0" w:color="auto"/>
            <w:bottom w:val="none" w:sz="0" w:space="0" w:color="auto"/>
            <w:right w:val="none" w:sz="0" w:space="0" w:color="auto"/>
          </w:divBdr>
        </w:div>
        <w:div w:id="996613503">
          <w:marLeft w:val="0"/>
          <w:marRight w:val="0"/>
          <w:marTop w:val="0"/>
          <w:marBottom w:val="0"/>
          <w:divBdr>
            <w:top w:val="none" w:sz="0" w:space="0" w:color="auto"/>
            <w:left w:val="none" w:sz="0" w:space="0" w:color="auto"/>
            <w:bottom w:val="none" w:sz="0" w:space="0" w:color="auto"/>
            <w:right w:val="none" w:sz="0" w:space="0" w:color="auto"/>
          </w:divBdr>
        </w:div>
        <w:div w:id="620720744">
          <w:marLeft w:val="0"/>
          <w:marRight w:val="0"/>
          <w:marTop w:val="0"/>
          <w:marBottom w:val="0"/>
          <w:divBdr>
            <w:top w:val="none" w:sz="0" w:space="0" w:color="auto"/>
            <w:left w:val="none" w:sz="0" w:space="0" w:color="auto"/>
            <w:bottom w:val="none" w:sz="0" w:space="0" w:color="auto"/>
            <w:right w:val="none" w:sz="0" w:space="0" w:color="auto"/>
          </w:divBdr>
        </w:div>
        <w:div w:id="754519085">
          <w:marLeft w:val="0"/>
          <w:marRight w:val="0"/>
          <w:marTop w:val="0"/>
          <w:marBottom w:val="0"/>
          <w:divBdr>
            <w:top w:val="none" w:sz="0" w:space="0" w:color="auto"/>
            <w:left w:val="none" w:sz="0" w:space="0" w:color="auto"/>
            <w:bottom w:val="none" w:sz="0" w:space="0" w:color="auto"/>
            <w:right w:val="none" w:sz="0" w:space="0" w:color="auto"/>
          </w:divBdr>
        </w:div>
        <w:div w:id="938223322">
          <w:marLeft w:val="0"/>
          <w:marRight w:val="0"/>
          <w:marTop w:val="0"/>
          <w:marBottom w:val="0"/>
          <w:divBdr>
            <w:top w:val="none" w:sz="0" w:space="0" w:color="auto"/>
            <w:left w:val="none" w:sz="0" w:space="0" w:color="auto"/>
            <w:bottom w:val="none" w:sz="0" w:space="0" w:color="auto"/>
            <w:right w:val="none" w:sz="0" w:space="0" w:color="auto"/>
          </w:divBdr>
        </w:div>
        <w:div w:id="144902927">
          <w:marLeft w:val="0"/>
          <w:marRight w:val="0"/>
          <w:marTop w:val="0"/>
          <w:marBottom w:val="0"/>
          <w:divBdr>
            <w:top w:val="none" w:sz="0" w:space="0" w:color="auto"/>
            <w:left w:val="none" w:sz="0" w:space="0" w:color="auto"/>
            <w:bottom w:val="none" w:sz="0" w:space="0" w:color="auto"/>
            <w:right w:val="none" w:sz="0" w:space="0" w:color="auto"/>
          </w:divBdr>
        </w:div>
        <w:div w:id="980615698">
          <w:marLeft w:val="0"/>
          <w:marRight w:val="0"/>
          <w:marTop w:val="0"/>
          <w:marBottom w:val="0"/>
          <w:divBdr>
            <w:top w:val="none" w:sz="0" w:space="0" w:color="auto"/>
            <w:left w:val="none" w:sz="0" w:space="0" w:color="auto"/>
            <w:bottom w:val="none" w:sz="0" w:space="0" w:color="auto"/>
            <w:right w:val="none" w:sz="0" w:space="0" w:color="auto"/>
          </w:divBdr>
        </w:div>
        <w:div w:id="1817185294">
          <w:marLeft w:val="0"/>
          <w:marRight w:val="0"/>
          <w:marTop w:val="0"/>
          <w:marBottom w:val="0"/>
          <w:divBdr>
            <w:top w:val="none" w:sz="0" w:space="0" w:color="auto"/>
            <w:left w:val="none" w:sz="0" w:space="0" w:color="auto"/>
            <w:bottom w:val="none" w:sz="0" w:space="0" w:color="auto"/>
            <w:right w:val="none" w:sz="0" w:space="0" w:color="auto"/>
          </w:divBdr>
        </w:div>
        <w:div w:id="1997492980">
          <w:marLeft w:val="0"/>
          <w:marRight w:val="0"/>
          <w:marTop w:val="0"/>
          <w:marBottom w:val="0"/>
          <w:divBdr>
            <w:top w:val="none" w:sz="0" w:space="0" w:color="auto"/>
            <w:left w:val="none" w:sz="0" w:space="0" w:color="auto"/>
            <w:bottom w:val="none" w:sz="0" w:space="0" w:color="auto"/>
            <w:right w:val="none" w:sz="0" w:space="0" w:color="auto"/>
          </w:divBdr>
        </w:div>
        <w:div w:id="1805851227">
          <w:marLeft w:val="0"/>
          <w:marRight w:val="0"/>
          <w:marTop w:val="0"/>
          <w:marBottom w:val="0"/>
          <w:divBdr>
            <w:top w:val="none" w:sz="0" w:space="0" w:color="auto"/>
            <w:left w:val="none" w:sz="0" w:space="0" w:color="auto"/>
            <w:bottom w:val="none" w:sz="0" w:space="0" w:color="auto"/>
            <w:right w:val="none" w:sz="0" w:space="0" w:color="auto"/>
          </w:divBdr>
        </w:div>
        <w:div w:id="663094326">
          <w:marLeft w:val="0"/>
          <w:marRight w:val="0"/>
          <w:marTop w:val="0"/>
          <w:marBottom w:val="0"/>
          <w:divBdr>
            <w:top w:val="none" w:sz="0" w:space="0" w:color="auto"/>
            <w:left w:val="none" w:sz="0" w:space="0" w:color="auto"/>
            <w:bottom w:val="none" w:sz="0" w:space="0" w:color="auto"/>
            <w:right w:val="none" w:sz="0" w:space="0" w:color="auto"/>
          </w:divBdr>
        </w:div>
        <w:div w:id="638649693">
          <w:marLeft w:val="0"/>
          <w:marRight w:val="0"/>
          <w:marTop w:val="0"/>
          <w:marBottom w:val="0"/>
          <w:divBdr>
            <w:top w:val="none" w:sz="0" w:space="0" w:color="auto"/>
            <w:left w:val="none" w:sz="0" w:space="0" w:color="auto"/>
            <w:bottom w:val="none" w:sz="0" w:space="0" w:color="auto"/>
            <w:right w:val="none" w:sz="0" w:space="0" w:color="auto"/>
          </w:divBdr>
        </w:div>
        <w:div w:id="1502163338">
          <w:marLeft w:val="0"/>
          <w:marRight w:val="0"/>
          <w:marTop w:val="0"/>
          <w:marBottom w:val="0"/>
          <w:divBdr>
            <w:top w:val="none" w:sz="0" w:space="0" w:color="auto"/>
            <w:left w:val="none" w:sz="0" w:space="0" w:color="auto"/>
            <w:bottom w:val="none" w:sz="0" w:space="0" w:color="auto"/>
            <w:right w:val="none" w:sz="0" w:space="0" w:color="auto"/>
          </w:divBdr>
        </w:div>
        <w:div w:id="132333708">
          <w:marLeft w:val="0"/>
          <w:marRight w:val="0"/>
          <w:marTop w:val="0"/>
          <w:marBottom w:val="0"/>
          <w:divBdr>
            <w:top w:val="none" w:sz="0" w:space="0" w:color="auto"/>
            <w:left w:val="none" w:sz="0" w:space="0" w:color="auto"/>
            <w:bottom w:val="none" w:sz="0" w:space="0" w:color="auto"/>
            <w:right w:val="none" w:sz="0" w:space="0" w:color="auto"/>
          </w:divBdr>
        </w:div>
        <w:div w:id="1128861970">
          <w:marLeft w:val="0"/>
          <w:marRight w:val="0"/>
          <w:marTop w:val="0"/>
          <w:marBottom w:val="0"/>
          <w:divBdr>
            <w:top w:val="none" w:sz="0" w:space="0" w:color="auto"/>
            <w:left w:val="none" w:sz="0" w:space="0" w:color="auto"/>
            <w:bottom w:val="none" w:sz="0" w:space="0" w:color="auto"/>
            <w:right w:val="none" w:sz="0" w:space="0" w:color="auto"/>
          </w:divBdr>
        </w:div>
        <w:div w:id="1777673866">
          <w:marLeft w:val="0"/>
          <w:marRight w:val="0"/>
          <w:marTop w:val="0"/>
          <w:marBottom w:val="0"/>
          <w:divBdr>
            <w:top w:val="none" w:sz="0" w:space="0" w:color="auto"/>
            <w:left w:val="none" w:sz="0" w:space="0" w:color="auto"/>
            <w:bottom w:val="none" w:sz="0" w:space="0" w:color="auto"/>
            <w:right w:val="none" w:sz="0" w:space="0" w:color="auto"/>
          </w:divBdr>
        </w:div>
        <w:div w:id="398358832">
          <w:marLeft w:val="0"/>
          <w:marRight w:val="0"/>
          <w:marTop w:val="0"/>
          <w:marBottom w:val="0"/>
          <w:divBdr>
            <w:top w:val="none" w:sz="0" w:space="0" w:color="auto"/>
            <w:left w:val="none" w:sz="0" w:space="0" w:color="auto"/>
            <w:bottom w:val="none" w:sz="0" w:space="0" w:color="auto"/>
            <w:right w:val="none" w:sz="0" w:space="0" w:color="auto"/>
          </w:divBdr>
        </w:div>
        <w:div w:id="1317803041">
          <w:marLeft w:val="0"/>
          <w:marRight w:val="0"/>
          <w:marTop w:val="0"/>
          <w:marBottom w:val="0"/>
          <w:divBdr>
            <w:top w:val="none" w:sz="0" w:space="0" w:color="auto"/>
            <w:left w:val="none" w:sz="0" w:space="0" w:color="auto"/>
            <w:bottom w:val="none" w:sz="0" w:space="0" w:color="auto"/>
            <w:right w:val="none" w:sz="0" w:space="0" w:color="auto"/>
          </w:divBdr>
        </w:div>
        <w:div w:id="1070883161">
          <w:marLeft w:val="0"/>
          <w:marRight w:val="0"/>
          <w:marTop w:val="0"/>
          <w:marBottom w:val="0"/>
          <w:divBdr>
            <w:top w:val="none" w:sz="0" w:space="0" w:color="auto"/>
            <w:left w:val="none" w:sz="0" w:space="0" w:color="auto"/>
            <w:bottom w:val="none" w:sz="0" w:space="0" w:color="auto"/>
            <w:right w:val="none" w:sz="0" w:space="0" w:color="auto"/>
          </w:divBdr>
        </w:div>
        <w:div w:id="688605697">
          <w:marLeft w:val="0"/>
          <w:marRight w:val="0"/>
          <w:marTop w:val="0"/>
          <w:marBottom w:val="0"/>
          <w:divBdr>
            <w:top w:val="none" w:sz="0" w:space="0" w:color="auto"/>
            <w:left w:val="none" w:sz="0" w:space="0" w:color="auto"/>
            <w:bottom w:val="none" w:sz="0" w:space="0" w:color="auto"/>
            <w:right w:val="none" w:sz="0" w:space="0" w:color="auto"/>
          </w:divBdr>
        </w:div>
        <w:div w:id="630013870">
          <w:marLeft w:val="0"/>
          <w:marRight w:val="0"/>
          <w:marTop w:val="0"/>
          <w:marBottom w:val="0"/>
          <w:divBdr>
            <w:top w:val="none" w:sz="0" w:space="0" w:color="auto"/>
            <w:left w:val="none" w:sz="0" w:space="0" w:color="auto"/>
            <w:bottom w:val="none" w:sz="0" w:space="0" w:color="auto"/>
            <w:right w:val="none" w:sz="0" w:space="0" w:color="auto"/>
          </w:divBdr>
        </w:div>
        <w:div w:id="315568162">
          <w:marLeft w:val="0"/>
          <w:marRight w:val="0"/>
          <w:marTop w:val="0"/>
          <w:marBottom w:val="0"/>
          <w:divBdr>
            <w:top w:val="none" w:sz="0" w:space="0" w:color="auto"/>
            <w:left w:val="none" w:sz="0" w:space="0" w:color="auto"/>
            <w:bottom w:val="none" w:sz="0" w:space="0" w:color="auto"/>
            <w:right w:val="none" w:sz="0" w:space="0" w:color="auto"/>
          </w:divBdr>
        </w:div>
        <w:div w:id="580483004">
          <w:marLeft w:val="0"/>
          <w:marRight w:val="0"/>
          <w:marTop w:val="0"/>
          <w:marBottom w:val="0"/>
          <w:divBdr>
            <w:top w:val="none" w:sz="0" w:space="0" w:color="auto"/>
            <w:left w:val="none" w:sz="0" w:space="0" w:color="auto"/>
            <w:bottom w:val="none" w:sz="0" w:space="0" w:color="auto"/>
            <w:right w:val="none" w:sz="0" w:space="0" w:color="auto"/>
          </w:divBdr>
        </w:div>
        <w:div w:id="1423405530">
          <w:marLeft w:val="0"/>
          <w:marRight w:val="0"/>
          <w:marTop w:val="0"/>
          <w:marBottom w:val="0"/>
          <w:divBdr>
            <w:top w:val="none" w:sz="0" w:space="0" w:color="auto"/>
            <w:left w:val="none" w:sz="0" w:space="0" w:color="auto"/>
            <w:bottom w:val="none" w:sz="0" w:space="0" w:color="auto"/>
            <w:right w:val="none" w:sz="0" w:space="0" w:color="auto"/>
          </w:divBdr>
        </w:div>
        <w:div w:id="1512795555">
          <w:marLeft w:val="0"/>
          <w:marRight w:val="0"/>
          <w:marTop w:val="0"/>
          <w:marBottom w:val="0"/>
          <w:divBdr>
            <w:top w:val="none" w:sz="0" w:space="0" w:color="auto"/>
            <w:left w:val="none" w:sz="0" w:space="0" w:color="auto"/>
            <w:bottom w:val="none" w:sz="0" w:space="0" w:color="auto"/>
            <w:right w:val="none" w:sz="0" w:space="0" w:color="auto"/>
          </w:divBdr>
        </w:div>
        <w:div w:id="903298115">
          <w:marLeft w:val="0"/>
          <w:marRight w:val="0"/>
          <w:marTop w:val="0"/>
          <w:marBottom w:val="0"/>
          <w:divBdr>
            <w:top w:val="none" w:sz="0" w:space="0" w:color="auto"/>
            <w:left w:val="none" w:sz="0" w:space="0" w:color="auto"/>
            <w:bottom w:val="none" w:sz="0" w:space="0" w:color="auto"/>
            <w:right w:val="none" w:sz="0" w:space="0" w:color="auto"/>
          </w:divBdr>
        </w:div>
        <w:div w:id="1655332364">
          <w:marLeft w:val="0"/>
          <w:marRight w:val="0"/>
          <w:marTop w:val="0"/>
          <w:marBottom w:val="0"/>
          <w:divBdr>
            <w:top w:val="none" w:sz="0" w:space="0" w:color="auto"/>
            <w:left w:val="none" w:sz="0" w:space="0" w:color="auto"/>
            <w:bottom w:val="none" w:sz="0" w:space="0" w:color="auto"/>
            <w:right w:val="none" w:sz="0" w:space="0" w:color="auto"/>
          </w:divBdr>
        </w:div>
        <w:div w:id="138040846">
          <w:marLeft w:val="0"/>
          <w:marRight w:val="0"/>
          <w:marTop w:val="0"/>
          <w:marBottom w:val="0"/>
          <w:divBdr>
            <w:top w:val="none" w:sz="0" w:space="0" w:color="auto"/>
            <w:left w:val="none" w:sz="0" w:space="0" w:color="auto"/>
            <w:bottom w:val="none" w:sz="0" w:space="0" w:color="auto"/>
            <w:right w:val="none" w:sz="0" w:space="0" w:color="auto"/>
          </w:divBdr>
        </w:div>
        <w:div w:id="158035080">
          <w:marLeft w:val="0"/>
          <w:marRight w:val="0"/>
          <w:marTop w:val="0"/>
          <w:marBottom w:val="0"/>
          <w:divBdr>
            <w:top w:val="none" w:sz="0" w:space="0" w:color="auto"/>
            <w:left w:val="none" w:sz="0" w:space="0" w:color="auto"/>
            <w:bottom w:val="none" w:sz="0" w:space="0" w:color="auto"/>
            <w:right w:val="none" w:sz="0" w:space="0" w:color="auto"/>
          </w:divBdr>
        </w:div>
        <w:div w:id="1200317771">
          <w:marLeft w:val="0"/>
          <w:marRight w:val="0"/>
          <w:marTop w:val="0"/>
          <w:marBottom w:val="0"/>
          <w:divBdr>
            <w:top w:val="none" w:sz="0" w:space="0" w:color="auto"/>
            <w:left w:val="none" w:sz="0" w:space="0" w:color="auto"/>
            <w:bottom w:val="none" w:sz="0" w:space="0" w:color="auto"/>
            <w:right w:val="none" w:sz="0" w:space="0" w:color="auto"/>
          </w:divBdr>
        </w:div>
        <w:div w:id="491068812">
          <w:marLeft w:val="0"/>
          <w:marRight w:val="0"/>
          <w:marTop w:val="0"/>
          <w:marBottom w:val="0"/>
          <w:divBdr>
            <w:top w:val="none" w:sz="0" w:space="0" w:color="auto"/>
            <w:left w:val="none" w:sz="0" w:space="0" w:color="auto"/>
            <w:bottom w:val="none" w:sz="0" w:space="0" w:color="auto"/>
            <w:right w:val="none" w:sz="0" w:space="0" w:color="auto"/>
          </w:divBdr>
        </w:div>
        <w:div w:id="148442853">
          <w:marLeft w:val="0"/>
          <w:marRight w:val="0"/>
          <w:marTop w:val="0"/>
          <w:marBottom w:val="0"/>
          <w:divBdr>
            <w:top w:val="none" w:sz="0" w:space="0" w:color="auto"/>
            <w:left w:val="none" w:sz="0" w:space="0" w:color="auto"/>
            <w:bottom w:val="none" w:sz="0" w:space="0" w:color="auto"/>
            <w:right w:val="none" w:sz="0" w:space="0" w:color="auto"/>
          </w:divBdr>
        </w:div>
        <w:div w:id="2084571622">
          <w:marLeft w:val="0"/>
          <w:marRight w:val="0"/>
          <w:marTop w:val="0"/>
          <w:marBottom w:val="0"/>
          <w:divBdr>
            <w:top w:val="none" w:sz="0" w:space="0" w:color="auto"/>
            <w:left w:val="none" w:sz="0" w:space="0" w:color="auto"/>
            <w:bottom w:val="none" w:sz="0" w:space="0" w:color="auto"/>
            <w:right w:val="none" w:sz="0" w:space="0" w:color="auto"/>
          </w:divBdr>
        </w:div>
        <w:div w:id="1317565043">
          <w:marLeft w:val="0"/>
          <w:marRight w:val="0"/>
          <w:marTop w:val="0"/>
          <w:marBottom w:val="0"/>
          <w:divBdr>
            <w:top w:val="none" w:sz="0" w:space="0" w:color="auto"/>
            <w:left w:val="none" w:sz="0" w:space="0" w:color="auto"/>
            <w:bottom w:val="none" w:sz="0" w:space="0" w:color="auto"/>
            <w:right w:val="none" w:sz="0" w:space="0" w:color="auto"/>
          </w:divBdr>
        </w:div>
        <w:div w:id="1190987880">
          <w:marLeft w:val="0"/>
          <w:marRight w:val="0"/>
          <w:marTop w:val="0"/>
          <w:marBottom w:val="0"/>
          <w:divBdr>
            <w:top w:val="none" w:sz="0" w:space="0" w:color="auto"/>
            <w:left w:val="none" w:sz="0" w:space="0" w:color="auto"/>
            <w:bottom w:val="none" w:sz="0" w:space="0" w:color="auto"/>
            <w:right w:val="none" w:sz="0" w:space="0" w:color="auto"/>
          </w:divBdr>
        </w:div>
        <w:div w:id="418987045">
          <w:marLeft w:val="0"/>
          <w:marRight w:val="0"/>
          <w:marTop w:val="0"/>
          <w:marBottom w:val="0"/>
          <w:divBdr>
            <w:top w:val="none" w:sz="0" w:space="0" w:color="auto"/>
            <w:left w:val="none" w:sz="0" w:space="0" w:color="auto"/>
            <w:bottom w:val="none" w:sz="0" w:space="0" w:color="auto"/>
            <w:right w:val="none" w:sz="0" w:space="0" w:color="auto"/>
          </w:divBdr>
        </w:div>
        <w:div w:id="1755785996">
          <w:marLeft w:val="0"/>
          <w:marRight w:val="0"/>
          <w:marTop w:val="0"/>
          <w:marBottom w:val="0"/>
          <w:divBdr>
            <w:top w:val="none" w:sz="0" w:space="0" w:color="auto"/>
            <w:left w:val="none" w:sz="0" w:space="0" w:color="auto"/>
            <w:bottom w:val="none" w:sz="0" w:space="0" w:color="auto"/>
            <w:right w:val="none" w:sz="0" w:space="0" w:color="auto"/>
          </w:divBdr>
        </w:div>
        <w:div w:id="1985306072">
          <w:marLeft w:val="0"/>
          <w:marRight w:val="0"/>
          <w:marTop w:val="0"/>
          <w:marBottom w:val="0"/>
          <w:divBdr>
            <w:top w:val="none" w:sz="0" w:space="0" w:color="auto"/>
            <w:left w:val="none" w:sz="0" w:space="0" w:color="auto"/>
            <w:bottom w:val="none" w:sz="0" w:space="0" w:color="auto"/>
            <w:right w:val="none" w:sz="0" w:space="0" w:color="auto"/>
          </w:divBdr>
        </w:div>
        <w:div w:id="1044477209">
          <w:marLeft w:val="0"/>
          <w:marRight w:val="0"/>
          <w:marTop w:val="0"/>
          <w:marBottom w:val="0"/>
          <w:divBdr>
            <w:top w:val="none" w:sz="0" w:space="0" w:color="auto"/>
            <w:left w:val="none" w:sz="0" w:space="0" w:color="auto"/>
            <w:bottom w:val="none" w:sz="0" w:space="0" w:color="auto"/>
            <w:right w:val="none" w:sz="0" w:space="0" w:color="auto"/>
          </w:divBdr>
        </w:div>
        <w:div w:id="2101875622">
          <w:marLeft w:val="0"/>
          <w:marRight w:val="0"/>
          <w:marTop w:val="0"/>
          <w:marBottom w:val="0"/>
          <w:divBdr>
            <w:top w:val="none" w:sz="0" w:space="0" w:color="auto"/>
            <w:left w:val="none" w:sz="0" w:space="0" w:color="auto"/>
            <w:bottom w:val="none" w:sz="0" w:space="0" w:color="auto"/>
            <w:right w:val="none" w:sz="0" w:space="0" w:color="auto"/>
          </w:divBdr>
        </w:div>
        <w:div w:id="1706636036">
          <w:marLeft w:val="0"/>
          <w:marRight w:val="0"/>
          <w:marTop w:val="0"/>
          <w:marBottom w:val="0"/>
          <w:divBdr>
            <w:top w:val="none" w:sz="0" w:space="0" w:color="auto"/>
            <w:left w:val="none" w:sz="0" w:space="0" w:color="auto"/>
            <w:bottom w:val="none" w:sz="0" w:space="0" w:color="auto"/>
            <w:right w:val="none" w:sz="0" w:space="0" w:color="auto"/>
          </w:divBdr>
        </w:div>
        <w:div w:id="995842708">
          <w:marLeft w:val="0"/>
          <w:marRight w:val="0"/>
          <w:marTop w:val="0"/>
          <w:marBottom w:val="0"/>
          <w:divBdr>
            <w:top w:val="none" w:sz="0" w:space="0" w:color="auto"/>
            <w:left w:val="none" w:sz="0" w:space="0" w:color="auto"/>
            <w:bottom w:val="none" w:sz="0" w:space="0" w:color="auto"/>
            <w:right w:val="none" w:sz="0" w:space="0" w:color="auto"/>
          </w:divBdr>
        </w:div>
        <w:div w:id="12804775">
          <w:marLeft w:val="0"/>
          <w:marRight w:val="0"/>
          <w:marTop w:val="0"/>
          <w:marBottom w:val="0"/>
          <w:divBdr>
            <w:top w:val="none" w:sz="0" w:space="0" w:color="auto"/>
            <w:left w:val="none" w:sz="0" w:space="0" w:color="auto"/>
            <w:bottom w:val="none" w:sz="0" w:space="0" w:color="auto"/>
            <w:right w:val="none" w:sz="0" w:space="0" w:color="auto"/>
          </w:divBdr>
        </w:div>
        <w:div w:id="1474101710">
          <w:marLeft w:val="0"/>
          <w:marRight w:val="0"/>
          <w:marTop w:val="0"/>
          <w:marBottom w:val="0"/>
          <w:divBdr>
            <w:top w:val="none" w:sz="0" w:space="0" w:color="auto"/>
            <w:left w:val="none" w:sz="0" w:space="0" w:color="auto"/>
            <w:bottom w:val="none" w:sz="0" w:space="0" w:color="auto"/>
            <w:right w:val="none" w:sz="0" w:space="0" w:color="auto"/>
          </w:divBdr>
        </w:div>
        <w:div w:id="1017315998">
          <w:marLeft w:val="0"/>
          <w:marRight w:val="0"/>
          <w:marTop w:val="0"/>
          <w:marBottom w:val="0"/>
          <w:divBdr>
            <w:top w:val="none" w:sz="0" w:space="0" w:color="auto"/>
            <w:left w:val="none" w:sz="0" w:space="0" w:color="auto"/>
            <w:bottom w:val="none" w:sz="0" w:space="0" w:color="auto"/>
            <w:right w:val="none" w:sz="0" w:space="0" w:color="auto"/>
          </w:divBdr>
        </w:div>
        <w:div w:id="2086217294">
          <w:marLeft w:val="0"/>
          <w:marRight w:val="0"/>
          <w:marTop w:val="0"/>
          <w:marBottom w:val="0"/>
          <w:divBdr>
            <w:top w:val="none" w:sz="0" w:space="0" w:color="auto"/>
            <w:left w:val="none" w:sz="0" w:space="0" w:color="auto"/>
            <w:bottom w:val="none" w:sz="0" w:space="0" w:color="auto"/>
            <w:right w:val="none" w:sz="0" w:space="0" w:color="auto"/>
          </w:divBdr>
        </w:div>
        <w:div w:id="282074563">
          <w:marLeft w:val="0"/>
          <w:marRight w:val="0"/>
          <w:marTop w:val="0"/>
          <w:marBottom w:val="0"/>
          <w:divBdr>
            <w:top w:val="none" w:sz="0" w:space="0" w:color="auto"/>
            <w:left w:val="none" w:sz="0" w:space="0" w:color="auto"/>
            <w:bottom w:val="none" w:sz="0" w:space="0" w:color="auto"/>
            <w:right w:val="none" w:sz="0" w:space="0" w:color="auto"/>
          </w:divBdr>
        </w:div>
        <w:div w:id="1140732845">
          <w:marLeft w:val="0"/>
          <w:marRight w:val="0"/>
          <w:marTop w:val="0"/>
          <w:marBottom w:val="0"/>
          <w:divBdr>
            <w:top w:val="none" w:sz="0" w:space="0" w:color="auto"/>
            <w:left w:val="none" w:sz="0" w:space="0" w:color="auto"/>
            <w:bottom w:val="none" w:sz="0" w:space="0" w:color="auto"/>
            <w:right w:val="none" w:sz="0" w:space="0" w:color="auto"/>
          </w:divBdr>
        </w:div>
        <w:div w:id="337855788">
          <w:marLeft w:val="0"/>
          <w:marRight w:val="0"/>
          <w:marTop w:val="0"/>
          <w:marBottom w:val="0"/>
          <w:divBdr>
            <w:top w:val="none" w:sz="0" w:space="0" w:color="auto"/>
            <w:left w:val="none" w:sz="0" w:space="0" w:color="auto"/>
            <w:bottom w:val="none" w:sz="0" w:space="0" w:color="auto"/>
            <w:right w:val="none" w:sz="0" w:space="0" w:color="auto"/>
          </w:divBdr>
        </w:div>
        <w:div w:id="1321733313">
          <w:marLeft w:val="0"/>
          <w:marRight w:val="0"/>
          <w:marTop w:val="0"/>
          <w:marBottom w:val="0"/>
          <w:divBdr>
            <w:top w:val="none" w:sz="0" w:space="0" w:color="auto"/>
            <w:left w:val="none" w:sz="0" w:space="0" w:color="auto"/>
            <w:bottom w:val="none" w:sz="0" w:space="0" w:color="auto"/>
            <w:right w:val="none" w:sz="0" w:space="0" w:color="auto"/>
          </w:divBdr>
        </w:div>
        <w:div w:id="1388840885">
          <w:marLeft w:val="0"/>
          <w:marRight w:val="0"/>
          <w:marTop w:val="0"/>
          <w:marBottom w:val="0"/>
          <w:divBdr>
            <w:top w:val="none" w:sz="0" w:space="0" w:color="auto"/>
            <w:left w:val="none" w:sz="0" w:space="0" w:color="auto"/>
            <w:bottom w:val="none" w:sz="0" w:space="0" w:color="auto"/>
            <w:right w:val="none" w:sz="0" w:space="0" w:color="auto"/>
          </w:divBdr>
        </w:div>
        <w:div w:id="1201742712">
          <w:marLeft w:val="0"/>
          <w:marRight w:val="0"/>
          <w:marTop w:val="0"/>
          <w:marBottom w:val="0"/>
          <w:divBdr>
            <w:top w:val="none" w:sz="0" w:space="0" w:color="auto"/>
            <w:left w:val="none" w:sz="0" w:space="0" w:color="auto"/>
            <w:bottom w:val="none" w:sz="0" w:space="0" w:color="auto"/>
            <w:right w:val="none" w:sz="0" w:space="0" w:color="auto"/>
          </w:divBdr>
        </w:div>
        <w:div w:id="994719656">
          <w:marLeft w:val="0"/>
          <w:marRight w:val="0"/>
          <w:marTop w:val="0"/>
          <w:marBottom w:val="0"/>
          <w:divBdr>
            <w:top w:val="none" w:sz="0" w:space="0" w:color="auto"/>
            <w:left w:val="none" w:sz="0" w:space="0" w:color="auto"/>
            <w:bottom w:val="none" w:sz="0" w:space="0" w:color="auto"/>
            <w:right w:val="none" w:sz="0" w:space="0" w:color="auto"/>
          </w:divBdr>
        </w:div>
        <w:div w:id="1152793968">
          <w:marLeft w:val="0"/>
          <w:marRight w:val="0"/>
          <w:marTop w:val="0"/>
          <w:marBottom w:val="0"/>
          <w:divBdr>
            <w:top w:val="none" w:sz="0" w:space="0" w:color="auto"/>
            <w:left w:val="none" w:sz="0" w:space="0" w:color="auto"/>
            <w:bottom w:val="none" w:sz="0" w:space="0" w:color="auto"/>
            <w:right w:val="none" w:sz="0" w:space="0" w:color="auto"/>
          </w:divBdr>
        </w:div>
        <w:div w:id="92098280">
          <w:marLeft w:val="0"/>
          <w:marRight w:val="0"/>
          <w:marTop w:val="0"/>
          <w:marBottom w:val="0"/>
          <w:divBdr>
            <w:top w:val="none" w:sz="0" w:space="0" w:color="auto"/>
            <w:left w:val="none" w:sz="0" w:space="0" w:color="auto"/>
            <w:bottom w:val="none" w:sz="0" w:space="0" w:color="auto"/>
            <w:right w:val="none" w:sz="0" w:space="0" w:color="auto"/>
          </w:divBdr>
        </w:div>
        <w:div w:id="756678692">
          <w:marLeft w:val="0"/>
          <w:marRight w:val="0"/>
          <w:marTop w:val="0"/>
          <w:marBottom w:val="0"/>
          <w:divBdr>
            <w:top w:val="none" w:sz="0" w:space="0" w:color="auto"/>
            <w:left w:val="none" w:sz="0" w:space="0" w:color="auto"/>
            <w:bottom w:val="none" w:sz="0" w:space="0" w:color="auto"/>
            <w:right w:val="none" w:sz="0" w:space="0" w:color="auto"/>
          </w:divBdr>
        </w:div>
        <w:div w:id="2018536512">
          <w:marLeft w:val="0"/>
          <w:marRight w:val="0"/>
          <w:marTop w:val="0"/>
          <w:marBottom w:val="0"/>
          <w:divBdr>
            <w:top w:val="none" w:sz="0" w:space="0" w:color="auto"/>
            <w:left w:val="none" w:sz="0" w:space="0" w:color="auto"/>
            <w:bottom w:val="none" w:sz="0" w:space="0" w:color="auto"/>
            <w:right w:val="none" w:sz="0" w:space="0" w:color="auto"/>
          </w:divBdr>
        </w:div>
        <w:div w:id="104543338">
          <w:marLeft w:val="0"/>
          <w:marRight w:val="0"/>
          <w:marTop w:val="0"/>
          <w:marBottom w:val="0"/>
          <w:divBdr>
            <w:top w:val="none" w:sz="0" w:space="0" w:color="auto"/>
            <w:left w:val="none" w:sz="0" w:space="0" w:color="auto"/>
            <w:bottom w:val="none" w:sz="0" w:space="0" w:color="auto"/>
            <w:right w:val="none" w:sz="0" w:space="0" w:color="auto"/>
          </w:divBdr>
        </w:div>
        <w:div w:id="1649086733">
          <w:marLeft w:val="0"/>
          <w:marRight w:val="0"/>
          <w:marTop w:val="0"/>
          <w:marBottom w:val="0"/>
          <w:divBdr>
            <w:top w:val="none" w:sz="0" w:space="0" w:color="auto"/>
            <w:left w:val="none" w:sz="0" w:space="0" w:color="auto"/>
            <w:bottom w:val="none" w:sz="0" w:space="0" w:color="auto"/>
            <w:right w:val="none" w:sz="0" w:space="0" w:color="auto"/>
          </w:divBdr>
        </w:div>
        <w:div w:id="739669684">
          <w:marLeft w:val="0"/>
          <w:marRight w:val="0"/>
          <w:marTop w:val="0"/>
          <w:marBottom w:val="0"/>
          <w:divBdr>
            <w:top w:val="none" w:sz="0" w:space="0" w:color="auto"/>
            <w:left w:val="none" w:sz="0" w:space="0" w:color="auto"/>
            <w:bottom w:val="none" w:sz="0" w:space="0" w:color="auto"/>
            <w:right w:val="none" w:sz="0" w:space="0" w:color="auto"/>
          </w:divBdr>
        </w:div>
        <w:div w:id="1981569967">
          <w:marLeft w:val="0"/>
          <w:marRight w:val="0"/>
          <w:marTop w:val="0"/>
          <w:marBottom w:val="0"/>
          <w:divBdr>
            <w:top w:val="none" w:sz="0" w:space="0" w:color="auto"/>
            <w:left w:val="none" w:sz="0" w:space="0" w:color="auto"/>
            <w:bottom w:val="none" w:sz="0" w:space="0" w:color="auto"/>
            <w:right w:val="none" w:sz="0" w:space="0" w:color="auto"/>
          </w:divBdr>
        </w:div>
        <w:div w:id="1734426393">
          <w:marLeft w:val="0"/>
          <w:marRight w:val="0"/>
          <w:marTop w:val="0"/>
          <w:marBottom w:val="0"/>
          <w:divBdr>
            <w:top w:val="none" w:sz="0" w:space="0" w:color="auto"/>
            <w:left w:val="none" w:sz="0" w:space="0" w:color="auto"/>
            <w:bottom w:val="none" w:sz="0" w:space="0" w:color="auto"/>
            <w:right w:val="none" w:sz="0" w:space="0" w:color="auto"/>
          </w:divBdr>
        </w:div>
        <w:div w:id="884296527">
          <w:marLeft w:val="0"/>
          <w:marRight w:val="0"/>
          <w:marTop w:val="0"/>
          <w:marBottom w:val="0"/>
          <w:divBdr>
            <w:top w:val="none" w:sz="0" w:space="0" w:color="auto"/>
            <w:left w:val="none" w:sz="0" w:space="0" w:color="auto"/>
            <w:bottom w:val="none" w:sz="0" w:space="0" w:color="auto"/>
            <w:right w:val="none" w:sz="0" w:space="0" w:color="auto"/>
          </w:divBdr>
        </w:div>
        <w:div w:id="1031806630">
          <w:marLeft w:val="0"/>
          <w:marRight w:val="0"/>
          <w:marTop w:val="0"/>
          <w:marBottom w:val="0"/>
          <w:divBdr>
            <w:top w:val="none" w:sz="0" w:space="0" w:color="auto"/>
            <w:left w:val="none" w:sz="0" w:space="0" w:color="auto"/>
            <w:bottom w:val="none" w:sz="0" w:space="0" w:color="auto"/>
            <w:right w:val="none" w:sz="0" w:space="0" w:color="auto"/>
          </w:divBdr>
        </w:div>
        <w:div w:id="1298798613">
          <w:marLeft w:val="0"/>
          <w:marRight w:val="0"/>
          <w:marTop w:val="0"/>
          <w:marBottom w:val="0"/>
          <w:divBdr>
            <w:top w:val="none" w:sz="0" w:space="0" w:color="auto"/>
            <w:left w:val="none" w:sz="0" w:space="0" w:color="auto"/>
            <w:bottom w:val="none" w:sz="0" w:space="0" w:color="auto"/>
            <w:right w:val="none" w:sz="0" w:space="0" w:color="auto"/>
          </w:divBdr>
        </w:div>
        <w:div w:id="1741907967">
          <w:marLeft w:val="0"/>
          <w:marRight w:val="0"/>
          <w:marTop w:val="0"/>
          <w:marBottom w:val="0"/>
          <w:divBdr>
            <w:top w:val="none" w:sz="0" w:space="0" w:color="auto"/>
            <w:left w:val="none" w:sz="0" w:space="0" w:color="auto"/>
            <w:bottom w:val="none" w:sz="0" w:space="0" w:color="auto"/>
            <w:right w:val="none" w:sz="0" w:space="0" w:color="auto"/>
          </w:divBdr>
        </w:div>
        <w:div w:id="1182281200">
          <w:marLeft w:val="0"/>
          <w:marRight w:val="0"/>
          <w:marTop w:val="0"/>
          <w:marBottom w:val="0"/>
          <w:divBdr>
            <w:top w:val="none" w:sz="0" w:space="0" w:color="auto"/>
            <w:left w:val="none" w:sz="0" w:space="0" w:color="auto"/>
            <w:bottom w:val="none" w:sz="0" w:space="0" w:color="auto"/>
            <w:right w:val="none" w:sz="0" w:space="0" w:color="auto"/>
          </w:divBdr>
        </w:div>
        <w:div w:id="1549951779">
          <w:marLeft w:val="0"/>
          <w:marRight w:val="0"/>
          <w:marTop w:val="0"/>
          <w:marBottom w:val="0"/>
          <w:divBdr>
            <w:top w:val="none" w:sz="0" w:space="0" w:color="auto"/>
            <w:left w:val="none" w:sz="0" w:space="0" w:color="auto"/>
            <w:bottom w:val="none" w:sz="0" w:space="0" w:color="auto"/>
            <w:right w:val="none" w:sz="0" w:space="0" w:color="auto"/>
          </w:divBdr>
        </w:div>
        <w:div w:id="1401096504">
          <w:marLeft w:val="0"/>
          <w:marRight w:val="0"/>
          <w:marTop w:val="0"/>
          <w:marBottom w:val="0"/>
          <w:divBdr>
            <w:top w:val="none" w:sz="0" w:space="0" w:color="auto"/>
            <w:left w:val="none" w:sz="0" w:space="0" w:color="auto"/>
            <w:bottom w:val="none" w:sz="0" w:space="0" w:color="auto"/>
            <w:right w:val="none" w:sz="0" w:space="0" w:color="auto"/>
          </w:divBdr>
        </w:div>
        <w:div w:id="1017151084">
          <w:marLeft w:val="0"/>
          <w:marRight w:val="0"/>
          <w:marTop w:val="0"/>
          <w:marBottom w:val="0"/>
          <w:divBdr>
            <w:top w:val="none" w:sz="0" w:space="0" w:color="auto"/>
            <w:left w:val="none" w:sz="0" w:space="0" w:color="auto"/>
            <w:bottom w:val="none" w:sz="0" w:space="0" w:color="auto"/>
            <w:right w:val="none" w:sz="0" w:space="0" w:color="auto"/>
          </w:divBdr>
        </w:div>
        <w:div w:id="467364165">
          <w:marLeft w:val="0"/>
          <w:marRight w:val="0"/>
          <w:marTop w:val="0"/>
          <w:marBottom w:val="0"/>
          <w:divBdr>
            <w:top w:val="none" w:sz="0" w:space="0" w:color="auto"/>
            <w:left w:val="none" w:sz="0" w:space="0" w:color="auto"/>
            <w:bottom w:val="none" w:sz="0" w:space="0" w:color="auto"/>
            <w:right w:val="none" w:sz="0" w:space="0" w:color="auto"/>
          </w:divBdr>
        </w:div>
        <w:div w:id="330377537">
          <w:marLeft w:val="0"/>
          <w:marRight w:val="0"/>
          <w:marTop w:val="0"/>
          <w:marBottom w:val="0"/>
          <w:divBdr>
            <w:top w:val="none" w:sz="0" w:space="0" w:color="auto"/>
            <w:left w:val="none" w:sz="0" w:space="0" w:color="auto"/>
            <w:bottom w:val="none" w:sz="0" w:space="0" w:color="auto"/>
            <w:right w:val="none" w:sz="0" w:space="0" w:color="auto"/>
          </w:divBdr>
        </w:div>
        <w:div w:id="844979609">
          <w:marLeft w:val="0"/>
          <w:marRight w:val="0"/>
          <w:marTop w:val="0"/>
          <w:marBottom w:val="0"/>
          <w:divBdr>
            <w:top w:val="none" w:sz="0" w:space="0" w:color="auto"/>
            <w:left w:val="none" w:sz="0" w:space="0" w:color="auto"/>
            <w:bottom w:val="none" w:sz="0" w:space="0" w:color="auto"/>
            <w:right w:val="none" w:sz="0" w:space="0" w:color="auto"/>
          </w:divBdr>
        </w:div>
        <w:div w:id="1825391727">
          <w:marLeft w:val="0"/>
          <w:marRight w:val="0"/>
          <w:marTop w:val="0"/>
          <w:marBottom w:val="0"/>
          <w:divBdr>
            <w:top w:val="none" w:sz="0" w:space="0" w:color="auto"/>
            <w:left w:val="none" w:sz="0" w:space="0" w:color="auto"/>
            <w:bottom w:val="none" w:sz="0" w:space="0" w:color="auto"/>
            <w:right w:val="none" w:sz="0" w:space="0" w:color="auto"/>
          </w:divBdr>
        </w:div>
        <w:div w:id="2101490603">
          <w:marLeft w:val="0"/>
          <w:marRight w:val="0"/>
          <w:marTop w:val="0"/>
          <w:marBottom w:val="0"/>
          <w:divBdr>
            <w:top w:val="none" w:sz="0" w:space="0" w:color="auto"/>
            <w:left w:val="none" w:sz="0" w:space="0" w:color="auto"/>
            <w:bottom w:val="none" w:sz="0" w:space="0" w:color="auto"/>
            <w:right w:val="none" w:sz="0" w:space="0" w:color="auto"/>
          </w:divBdr>
        </w:div>
        <w:div w:id="937710873">
          <w:marLeft w:val="0"/>
          <w:marRight w:val="0"/>
          <w:marTop w:val="0"/>
          <w:marBottom w:val="0"/>
          <w:divBdr>
            <w:top w:val="none" w:sz="0" w:space="0" w:color="auto"/>
            <w:left w:val="none" w:sz="0" w:space="0" w:color="auto"/>
            <w:bottom w:val="none" w:sz="0" w:space="0" w:color="auto"/>
            <w:right w:val="none" w:sz="0" w:space="0" w:color="auto"/>
          </w:divBdr>
        </w:div>
        <w:div w:id="1167668989">
          <w:marLeft w:val="0"/>
          <w:marRight w:val="0"/>
          <w:marTop w:val="0"/>
          <w:marBottom w:val="0"/>
          <w:divBdr>
            <w:top w:val="none" w:sz="0" w:space="0" w:color="auto"/>
            <w:left w:val="none" w:sz="0" w:space="0" w:color="auto"/>
            <w:bottom w:val="none" w:sz="0" w:space="0" w:color="auto"/>
            <w:right w:val="none" w:sz="0" w:space="0" w:color="auto"/>
          </w:divBdr>
        </w:div>
        <w:div w:id="490415935">
          <w:marLeft w:val="0"/>
          <w:marRight w:val="0"/>
          <w:marTop w:val="0"/>
          <w:marBottom w:val="0"/>
          <w:divBdr>
            <w:top w:val="none" w:sz="0" w:space="0" w:color="auto"/>
            <w:left w:val="none" w:sz="0" w:space="0" w:color="auto"/>
            <w:bottom w:val="none" w:sz="0" w:space="0" w:color="auto"/>
            <w:right w:val="none" w:sz="0" w:space="0" w:color="auto"/>
          </w:divBdr>
        </w:div>
        <w:div w:id="876047952">
          <w:marLeft w:val="0"/>
          <w:marRight w:val="0"/>
          <w:marTop w:val="0"/>
          <w:marBottom w:val="0"/>
          <w:divBdr>
            <w:top w:val="none" w:sz="0" w:space="0" w:color="auto"/>
            <w:left w:val="none" w:sz="0" w:space="0" w:color="auto"/>
            <w:bottom w:val="none" w:sz="0" w:space="0" w:color="auto"/>
            <w:right w:val="none" w:sz="0" w:space="0" w:color="auto"/>
          </w:divBdr>
        </w:div>
        <w:div w:id="503471055">
          <w:marLeft w:val="0"/>
          <w:marRight w:val="0"/>
          <w:marTop w:val="0"/>
          <w:marBottom w:val="0"/>
          <w:divBdr>
            <w:top w:val="none" w:sz="0" w:space="0" w:color="auto"/>
            <w:left w:val="none" w:sz="0" w:space="0" w:color="auto"/>
            <w:bottom w:val="none" w:sz="0" w:space="0" w:color="auto"/>
            <w:right w:val="none" w:sz="0" w:space="0" w:color="auto"/>
          </w:divBdr>
        </w:div>
        <w:div w:id="1215462672">
          <w:marLeft w:val="0"/>
          <w:marRight w:val="0"/>
          <w:marTop w:val="0"/>
          <w:marBottom w:val="0"/>
          <w:divBdr>
            <w:top w:val="none" w:sz="0" w:space="0" w:color="auto"/>
            <w:left w:val="none" w:sz="0" w:space="0" w:color="auto"/>
            <w:bottom w:val="none" w:sz="0" w:space="0" w:color="auto"/>
            <w:right w:val="none" w:sz="0" w:space="0" w:color="auto"/>
          </w:divBdr>
        </w:div>
        <w:div w:id="1886407682">
          <w:marLeft w:val="0"/>
          <w:marRight w:val="0"/>
          <w:marTop w:val="0"/>
          <w:marBottom w:val="0"/>
          <w:divBdr>
            <w:top w:val="none" w:sz="0" w:space="0" w:color="auto"/>
            <w:left w:val="none" w:sz="0" w:space="0" w:color="auto"/>
            <w:bottom w:val="none" w:sz="0" w:space="0" w:color="auto"/>
            <w:right w:val="none" w:sz="0" w:space="0" w:color="auto"/>
          </w:divBdr>
        </w:div>
        <w:div w:id="2118213099">
          <w:marLeft w:val="0"/>
          <w:marRight w:val="0"/>
          <w:marTop w:val="0"/>
          <w:marBottom w:val="0"/>
          <w:divBdr>
            <w:top w:val="none" w:sz="0" w:space="0" w:color="auto"/>
            <w:left w:val="none" w:sz="0" w:space="0" w:color="auto"/>
            <w:bottom w:val="none" w:sz="0" w:space="0" w:color="auto"/>
            <w:right w:val="none" w:sz="0" w:space="0" w:color="auto"/>
          </w:divBdr>
        </w:div>
        <w:div w:id="829709216">
          <w:marLeft w:val="0"/>
          <w:marRight w:val="0"/>
          <w:marTop w:val="0"/>
          <w:marBottom w:val="0"/>
          <w:divBdr>
            <w:top w:val="none" w:sz="0" w:space="0" w:color="auto"/>
            <w:left w:val="none" w:sz="0" w:space="0" w:color="auto"/>
            <w:bottom w:val="none" w:sz="0" w:space="0" w:color="auto"/>
            <w:right w:val="none" w:sz="0" w:space="0" w:color="auto"/>
          </w:divBdr>
        </w:div>
        <w:div w:id="745225392">
          <w:marLeft w:val="0"/>
          <w:marRight w:val="0"/>
          <w:marTop w:val="0"/>
          <w:marBottom w:val="0"/>
          <w:divBdr>
            <w:top w:val="none" w:sz="0" w:space="0" w:color="auto"/>
            <w:left w:val="none" w:sz="0" w:space="0" w:color="auto"/>
            <w:bottom w:val="none" w:sz="0" w:space="0" w:color="auto"/>
            <w:right w:val="none" w:sz="0" w:space="0" w:color="auto"/>
          </w:divBdr>
        </w:div>
        <w:div w:id="1331566896">
          <w:marLeft w:val="0"/>
          <w:marRight w:val="0"/>
          <w:marTop w:val="0"/>
          <w:marBottom w:val="0"/>
          <w:divBdr>
            <w:top w:val="none" w:sz="0" w:space="0" w:color="auto"/>
            <w:left w:val="none" w:sz="0" w:space="0" w:color="auto"/>
            <w:bottom w:val="none" w:sz="0" w:space="0" w:color="auto"/>
            <w:right w:val="none" w:sz="0" w:space="0" w:color="auto"/>
          </w:divBdr>
        </w:div>
        <w:div w:id="1293756211">
          <w:marLeft w:val="0"/>
          <w:marRight w:val="0"/>
          <w:marTop w:val="0"/>
          <w:marBottom w:val="0"/>
          <w:divBdr>
            <w:top w:val="none" w:sz="0" w:space="0" w:color="auto"/>
            <w:left w:val="none" w:sz="0" w:space="0" w:color="auto"/>
            <w:bottom w:val="none" w:sz="0" w:space="0" w:color="auto"/>
            <w:right w:val="none" w:sz="0" w:space="0" w:color="auto"/>
          </w:divBdr>
        </w:div>
        <w:div w:id="1799251719">
          <w:marLeft w:val="0"/>
          <w:marRight w:val="0"/>
          <w:marTop w:val="0"/>
          <w:marBottom w:val="0"/>
          <w:divBdr>
            <w:top w:val="none" w:sz="0" w:space="0" w:color="auto"/>
            <w:left w:val="none" w:sz="0" w:space="0" w:color="auto"/>
            <w:bottom w:val="none" w:sz="0" w:space="0" w:color="auto"/>
            <w:right w:val="none" w:sz="0" w:space="0" w:color="auto"/>
          </w:divBdr>
        </w:div>
        <w:div w:id="726105701">
          <w:marLeft w:val="0"/>
          <w:marRight w:val="0"/>
          <w:marTop w:val="0"/>
          <w:marBottom w:val="0"/>
          <w:divBdr>
            <w:top w:val="none" w:sz="0" w:space="0" w:color="auto"/>
            <w:left w:val="none" w:sz="0" w:space="0" w:color="auto"/>
            <w:bottom w:val="none" w:sz="0" w:space="0" w:color="auto"/>
            <w:right w:val="none" w:sz="0" w:space="0" w:color="auto"/>
          </w:divBdr>
        </w:div>
        <w:div w:id="277685976">
          <w:marLeft w:val="0"/>
          <w:marRight w:val="0"/>
          <w:marTop w:val="0"/>
          <w:marBottom w:val="0"/>
          <w:divBdr>
            <w:top w:val="none" w:sz="0" w:space="0" w:color="auto"/>
            <w:left w:val="none" w:sz="0" w:space="0" w:color="auto"/>
            <w:bottom w:val="none" w:sz="0" w:space="0" w:color="auto"/>
            <w:right w:val="none" w:sz="0" w:space="0" w:color="auto"/>
          </w:divBdr>
        </w:div>
        <w:div w:id="800340288">
          <w:marLeft w:val="0"/>
          <w:marRight w:val="0"/>
          <w:marTop w:val="0"/>
          <w:marBottom w:val="0"/>
          <w:divBdr>
            <w:top w:val="none" w:sz="0" w:space="0" w:color="auto"/>
            <w:left w:val="none" w:sz="0" w:space="0" w:color="auto"/>
            <w:bottom w:val="none" w:sz="0" w:space="0" w:color="auto"/>
            <w:right w:val="none" w:sz="0" w:space="0" w:color="auto"/>
          </w:divBdr>
        </w:div>
        <w:div w:id="1623725073">
          <w:marLeft w:val="0"/>
          <w:marRight w:val="0"/>
          <w:marTop w:val="0"/>
          <w:marBottom w:val="0"/>
          <w:divBdr>
            <w:top w:val="none" w:sz="0" w:space="0" w:color="auto"/>
            <w:left w:val="none" w:sz="0" w:space="0" w:color="auto"/>
            <w:bottom w:val="none" w:sz="0" w:space="0" w:color="auto"/>
            <w:right w:val="none" w:sz="0" w:space="0" w:color="auto"/>
          </w:divBdr>
        </w:div>
        <w:div w:id="1295795294">
          <w:marLeft w:val="0"/>
          <w:marRight w:val="0"/>
          <w:marTop w:val="0"/>
          <w:marBottom w:val="0"/>
          <w:divBdr>
            <w:top w:val="none" w:sz="0" w:space="0" w:color="auto"/>
            <w:left w:val="none" w:sz="0" w:space="0" w:color="auto"/>
            <w:bottom w:val="none" w:sz="0" w:space="0" w:color="auto"/>
            <w:right w:val="none" w:sz="0" w:space="0" w:color="auto"/>
          </w:divBdr>
        </w:div>
        <w:div w:id="1477066517">
          <w:marLeft w:val="0"/>
          <w:marRight w:val="0"/>
          <w:marTop w:val="0"/>
          <w:marBottom w:val="0"/>
          <w:divBdr>
            <w:top w:val="none" w:sz="0" w:space="0" w:color="auto"/>
            <w:left w:val="none" w:sz="0" w:space="0" w:color="auto"/>
            <w:bottom w:val="none" w:sz="0" w:space="0" w:color="auto"/>
            <w:right w:val="none" w:sz="0" w:space="0" w:color="auto"/>
          </w:divBdr>
        </w:div>
        <w:div w:id="835732998">
          <w:marLeft w:val="0"/>
          <w:marRight w:val="0"/>
          <w:marTop w:val="0"/>
          <w:marBottom w:val="0"/>
          <w:divBdr>
            <w:top w:val="none" w:sz="0" w:space="0" w:color="auto"/>
            <w:left w:val="none" w:sz="0" w:space="0" w:color="auto"/>
            <w:bottom w:val="none" w:sz="0" w:space="0" w:color="auto"/>
            <w:right w:val="none" w:sz="0" w:space="0" w:color="auto"/>
          </w:divBdr>
        </w:div>
        <w:div w:id="2071229158">
          <w:marLeft w:val="0"/>
          <w:marRight w:val="0"/>
          <w:marTop w:val="0"/>
          <w:marBottom w:val="0"/>
          <w:divBdr>
            <w:top w:val="none" w:sz="0" w:space="0" w:color="auto"/>
            <w:left w:val="none" w:sz="0" w:space="0" w:color="auto"/>
            <w:bottom w:val="none" w:sz="0" w:space="0" w:color="auto"/>
            <w:right w:val="none" w:sz="0" w:space="0" w:color="auto"/>
          </w:divBdr>
        </w:div>
        <w:div w:id="781802799">
          <w:marLeft w:val="0"/>
          <w:marRight w:val="0"/>
          <w:marTop w:val="0"/>
          <w:marBottom w:val="0"/>
          <w:divBdr>
            <w:top w:val="none" w:sz="0" w:space="0" w:color="auto"/>
            <w:left w:val="none" w:sz="0" w:space="0" w:color="auto"/>
            <w:bottom w:val="none" w:sz="0" w:space="0" w:color="auto"/>
            <w:right w:val="none" w:sz="0" w:space="0" w:color="auto"/>
          </w:divBdr>
        </w:div>
        <w:div w:id="160392737">
          <w:marLeft w:val="0"/>
          <w:marRight w:val="0"/>
          <w:marTop w:val="0"/>
          <w:marBottom w:val="0"/>
          <w:divBdr>
            <w:top w:val="none" w:sz="0" w:space="0" w:color="auto"/>
            <w:left w:val="none" w:sz="0" w:space="0" w:color="auto"/>
            <w:bottom w:val="none" w:sz="0" w:space="0" w:color="auto"/>
            <w:right w:val="none" w:sz="0" w:space="0" w:color="auto"/>
          </w:divBdr>
        </w:div>
        <w:div w:id="834538489">
          <w:marLeft w:val="0"/>
          <w:marRight w:val="0"/>
          <w:marTop w:val="0"/>
          <w:marBottom w:val="0"/>
          <w:divBdr>
            <w:top w:val="none" w:sz="0" w:space="0" w:color="auto"/>
            <w:left w:val="none" w:sz="0" w:space="0" w:color="auto"/>
            <w:bottom w:val="none" w:sz="0" w:space="0" w:color="auto"/>
            <w:right w:val="none" w:sz="0" w:space="0" w:color="auto"/>
          </w:divBdr>
        </w:div>
        <w:div w:id="1673020188">
          <w:marLeft w:val="0"/>
          <w:marRight w:val="0"/>
          <w:marTop w:val="0"/>
          <w:marBottom w:val="0"/>
          <w:divBdr>
            <w:top w:val="none" w:sz="0" w:space="0" w:color="auto"/>
            <w:left w:val="none" w:sz="0" w:space="0" w:color="auto"/>
            <w:bottom w:val="none" w:sz="0" w:space="0" w:color="auto"/>
            <w:right w:val="none" w:sz="0" w:space="0" w:color="auto"/>
          </w:divBdr>
        </w:div>
        <w:div w:id="870457386">
          <w:marLeft w:val="0"/>
          <w:marRight w:val="0"/>
          <w:marTop w:val="0"/>
          <w:marBottom w:val="0"/>
          <w:divBdr>
            <w:top w:val="none" w:sz="0" w:space="0" w:color="auto"/>
            <w:left w:val="none" w:sz="0" w:space="0" w:color="auto"/>
            <w:bottom w:val="none" w:sz="0" w:space="0" w:color="auto"/>
            <w:right w:val="none" w:sz="0" w:space="0" w:color="auto"/>
          </w:divBdr>
        </w:div>
        <w:div w:id="2113240199">
          <w:marLeft w:val="0"/>
          <w:marRight w:val="0"/>
          <w:marTop w:val="0"/>
          <w:marBottom w:val="0"/>
          <w:divBdr>
            <w:top w:val="none" w:sz="0" w:space="0" w:color="auto"/>
            <w:left w:val="none" w:sz="0" w:space="0" w:color="auto"/>
            <w:bottom w:val="none" w:sz="0" w:space="0" w:color="auto"/>
            <w:right w:val="none" w:sz="0" w:space="0" w:color="auto"/>
          </w:divBdr>
        </w:div>
        <w:div w:id="2109085048">
          <w:marLeft w:val="0"/>
          <w:marRight w:val="0"/>
          <w:marTop w:val="0"/>
          <w:marBottom w:val="0"/>
          <w:divBdr>
            <w:top w:val="none" w:sz="0" w:space="0" w:color="auto"/>
            <w:left w:val="none" w:sz="0" w:space="0" w:color="auto"/>
            <w:bottom w:val="none" w:sz="0" w:space="0" w:color="auto"/>
            <w:right w:val="none" w:sz="0" w:space="0" w:color="auto"/>
          </w:divBdr>
        </w:div>
        <w:div w:id="893927771">
          <w:marLeft w:val="0"/>
          <w:marRight w:val="0"/>
          <w:marTop w:val="0"/>
          <w:marBottom w:val="0"/>
          <w:divBdr>
            <w:top w:val="none" w:sz="0" w:space="0" w:color="auto"/>
            <w:left w:val="none" w:sz="0" w:space="0" w:color="auto"/>
            <w:bottom w:val="none" w:sz="0" w:space="0" w:color="auto"/>
            <w:right w:val="none" w:sz="0" w:space="0" w:color="auto"/>
          </w:divBdr>
        </w:div>
        <w:div w:id="1604873291">
          <w:marLeft w:val="0"/>
          <w:marRight w:val="0"/>
          <w:marTop w:val="0"/>
          <w:marBottom w:val="0"/>
          <w:divBdr>
            <w:top w:val="none" w:sz="0" w:space="0" w:color="auto"/>
            <w:left w:val="none" w:sz="0" w:space="0" w:color="auto"/>
            <w:bottom w:val="none" w:sz="0" w:space="0" w:color="auto"/>
            <w:right w:val="none" w:sz="0" w:space="0" w:color="auto"/>
          </w:divBdr>
        </w:div>
        <w:div w:id="540092310">
          <w:marLeft w:val="0"/>
          <w:marRight w:val="0"/>
          <w:marTop w:val="0"/>
          <w:marBottom w:val="0"/>
          <w:divBdr>
            <w:top w:val="none" w:sz="0" w:space="0" w:color="auto"/>
            <w:left w:val="none" w:sz="0" w:space="0" w:color="auto"/>
            <w:bottom w:val="none" w:sz="0" w:space="0" w:color="auto"/>
            <w:right w:val="none" w:sz="0" w:space="0" w:color="auto"/>
          </w:divBdr>
        </w:div>
        <w:div w:id="1098604491">
          <w:marLeft w:val="0"/>
          <w:marRight w:val="0"/>
          <w:marTop w:val="0"/>
          <w:marBottom w:val="0"/>
          <w:divBdr>
            <w:top w:val="none" w:sz="0" w:space="0" w:color="auto"/>
            <w:left w:val="none" w:sz="0" w:space="0" w:color="auto"/>
            <w:bottom w:val="none" w:sz="0" w:space="0" w:color="auto"/>
            <w:right w:val="none" w:sz="0" w:space="0" w:color="auto"/>
          </w:divBdr>
        </w:div>
        <w:div w:id="120536883">
          <w:marLeft w:val="0"/>
          <w:marRight w:val="0"/>
          <w:marTop w:val="0"/>
          <w:marBottom w:val="0"/>
          <w:divBdr>
            <w:top w:val="none" w:sz="0" w:space="0" w:color="auto"/>
            <w:left w:val="none" w:sz="0" w:space="0" w:color="auto"/>
            <w:bottom w:val="none" w:sz="0" w:space="0" w:color="auto"/>
            <w:right w:val="none" w:sz="0" w:space="0" w:color="auto"/>
          </w:divBdr>
        </w:div>
        <w:div w:id="287665124">
          <w:marLeft w:val="0"/>
          <w:marRight w:val="0"/>
          <w:marTop w:val="0"/>
          <w:marBottom w:val="0"/>
          <w:divBdr>
            <w:top w:val="none" w:sz="0" w:space="0" w:color="auto"/>
            <w:left w:val="none" w:sz="0" w:space="0" w:color="auto"/>
            <w:bottom w:val="none" w:sz="0" w:space="0" w:color="auto"/>
            <w:right w:val="none" w:sz="0" w:space="0" w:color="auto"/>
          </w:divBdr>
        </w:div>
        <w:div w:id="784236018">
          <w:marLeft w:val="0"/>
          <w:marRight w:val="0"/>
          <w:marTop w:val="0"/>
          <w:marBottom w:val="0"/>
          <w:divBdr>
            <w:top w:val="none" w:sz="0" w:space="0" w:color="auto"/>
            <w:left w:val="none" w:sz="0" w:space="0" w:color="auto"/>
            <w:bottom w:val="none" w:sz="0" w:space="0" w:color="auto"/>
            <w:right w:val="none" w:sz="0" w:space="0" w:color="auto"/>
          </w:divBdr>
        </w:div>
        <w:div w:id="1539387954">
          <w:marLeft w:val="0"/>
          <w:marRight w:val="0"/>
          <w:marTop w:val="0"/>
          <w:marBottom w:val="0"/>
          <w:divBdr>
            <w:top w:val="none" w:sz="0" w:space="0" w:color="auto"/>
            <w:left w:val="none" w:sz="0" w:space="0" w:color="auto"/>
            <w:bottom w:val="none" w:sz="0" w:space="0" w:color="auto"/>
            <w:right w:val="none" w:sz="0" w:space="0" w:color="auto"/>
          </w:divBdr>
        </w:div>
        <w:div w:id="860241821">
          <w:marLeft w:val="0"/>
          <w:marRight w:val="0"/>
          <w:marTop w:val="0"/>
          <w:marBottom w:val="0"/>
          <w:divBdr>
            <w:top w:val="none" w:sz="0" w:space="0" w:color="auto"/>
            <w:left w:val="none" w:sz="0" w:space="0" w:color="auto"/>
            <w:bottom w:val="none" w:sz="0" w:space="0" w:color="auto"/>
            <w:right w:val="none" w:sz="0" w:space="0" w:color="auto"/>
          </w:divBdr>
        </w:div>
        <w:div w:id="2122726780">
          <w:marLeft w:val="0"/>
          <w:marRight w:val="0"/>
          <w:marTop w:val="0"/>
          <w:marBottom w:val="0"/>
          <w:divBdr>
            <w:top w:val="none" w:sz="0" w:space="0" w:color="auto"/>
            <w:left w:val="none" w:sz="0" w:space="0" w:color="auto"/>
            <w:bottom w:val="none" w:sz="0" w:space="0" w:color="auto"/>
            <w:right w:val="none" w:sz="0" w:space="0" w:color="auto"/>
          </w:divBdr>
        </w:div>
        <w:div w:id="1289971170">
          <w:marLeft w:val="0"/>
          <w:marRight w:val="0"/>
          <w:marTop w:val="0"/>
          <w:marBottom w:val="0"/>
          <w:divBdr>
            <w:top w:val="none" w:sz="0" w:space="0" w:color="auto"/>
            <w:left w:val="none" w:sz="0" w:space="0" w:color="auto"/>
            <w:bottom w:val="none" w:sz="0" w:space="0" w:color="auto"/>
            <w:right w:val="none" w:sz="0" w:space="0" w:color="auto"/>
          </w:divBdr>
        </w:div>
        <w:div w:id="976254545">
          <w:marLeft w:val="0"/>
          <w:marRight w:val="0"/>
          <w:marTop w:val="0"/>
          <w:marBottom w:val="0"/>
          <w:divBdr>
            <w:top w:val="none" w:sz="0" w:space="0" w:color="auto"/>
            <w:left w:val="none" w:sz="0" w:space="0" w:color="auto"/>
            <w:bottom w:val="none" w:sz="0" w:space="0" w:color="auto"/>
            <w:right w:val="none" w:sz="0" w:space="0" w:color="auto"/>
          </w:divBdr>
        </w:div>
        <w:div w:id="690111099">
          <w:marLeft w:val="0"/>
          <w:marRight w:val="0"/>
          <w:marTop w:val="0"/>
          <w:marBottom w:val="0"/>
          <w:divBdr>
            <w:top w:val="none" w:sz="0" w:space="0" w:color="auto"/>
            <w:left w:val="none" w:sz="0" w:space="0" w:color="auto"/>
            <w:bottom w:val="none" w:sz="0" w:space="0" w:color="auto"/>
            <w:right w:val="none" w:sz="0" w:space="0" w:color="auto"/>
          </w:divBdr>
        </w:div>
        <w:div w:id="220412371">
          <w:marLeft w:val="0"/>
          <w:marRight w:val="0"/>
          <w:marTop w:val="0"/>
          <w:marBottom w:val="0"/>
          <w:divBdr>
            <w:top w:val="none" w:sz="0" w:space="0" w:color="auto"/>
            <w:left w:val="none" w:sz="0" w:space="0" w:color="auto"/>
            <w:bottom w:val="none" w:sz="0" w:space="0" w:color="auto"/>
            <w:right w:val="none" w:sz="0" w:space="0" w:color="auto"/>
          </w:divBdr>
        </w:div>
        <w:div w:id="2024437536">
          <w:marLeft w:val="0"/>
          <w:marRight w:val="0"/>
          <w:marTop w:val="0"/>
          <w:marBottom w:val="0"/>
          <w:divBdr>
            <w:top w:val="none" w:sz="0" w:space="0" w:color="auto"/>
            <w:left w:val="none" w:sz="0" w:space="0" w:color="auto"/>
            <w:bottom w:val="none" w:sz="0" w:space="0" w:color="auto"/>
            <w:right w:val="none" w:sz="0" w:space="0" w:color="auto"/>
          </w:divBdr>
        </w:div>
        <w:div w:id="955066198">
          <w:marLeft w:val="0"/>
          <w:marRight w:val="0"/>
          <w:marTop w:val="0"/>
          <w:marBottom w:val="0"/>
          <w:divBdr>
            <w:top w:val="none" w:sz="0" w:space="0" w:color="auto"/>
            <w:left w:val="none" w:sz="0" w:space="0" w:color="auto"/>
            <w:bottom w:val="none" w:sz="0" w:space="0" w:color="auto"/>
            <w:right w:val="none" w:sz="0" w:space="0" w:color="auto"/>
          </w:divBdr>
        </w:div>
        <w:div w:id="416748489">
          <w:marLeft w:val="0"/>
          <w:marRight w:val="0"/>
          <w:marTop w:val="0"/>
          <w:marBottom w:val="0"/>
          <w:divBdr>
            <w:top w:val="none" w:sz="0" w:space="0" w:color="auto"/>
            <w:left w:val="none" w:sz="0" w:space="0" w:color="auto"/>
            <w:bottom w:val="none" w:sz="0" w:space="0" w:color="auto"/>
            <w:right w:val="none" w:sz="0" w:space="0" w:color="auto"/>
          </w:divBdr>
        </w:div>
        <w:div w:id="227881570">
          <w:marLeft w:val="0"/>
          <w:marRight w:val="0"/>
          <w:marTop w:val="0"/>
          <w:marBottom w:val="0"/>
          <w:divBdr>
            <w:top w:val="none" w:sz="0" w:space="0" w:color="auto"/>
            <w:left w:val="none" w:sz="0" w:space="0" w:color="auto"/>
            <w:bottom w:val="none" w:sz="0" w:space="0" w:color="auto"/>
            <w:right w:val="none" w:sz="0" w:space="0" w:color="auto"/>
          </w:divBdr>
        </w:div>
        <w:div w:id="2130464441">
          <w:marLeft w:val="0"/>
          <w:marRight w:val="0"/>
          <w:marTop w:val="0"/>
          <w:marBottom w:val="0"/>
          <w:divBdr>
            <w:top w:val="none" w:sz="0" w:space="0" w:color="auto"/>
            <w:left w:val="none" w:sz="0" w:space="0" w:color="auto"/>
            <w:bottom w:val="none" w:sz="0" w:space="0" w:color="auto"/>
            <w:right w:val="none" w:sz="0" w:space="0" w:color="auto"/>
          </w:divBdr>
        </w:div>
        <w:div w:id="924533874">
          <w:marLeft w:val="0"/>
          <w:marRight w:val="0"/>
          <w:marTop w:val="0"/>
          <w:marBottom w:val="0"/>
          <w:divBdr>
            <w:top w:val="none" w:sz="0" w:space="0" w:color="auto"/>
            <w:left w:val="none" w:sz="0" w:space="0" w:color="auto"/>
            <w:bottom w:val="none" w:sz="0" w:space="0" w:color="auto"/>
            <w:right w:val="none" w:sz="0" w:space="0" w:color="auto"/>
          </w:divBdr>
        </w:div>
        <w:div w:id="1529874749">
          <w:marLeft w:val="0"/>
          <w:marRight w:val="0"/>
          <w:marTop w:val="0"/>
          <w:marBottom w:val="0"/>
          <w:divBdr>
            <w:top w:val="none" w:sz="0" w:space="0" w:color="auto"/>
            <w:left w:val="none" w:sz="0" w:space="0" w:color="auto"/>
            <w:bottom w:val="none" w:sz="0" w:space="0" w:color="auto"/>
            <w:right w:val="none" w:sz="0" w:space="0" w:color="auto"/>
          </w:divBdr>
        </w:div>
        <w:div w:id="98570944">
          <w:marLeft w:val="0"/>
          <w:marRight w:val="0"/>
          <w:marTop w:val="0"/>
          <w:marBottom w:val="0"/>
          <w:divBdr>
            <w:top w:val="none" w:sz="0" w:space="0" w:color="auto"/>
            <w:left w:val="none" w:sz="0" w:space="0" w:color="auto"/>
            <w:bottom w:val="none" w:sz="0" w:space="0" w:color="auto"/>
            <w:right w:val="none" w:sz="0" w:space="0" w:color="auto"/>
          </w:divBdr>
        </w:div>
        <w:div w:id="1392461286">
          <w:marLeft w:val="0"/>
          <w:marRight w:val="0"/>
          <w:marTop w:val="0"/>
          <w:marBottom w:val="0"/>
          <w:divBdr>
            <w:top w:val="none" w:sz="0" w:space="0" w:color="auto"/>
            <w:left w:val="none" w:sz="0" w:space="0" w:color="auto"/>
            <w:bottom w:val="none" w:sz="0" w:space="0" w:color="auto"/>
            <w:right w:val="none" w:sz="0" w:space="0" w:color="auto"/>
          </w:divBdr>
        </w:div>
        <w:div w:id="390926529">
          <w:marLeft w:val="0"/>
          <w:marRight w:val="0"/>
          <w:marTop w:val="0"/>
          <w:marBottom w:val="0"/>
          <w:divBdr>
            <w:top w:val="none" w:sz="0" w:space="0" w:color="auto"/>
            <w:left w:val="none" w:sz="0" w:space="0" w:color="auto"/>
            <w:bottom w:val="none" w:sz="0" w:space="0" w:color="auto"/>
            <w:right w:val="none" w:sz="0" w:space="0" w:color="auto"/>
          </w:divBdr>
        </w:div>
        <w:div w:id="976758911">
          <w:marLeft w:val="0"/>
          <w:marRight w:val="0"/>
          <w:marTop w:val="0"/>
          <w:marBottom w:val="0"/>
          <w:divBdr>
            <w:top w:val="none" w:sz="0" w:space="0" w:color="auto"/>
            <w:left w:val="none" w:sz="0" w:space="0" w:color="auto"/>
            <w:bottom w:val="none" w:sz="0" w:space="0" w:color="auto"/>
            <w:right w:val="none" w:sz="0" w:space="0" w:color="auto"/>
          </w:divBdr>
        </w:div>
        <w:div w:id="369844654">
          <w:marLeft w:val="0"/>
          <w:marRight w:val="0"/>
          <w:marTop w:val="0"/>
          <w:marBottom w:val="0"/>
          <w:divBdr>
            <w:top w:val="none" w:sz="0" w:space="0" w:color="auto"/>
            <w:left w:val="none" w:sz="0" w:space="0" w:color="auto"/>
            <w:bottom w:val="none" w:sz="0" w:space="0" w:color="auto"/>
            <w:right w:val="none" w:sz="0" w:space="0" w:color="auto"/>
          </w:divBdr>
        </w:div>
        <w:div w:id="1714118510">
          <w:marLeft w:val="0"/>
          <w:marRight w:val="0"/>
          <w:marTop w:val="0"/>
          <w:marBottom w:val="0"/>
          <w:divBdr>
            <w:top w:val="none" w:sz="0" w:space="0" w:color="auto"/>
            <w:left w:val="none" w:sz="0" w:space="0" w:color="auto"/>
            <w:bottom w:val="none" w:sz="0" w:space="0" w:color="auto"/>
            <w:right w:val="none" w:sz="0" w:space="0" w:color="auto"/>
          </w:divBdr>
        </w:div>
        <w:div w:id="415328357">
          <w:marLeft w:val="0"/>
          <w:marRight w:val="0"/>
          <w:marTop w:val="0"/>
          <w:marBottom w:val="0"/>
          <w:divBdr>
            <w:top w:val="none" w:sz="0" w:space="0" w:color="auto"/>
            <w:left w:val="none" w:sz="0" w:space="0" w:color="auto"/>
            <w:bottom w:val="none" w:sz="0" w:space="0" w:color="auto"/>
            <w:right w:val="none" w:sz="0" w:space="0" w:color="auto"/>
          </w:divBdr>
        </w:div>
        <w:div w:id="114568468">
          <w:marLeft w:val="0"/>
          <w:marRight w:val="0"/>
          <w:marTop w:val="0"/>
          <w:marBottom w:val="0"/>
          <w:divBdr>
            <w:top w:val="none" w:sz="0" w:space="0" w:color="auto"/>
            <w:left w:val="none" w:sz="0" w:space="0" w:color="auto"/>
            <w:bottom w:val="none" w:sz="0" w:space="0" w:color="auto"/>
            <w:right w:val="none" w:sz="0" w:space="0" w:color="auto"/>
          </w:divBdr>
        </w:div>
        <w:div w:id="1703555346">
          <w:marLeft w:val="0"/>
          <w:marRight w:val="0"/>
          <w:marTop w:val="0"/>
          <w:marBottom w:val="0"/>
          <w:divBdr>
            <w:top w:val="none" w:sz="0" w:space="0" w:color="auto"/>
            <w:left w:val="none" w:sz="0" w:space="0" w:color="auto"/>
            <w:bottom w:val="none" w:sz="0" w:space="0" w:color="auto"/>
            <w:right w:val="none" w:sz="0" w:space="0" w:color="auto"/>
          </w:divBdr>
        </w:div>
        <w:div w:id="271671154">
          <w:marLeft w:val="0"/>
          <w:marRight w:val="0"/>
          <w:marTop w:val="0"/>
          <w:marBottom w:val="0"/>
          <w:divBdr>
            <w:top w:val="none" w:sz="0" w:space="0" w:color="auto"/>
            <w:left w:val="none" w:sz="0" w:space="0" w:color="auto"/>
            <w:bottom w:val="none" w:sz="0" w:space="0" w:color="auto"/>
            <w:right w:val="none" w:sz="0" w:space="0" w:color="auto"/>
          </w:divBdr>
        </w:div>
        <w:div w:id="1298343150">
          <w:marLeft w:val="0"/>
          <w:marRight w:val="0"/>
          <w:marTop w:val="0"/>
          <w:marBottom w:val="0"/>
          <w:divBdr>
            <w:top w:val="none" w:sz="0" w:space="0" w:color="auto"/>
            <w:left w:val="none" w:sz="0" w:space="0" w:color="auto"/>
            <w:bottom w:val="none" w:sz="0" w:space="0" w:color="auto"/>
            <w:right w:val="none" w:sz="0" w:space="0" w:color="auto"/>
          </w:divBdr>
        </w:div>
        <w:div w:id="278685428">
          <w:marLeft w:val="0"/>
          <w:marRight w:val="0"/>
          <w:marTop w:val="0"/>
          <w:marBottom w:val="0"/>
          <w:divBdr>
            <w:top w:val="none" w:sz="0" w:space="0" w:color="auto"/>
            <w:left w:val="none" w:sz="0" w:space="0" w:color="auto"/>
            <w:bottom w:val="none" w:sz="0" w:space="0" w:color="auto"/>
            <w:right w:val="none" w:sz="0" w:space="0" w:color="auto"/>
          </w:divBdr>
        </w:div>
        <w:div w:id="898827620">
          <w:marLeft w:val="0"/>
          <w:marRight w:val="0"/>
          <w:marTop w:val="0"/>
          <w:marBottom w:val="0"/>
          <w:divBdr>
            <w:top w:val="none" w:sz="0" w:space="0" w:color="auto"/>
            <w:left w:val="none" w:sz="0" w:space="0" w:color="auto"/>
            <w:bottom w:val="none" w:sz="0" w:space="0" w:color="auto"/>
            <w:right w:val="none" w:sz="0" w:space="0" w:color="auto"/>
          </w:divBdr>
        </w:div>
        <w:div w:id="1693260858">
          <w:marLeft w:val="0"/>
          <w:marRight w:val="0"/>
          <w:marTop w:val="0"/>
          <w:marBottom w:val="0"/>
          <w:divBdr>
            <w:top w:val="none" w:sz="0" w:space="0" w:color="auto"/>
            <w:left w:val="none" w:sz="0" w:space="0" w:color="auto"/>
            <w:bottom w:val="none" w:sz="0" w:space="0" w:color="auto"/>
            <w:right w:val="none" w:sz="0" w:space="0" w:color="auto"/>
          </w:divBdr>
        </w:div>
        <w:div w:id="1963462552">
          <w:marLeft w:val="0"/>
          <w:marRight w:val="0"/>
          <w:marTop w:val="0"/>
          <w:marBottom w:val="0"/>
          <w:divBdr>
            <w:top w:val="none" w:sz="0" w:space="0" w:color="auto"/>
            <w:left w:val="none" w:sz="0" w:space="0" w:color="auto"/>
            <w:bottom w:val="none" w:sz="0" w:space="0" w:color="auto"/>
            <w:right w:val="none" w:sz="0" w:space="0" w:color="auto"/>
          </w:divBdr>
        </w:div>
        <w:div w:id="1489790165">
          <w:marLeft w:val="0"/>
          <w:marRight w:val="0"/>
          <w:marTop w:val="0"/>
          <w:marBottom w:val="0"/>
          <w:divBdr>
            <w:top w:val="none" w:sz="0" w:space="0" w:color="auto"/>
            <w:left w:val="none" w:sz="0" w:space="0" w:color="auto"/>
            <w:bottom w:val="none" w:sz="0" w:space="0" w:color="auto"/>
            <w:right w:val="none" w:sz="0" w:space="0" w:color="auto"/>
          </w:divBdr>
        </w:div>
        <w:div w:id="1468475032">
          <w:marLeft w:val="0"/>
          <w:marRight w:val="0"/>
          <w:marTop w:val="0"/>
          <w:marBottom w:val="0"/>
          <w:divBdr>
            <w:top w:val="none" w:sz="0" w:space="0" w:color="auto"/>
            <w:left w:val="none" w:sz="0" w:space="0" w:color="auto"/>
            <w:bottom w:val="none" w:sz="0" w:space="0" w:color="auto"/>
            <w:right w:val="none" w:sz="0" w:space="0" w:color="auto"/>
          </w:divBdr>
        </w:div>
        <w:div w:id="887230198">
          <w:marLeft w:val="0"/>
          <w:marRight w:val="0"/>
          <w:marTop w:val="0"/>
          <w:marBottom w:val="0"/>
          <w:divBdr>
            <w:top w:val="none" w:sz="0" w:space="0" w:color="auto"/>
            <w:left w:val="none" w:sz="0" w:space="0" w:color="auto"/>
            <w:bottom w:val="none" w:sz="0" w:space="0" w:color="auto"/>
            <w:right w:val="none" w:sz="0" w:space="0" w:color="auto"/>
          </w:divBdr>
        </w:div>
        <w:div w:id="1888300071">
          <w:marLeft w:val="0"/>
          <w:marRight w:val="0"/>
          <w:marTop w:val="0"/>
          <w:marBottom w:val="0"/>
          <w:divBdr>
            <w:top w:val="none" w:sz="0" w:space="0" w:color="auto"/>
            <w:left w:val="none" w:sz="0" w:space="0" w:color="auto"/>
            <w:bottom w:val="none" w:sz="0" w:space="0" w:color="auto"/>
            <w:right w:val="none" w:sz="0" w:space="0" w:color="auto"/>
          </w:divBdr>
        </w:div>
        <w:div w:id="1672221752">
          <w:marLeft w:val="0"/>
          <w:marRight w:val="0"/>
          <w:marTop w:val="0"/>
          <w:marBottom w:val="0"/>
          <w:divBdr>
            <w:top w:val="none" w:sz="0" w:space="0" w:color="auto"/>
            <w:left w:val="none" w:sz="0" w:space="0" w:color="auto"/>
            <w:bottom w:val="none" w:sz="0" w:space="0" w:color="auto"/>
            <w:right w:val="none" w:sz="0" w:space="0" w:color="auto"/>
          </w:divBdr>
        </w:div>
        <w:div w:id="950358766">
          <w:marLeft w:val="0"/>
          <w:marRight w:val="0"/>
          <w:marTop w:val="0"/>
          <w:marBottom w:val="0"/>
          <w:divBdr>
            <w:top w:val="none" w:sz="0" w:space="0" w:color="auto"/>
            <w:left w:val="none" w:sz="0" w:space="0" w:color="auto"/>
            <w:bottom w:val="none" w:sz="0" w:space="0" w:color="auto"/>
            <w:right w:val="none" w:sz="0" w:space="0" w:color="auto"/>
          </w:divBdr>
        </w:div>
        <w:div w:id="482350945">
          <w:marLeft w:val="0"/>
          <w:marRight w:val="0"/>
          <w:marTop w:val="0"/>
          <w:marBottom w:val="0"/>
          <w:divBdr>
            <w:top w:val="none" w:sz="0" w:space="0" w:color="auto"/>
            <w:left w:val="none" w:sz="0" w:space="0" w:color="auto"/>
            <w:bottom w:val="none" w:sz="0" w:space="0" w:color="auto"/>
            <w:right w:val="none" w:sz="0" w:space="0" w:color="auto"/>
          </w:divBdr>
        </w:div>
        <w:div w:id="2128309403">
          <w:marLeft w:val="0"/>
          <w:marRight w:val="0"/>
          <w:marTop w:val="0"/>
          <w:marBottom w:val="0"/>
          <w:divBdr>
            <w:top w:val="none" w:sz="0" w:space="0" w:color="auto"/>
            <w:left w:val="none" w:sz="0" w:space="0" w:color="auto"/>
            <w:bottom w:val="none" w:sz="0" w:space="0" w:color="auto"/>
            <w:right w:val="none" w:sz="0" w:space="0" w:color="auto"/>
          </w:divBdr>
        </w:div>
        <w:div w:id="670328023">
          <w:marLeft w:val="0"/>
          <w:marRight w:val="0"/>
          <w:marTop w:val="0"/>
          <w:marBottom w:val="0"/>
          <w:divBdr>
            <w:top w:val="none" w:sz="0" w:space="0" w:color="auto"/>
            <w:left w:val="none" w:sz="0" w:space="0" w:color="auto"/>
            <w:bottom w:val="none" w:sz="0" w:space="0" w:color="auto"/>
            <w:right w:val="none" w:sz="0" w:space="0" w:color="auto"/>
          </w:divBdr>
        </w:div>
        <w:div w:id="1023483196">
          <w:marLeft w:val="0"/>
          <w:marRight w:val="0"/>
          <w:marTop w:val="0"/>
          <w:marBottom w:val="0"/>
          <w:divBdr>
            <w:top w:val="none" w:sz="0" w:space="0" w:color="auto"/>
            <w:left w:val="none" w:sz="0" w:space="0" w:color="auto"/>
            <w:bottom w:val="none" w:sz="0" w:space="0" w:color="auto"/>
            <w:right w:val="none" w:sz="0" w:space="0" w:color="auto"/>
          </w:divBdr>
        </w:div>
        <w:div w:id="380984295">
          <w:marLeft w:val="0"/>
          <w:marRight w:val="0"/>
          <w:marTop w:val="0"/>
          <w:marBottom w:val="0"/>
          <w:divBdr>
            <w:top w:val="none" w:sz="0" w:space="0" w:color="auto"/>
            <w:left w:val="none" w:sz="0" w:space="0" w:color="auto"/>
            <w:bottom w:val="none" w:sz="0" w:space="0" w:color="auto"/>
            <w:right w:val="none" w:sz="0" w:space="0" w:color="auto"/>
          </w:divBdr>
        </w:div>
        <w:div w:id="1334452427">
          <w:marLeft w:val="0"/>
          <w:marRight w:val="0"/>
          <w:marTop w:val="0"/>
          <w:marBottom w:val="0"/>
          <w:divBdr>
            <w:top w:val="none" w:sz="0" w:space="0" w:color="auto"/>
            <w:left w:val="none" w:sz="0" w:space="0" w:color="auto"/>
            <w:bottom w:val="none" w:sz="0" w:space="0" w:color="auto"/>
            <w:right w:val="none" w:sz="0" w:space="0" w:color="auto"/>
          </w:divBdr>
        </w:div>
        <w:div w:id="240255482">
          <w:marLeft w:val="0"/>
          <w:marRight w:val="0"/>
          <w:marTop w:val="0"/>
          <w:marBottom w:val="0"/>
          <w:divBdr>
            <w:top w:val="none" w:sz="0" w:space="0" w:color="auto"/>
            <w:left w:val="none" w:sz="0" w:space="0" w:color="auto"/>
            <w:bottom w:val="none" w:sz="0" w:space="0" w:color="auto"/>
            <w:right w:val="none" w:sz="0" w:space="0" w:color="auto"/>
          </w:divBdr>
        </w:div>
        <w:div w:id="1540511033">
          <w:marLeft w:val="0"/>
          <w:marRight w:val="0"/>
          <w:marTop w:val="0"/>
          <w:marBottom w:val="0"/>
          <w:divBdr>
            <w:top w:val="none" w:sz="0" w:space="0" w:color="auto"/>
            <w:left w:val="none" w:sz="0" w:space="0" w:color="auto"/>
            <w:bottom w:val="none" w:sz="0" w:space="0" w:color="auto"/>
            <w:right w:val="none" w:sz="0" w:space="0" w:color="auto"/>
          </w:divBdr>
        </w:div>
        <w:div w:id="34736992">
          <w:marLeft w:val="0"/>
          <w:marRight w:val="0"/>
          <w:marTop w:val="0"/>
          <w:marBottom w:val="0"/>
          <w:divBdr>
            <w:top w:val="none" w:sz="0" w:space="0" w:color="auto"/>
            <w:left w:val="none" w:sz="0" w:space="0" w:color="auto"/>
            <w:bottom w:val="none" w:sz="0" w:space="0" w:color="auto"/>
            <w:right w:val="none" w:sz="0" w:space="0" w:color="auto"/>
          </w:divBdr>
        </w:div>
        <w:div w:id="2023119700">
          <w:marLeft w:val="0"/>
          <w:marRight w:val="0"/>
          <w:marTop w:val="0"/>
          <w:marBottom w:val="0"/>
          <w:divBdr>
            <w:top w:val="none" w:sz="0" w:space="0" w:color="auto"/>
            <w:left w:val="none" w:sz="0" w:space="0" w:color="auto"/>
            <w:bottom w:val="none" w:sz="0" w:space="0" w:color="auto"/>
            <w:right w:val="none" w:sz="0" w:space="0" w:color="auto"/>
          </w:divBdr>
        </w:div>
        <w:div w:id="1227104514">
          <w:marLeft w:val="0"/>
          <w:marRight w:val="0"/>
          <w:marTop w:val="0"/>
          <w:marBottom w:val="0"/>
          <w:divBdr>
            <w:top w:val="none" w:sz="0" w:space="0" w:color="auto"/>
            <w:left w:val="none" w:sz="0" w:space="0" w:color="auto"/>
            <w:bottom w:val="none" w:sz="0" w:space="0" w:color="auto"/>
            <w:right w:val="none" w:sz="0" w:space="0" w:color="auto"/>
          </w:divBdr>
        </w:div>
        <w:div w:id="1722166978">
          <w:marLeft w:val="0"/>
          <w:marRight w:val="0"/>
          <w:marTop w:val="0"/>
          <w:marBottom w:val="0"/>
          <w:divBdr>
            <w:top w:val="none" w:sz="0" w:space="0" w:color="auto"/>
            <w:left w:val="none" w:sz="0" w:space="0" w:color="auto"/>
            <w:bottom w:val="none" w:sz="0" w:space="0" w:color="auto"/>
            <w:right w:val="none" w:sz="0" w:space="0" w:color="auto"/>
          </w:divBdr>
        </w:div>
        <w:div w:id="1784498006">
          <w:marLeft w:val="0"/>
          <w:marRight w:val="0"/>
          <w:marTop w:val="0"/>
          <w:marBottom w:val="0"/>
          <w:divBdr>
            <w:top w:val="none" w:sz="0" w:space="0" w:color="auto"/>
            <w:left w:val="none" w:sz="0" w:space="0" w:color="auto"/>
            <w:bottom w:val="none" w:sz="0" w:space="0" w:color="auto"/>
            <w:right w:val="none" w:sz="0" w:space="0" w:color="auto"/>
          </w:divBdr>
        </w:div>
        <w:div w:id="1383480561">
          <w:marLeft w:val="0"/>
          <w:marRight w:val="0"/>
          <w:marTop w:val="0"/>
          <w:marBottom w:val="0"/>
          <w:divBdr>
            <w:top w:val="none" w:sz="0" w:space="0" w:color="auto"/>
            <w:left w:val="none" w:sz="0" w:space="0" w:color="auto"/>
            <w:bottom w:val="none" w:sz="0" w:space="0" w:color="auto"/>
            <w:right w:val="none" w:sz="0" w:space="0" w:color="auto"/>
          </w:divBdr>
        </w:div>
        <w:div w:id="306400007">
          <w:marLeft w:val="0"/>
          <w:marRight w:val="0"/>
          <w:marTop w:val="0"/>
          <w:marBottom w:val="0"/>
          <w:divBdr>
            <w:top w:val="none" w:sz="0" w:space="0" w:color="auto"/>
            <w:left w:val="none" w:sz="0" w:space="0" w:color="auto"/>
            <w:bottom w:val="none" w:sz="0" w:space="0" w:color="auto"/>
            <w:right w:val="none" w:sz="0" w:space="0" w:color="auto"/>
          </w:divBdr>
        </w:div>
        <w:div w:id="1601376061">
          <w:marLeft w:val="0"/>
          <w:marRight w:val="0"/>
          <w:marTop w:val="0"/>
          <w:marBottom w:val="0"/>
          <w:divBdr>
            <w:top w:val="none" w:sz="0" w:space="0" w:color="auto"/>
            <w:left w:val="none" w:sz="0" w:space="0" w:color="auto"/>
            <w:bottom w:val="none" w:sz="0" w:space="0" w:color="auto"/>
            <w:right w:val="none" w:sz="0" w:space="0" w:color="auto"/>
          </w:divBdr>
        </w:div>
        <w:div w:id="878007109">
          <w:marLeft w:val="0"/>
          <w:marRight w:val="0"/>
          <w:marTop w:val="0"/>
          <w:marBottom w:val="0"/>
          <w:divBdr>
            <w:top w:val="none" w:sz="0" w:space="0" w:color="auto"/>
            <w:left w:val="none" w:sz="0" w:space="0" w:color="auto"/>
            <w:bottom w:val="none" w:sz="0" w:space="0" w:color="auto"/>
            <w:right w:val="none" w:sz="0" w:space="0" w:color="auto"/>
          </w:divBdr>
        </w:div>
        <w:div w:id="484012586">
          <w:marLeft w:val="0"/>
          <w:marRight w:val="0"/>
          <w:marTop w:val="0"/>
          <w:marBottom w:val="0"/>
          <w:divBdr>
            <w:top w:val="none" w:sz="0" w:space="0" w:color="auto"/>
            <w:left w:val="none" w:sz="0" w:space="0" w:color="auto"/>
            <w:bottom w:val="none" w:sz="0" w:space="0" w:color="auto"/>
            <w:right w:val="none" w:sz="0" w:space="0" w:color="auto"/>
          </w:divBdr>
        </w:div>
        <w:div w:id="1389182709">
          <w:marLeft w:val="0"/>
          <w:marRight w:val="0"/>
          <w:marTop w:val="0"/>
          <w:marBottom w:val="0"/>
          <w:divBdr>
            <w:top w:val="none" w:sz="0" w:space="0" w:color="auto"/>
            <w:left w:val="none" w:sz="0" w:space="0" w:color="auto"/>
            <w:bottom w:val="none" w:sz="0" w:space="0" w:color="auto"/>
            <w:right w:val="none" w:sz="0" w:space="0" w:color="auto"/>
          </w:divBdr>
        </w:div>
        <w:div w:id="1589193455">
          <w:marLeft w:val="0"/>
          <w:marRight w:val="0"/>
          <w:marTop w:val="0"/>
          <w:marBottom w:val="0"/>
          <w:divBdr>
            <w:top w:val="none" w:sz="0" w:space="0" w:color="auto"/>
            <w:left w:val="none" w:sz="0" w:space="0" w:color="auto"/>
            <w:bottom w:val="none" w:sz="0" w:space="0" w:color="auto"/>
            <w:right w:val="none" w:sz="0" w:space="0" w:color="auto"/>
          </w:divBdr>
        </w:div>
        <w:div w:id="463305947">
          <w:marLeft w:val="0"/>
          <w:marRight w:val="0"/>
          <w:marTop w:val="0"/>
          <w:marBottom w:val="0"/>
          <w:divBdr>
            <w:top w:val="none" w:sz="0" w:space="0" w:color="auto"/>
            <w:left w:val="none" w:sz="0" w:space="0" w:color="auto"/>
            <w:bottom w:val="none" w:sz="0" w:space="0" w:color="auto"/>
            <w:right w:val="none" w:sz="0" w:space="0" w:color="auto"/>
          </w:divBdr>
        </w:div>
        <w:div w:id="28183667">
          <w:marLeft w:val="0"/>
          <w:marRight w:val="0"/>
          <w:marTop w:val="0"/>
          <w:marBottom w:val="0"/>
          <w:divBdr>
            <w:top w:val="none" w:sz="0" w:space="0" w:color="auto"/>
            <w:left w:val="none" w:sz="0" w:space="0" w:color="auto"/>
            <w:bottom w:val="none" w:sz="0" w:space="0" w:color="auto"/>
            <w:right w:val="none" w:sz="0" w:space="0" w:color="auto"/>
          </w:divBdr>
        </w:div>
        <w:div w:id="642539224">
          <w:marLeft w:val="0"/>
          <w:marRight w:val="0"/>
          <w:marTop w:val="0"/>
          <w:marBottom w:val="0"/>
          <w:divBdr>
            <w:top w:val="none" w:sz="0" w:space="0" w:color="auto"/>
            <w:left w:val="none" w:sz="0" w:space="0" w:color="auto"/>
            <w:bottom w:val="none" w:sz="0" w:space="0" w:color="auto"/>
            <w:right w:val="none" w:sz="0" w:space="0" w:color="auto"/>
          </w:divBdr>
        </w:div>
        <w:div w:id="852189406">
          <w:marLeft w:val="0"/>
          <w:marRight w:val="0"/>
          <w:marTop w:val="0"/>
          <w:marBottom w:val="0"/>
          <w:divBdr>
            <w:top w:val="none" w:sz="0" w:space="0" w:color="auto"/>
            <w:left w:val="none" w:sz="0" w:space="0" w:color="auto"/>
            <w:bottom w:val="none" w:sz="0" w:space="0" w:color="auto"/>
            <w:right w:val="none" w:sz="0" w:space="0" w:color="auto"/>
          </w:divBdr>
        </w:div>
        <w:div w:id="957293851">
          <w:marLeft w:val="0"/>
          <w:marRight w:val="0"/>
          <w:marTop w:val="0"/>
          <w:marBottom w:val="0"/>
          <w:divBdr>
            <w:top w:val="none" w:sz="0" w:space="0" w:color="auto"/>
            <w:left w:val="none" w:sz="0" w:space="0" w:color="auto"/>
            <w:bottom w:val="none" w:sz="0" w:space="0" w:color="auto"/>
            <w:right w:val="none" w:sz="0" w:space="0" w:color="auto"/>
          </w:divBdr>
        </w:div>
        <w:div w:id="534074353">
          <w:marLeft w:val="0"/>
          <w:marRight w:val="0"/>
          <w:marTop w:val="0"/>
          <w:marBottom w:val="0"/>
          <w:divBdr>
            <w:top w:val="none" w:sz="0" w:space="0" w:color="auto"/>
            <w:left w:val="none" w:sz="0" w:space="0" w:color="auto"/>
            <w:bottom w:val="none" w:sz="0" w:space="0" w:color="auto"/>
            <w:right w:val="none" w:sz="0" w:space="0" w:color="auto"/>
          </w:divBdr>
        </w:div>
        <w:div w:id="1931115160">
          <w:marLeft w:val="0"/>
          <w:marRight w:val="0"/>
          <w:marTop w:val="0"/>
          <w:marBottom w:val="0"/>
          <w:divBdr>
            <w:top w:val="none" w:sz="0" w:space="0" w:color="auto"/>
            <w:left w:val="none" w:sz="0" w:space="0" w:color="auto"/>
            <w:bottom w:val="none" w:sz="0" w:space="0" w:color="auto"/>
            <w:right w:val="none" w:sz="0" w:space="0" w:color="auto"/>
          </w:divBdr>
        </w:div>
        <w:div w:id="889997409">
          <w:marLeft w:val="0"/>
          <w:marRight w:val="0"/>
          <w:marTop w:val="0"/>
          <w:marBottom w:val="0"/>
          <w:divBdr>
            <w:top w:val="none" w:sz="0" w:space="0" w:color="auto"/>
            <w:left w:val="none" w:sz="0" w:space="0" w:color="auto"/>
            <w:bottom w:val="none" w:sz="0" w:space="0" w:color="auto"/>
            <w:right w:val="none" w:sz="0" w:space="0" w:color="auto"/>
          </w:divBdr>
        </w:div>
        <w:div w:id="1409763117">
          <w:marLeft w:val="0"/>
          <w:marRight w:val="0"/>
          <w:marTop w:val="0"/>
          <w:marBottom w:val="0"/>
          <w:divBdr>
            <w:top w:val="none" w:sz="0" w:space="0" w:color="auto"/>
            <w:left w:val="none" w:sz="0" w:space="0" w:color="auto"/>
            <w:bottom w:val="none" w:sz="0" w:space="0" w:color="auto"/>
            <w:right w:val="none" w:sz="0" w:space="0" w:color="auto"/>
          </w:divBdr>
        </w:div>
        <w:div w:id="482084043">
          <w:marLeft w:val="0"/>
          <w:marRight w:val="0"/>
          <w:marTop w:val="0"/>
          <w:marBottom w:val="0"/>
          <w:divBdr>
            <w:top w:val="none" w:sz="0" w:space="0" w:color="auto"/>
            <w:left w:val="none" w:sz="0" w:space="0" w:color="auto"/>
            <w:bottom w:val="none" w:sz="0" w:space="0" w:color="auto"/>
            <w:right w:val="none" w:sz="0" w:space="0" w:color="auto"/>
          </w:divBdr>
        </w:div>
        <w:div w:id="1806465537">
          <w:marLeft w:val="0"/>
          <w:marRight w:val="0"/>
          <w:marTop w:val="0"/>
          <w:marBottom w:val="0"/>
          <w:divBdr>
            <w:top w:val="none" w:sz="0" w:space="0" w:color="auto"/>
            <w:left w:val="none" w:sz="0" w:space="0" w:color="auto"/>
            <w:bottom w:val="none" w:sz="0" w:space="0" w:color="auto"/>
            <w:right w:val="none" w:sz="0" w:space="0" w:color="auto"/>
          </w:divBdr>
        </w:div>
        <w:div w:id="458378579">
          <w:marLeft w:val="0"/>
          <w:marRight w:val="0"/>
          <w:marTop w:val="0"/>
          <w:marBottom w:val="0"/>
          <w:divBdr>
            <w:top w:val="none" w:sz="0" w:space="0" w:color="auto"/>
            <w:left w:val="none" w:sz="0" w:space="0" w:color="auto"/>
            <w:bottom w:val="none" w:sz="0" w:space="0" w:color="auto"/>
            <w:right w:val="none" w:sz="0" w:space="0" w:color="auto"/>
          </w:divBdr>
        </w:div>
        <w:div w:id="2090542806">
          <w:marLeft w:val="0"/>
          <w:marRight w:val="0"/>
          <w:marTop w:val="0"/>
          <w:marBottom w:val="0"/>
          <w:divBdr>
            <w:top w:val="none" w:sz="0" w:space="0" w:color="auto"/>
            <w:left w:val="none" w:sz="0" w:space="0" w:color="auto"/>
            <w:bottom w:val="none" w:sz="0" w:space="0" w:color="auto"/>
            <w:right w:val="none" w:sz="0" w:space="0" w:color="auto"/>
          </w:divBdr>
        </w:div>
        <w:div w:id="1688749210">
          <w:marLeft w:val="0"/>
          <w:marRight w:val="0"/>
          <w:marTop w:val="0"/>
          <w:marBottom w:val="0"/>
          <w:divBdr>
            <w:top w:val="none" w:sz="0" w:space="0" w:color="auto"/>
            <w:left w:val="none" w:sz="0" w:space="0" w:color="auto"/>
            <w:bottom w:val="none" w:sz="0" w:space="0" w:color="auto"/>
            <w:right w:val="none" w:sz="0" w:space="0" w:color="auto"/>
          </w:divBdr>
        </w:div>
        <w:div w:id="1986004674">
          <w:marLeft w:val="0"/>
          <w:marRight w:val="0"/>
          <w:marTop w:val="0"/>
          <w:marBottom w:val="0"/>
          <w:divBdr>
            <w:top w:val="none" w:sz="0" w:space="0" w:color="auto"/>
            <w:left w:val="none" w:sz="0" w:space="0" w:color="auto"/>
            <w:bottom w:val="none" w:sz="0" w:space="0" w:color="auto"/>
            <w:right w:val="none" w:sz="0" w:space="0" w:color="auto"/>
          </w:divBdr>
        </w:div>
        <w:div w:id="1067728846">
          <w:marLeft w:val="0"/>
          <w:marRight w:val="0"/>
          <w:marTop w:val="0"/>
          <w:marBottom w:val="0"/>
          <w:divBdr>
            <w:top w:val="none" w:sz="0" w:space="0" w:color="auto"/>
            <w:left w:val="none" w:sz="0" w:space="0" w:color="auto"/>
            <w:bottom w:val="none" w:sz="0" w:space="0" w:color="auto"/>
            <w:right w:val="none" w:sz="0" w:space="0" w:color="auto"/>
          </w:divBdr>
        </w:div>
        <w:div w:id="1825973112">
          <w:marLeft w:val="0"/>
          <w:marRight w:val="0"/>
          <w:marTop w:val="0"/>
          <w:marBottom w:val="0"/>
          <w:divBdr>
            <w:top w:val="none" w:sz="0" w:space="0" w:color="auto"/>
            <w:left w:val="none" w:sz="0" w:space="0" w:color="auto"/>
            <w:bottom w:val="none" w:sz="0" w:space="0" w:color="auto"/>
            <w:right w:val="none" w:sz="0" w:space="0" w:color="auto"/>
          </w:divBdr>
        </w:div>
        <w:div w:id="970669199">
          <w:marLeft w:val="0"/>
          <w:marRight w:val="0"/>
          <w:marTop w:val="0"/>
          <w:marBottom w:val="0"/>
          <w:divBdr>
            <w:top w:val="none" w:sz="0" w:space="0" w:color="auto"/>
            <w:left w:val="none" w:sz="0" w:space="0" w:color="auto"/>
            <w:bottom w:val="none" w:sz="0" w:space="0" w:color="auto"/>
            <w:right w:val="none" w:sz="0" w:space="0" w:color="auto"/>
          </w:divBdr>
        </w:div>
        <w:div w:id="1292595667">
          <w:marLeft w:val="0"/>
          <w:marRight w:val="0"/>
          <w:marTop w:val="0"/>
          <w:marBottom w:val="0"/>
          <w:divBdr>
            <w:top w:val="none" w:sz="0" w:space="0" w:color="auto"/>
            <w:left w:val="none" w:sz="0" w:space="0" w:color="auto"/>
            <w:bottom w:val="none" w:sz="0" w:space="0" w:color="auto"/>
            <w:right w:val="none" w:sz="0" w:space="0" w:color="auto"/>
          </w:divBdr>
        </w:div>
        <w:div w:id="1318680421">
          <w:marLeft w:val="0"/>
          <w:marRight w:val="0"/>
          <w:marTop w:val="0"/>
          <w:marBottom w:val="0"/>
          <w:divBdr>
            <w:top w:val="none" w:sz="0" w:space="0" w:color="auto"/>
            <w:left w:val="none" w:sz="0" w:space="0" w:color="auto"/>
            <w:bottom w:val="none" w:sz="0" w:space="0" w:color="auto"/>
            <w:right w:val="none" w:sz="0" w:space="0" w:color="auto"/>
          </w:divBdr>
        </w:div>
        <w:div w:id="47191728">
          <w:marLeft w:val="0"/>
          <w:marRight w:val="0"/>
          <w:marTop w:val="0"/>
          <w:marBottom w:val="0"/>
          <w:divBdr>
            <w:top w:val="none" w:sz="0" w:space="0" w:color="auto"/>
            <w:left w:val="none" w:sz="0" w:space="0" w:color="auto"/>
            <w:bottom w:val="none" w:sz="0" w:space="0" w:color="auto"/>
            <w:right w:val="none" w:sz="0" w:space="0" w:color="auto"/>
          </w:divBdr>
        </w:div>
        <w:div w:id="2112696342">
          <w:marLeft w:val="0"/>
          <w:marRight w:val="0"/>
          <w:marTop w:val="0"/>
          <w:marBottom w:val="0"/>
          <w:divBdr>
            <w:top w:val="none" w:sz="0" w:space="0" w:color="auto"/>
            <w:left w:val="none" w:sz="0" w:space="0" w:color="auto"/>
            <w:bottom w:val="none" w:sz="0" w:space="0" w:color="auto"/>
            <w:right w:val="none" w:sz="0" w:space="0" w:color="auto"/>
          </w:divBdr>
        </w:div>
        <w:div w:id="661278800">
          <w:marLeft w:val="0"/>
          <w:marRight w:val="0"/>
          <w:marTop w:val="0"/>
          <w:marBottom w:val="0"/>
          <w:divBdr>
            <w:top w:val="none" w:sz="0" w:space="0" w:color="auto"/>
            <w:left w:val="none" w:sz="0" w:space="0" w:color="auto"/>
            <w:bottom w:val="none" w:sz="0" w:space="0" w:color="auto"/>
            <w:right w:val="none" w:sz="0" w:space="0" w:color="auto"/>
          </w:divBdr>
        </w:div>
        <w:div w:id="804204799">
          <w:marLeft w:val="0"/>
          <w:marRight w:val="0"/>
          <w:marTop w:val="0"/>
          <w:marBottom w:val="0"/>
          <w:divBdr>
            <w:top w:val="none" w:sz="0" w:space="0" w:color="auto"/>
            <w:left w:val="none" w:sz="0" w:space="0" w:color="auto"/>
            <w:bottom w:val="none" w:sz="0" w:space="0" w:color="auto"/>
            <w:right w:val="none" w:sz="0" w:space="0" w:color="auto"/>
          </w:divBdr>
        </w:div>
        <w:div w:id="1127964285">
          <w:marLeft w:val="0"/>
          <w:marRight w:val="0"/>
          <w:marTop w:val="0"/>
          <w:marBottom w:val="0"/>
          <w:divBdr>
            <w:top w:val="none" w:sz="0" w:space="0" w:color="auto"/>
            <w:left w:val="none" w:sz="0" w:space="0" w:color="auto"/>
            <w:bottom w:val="none" w:sz="0" w:space="0" w:color="auto"/>
            <w:right w:val="none" w:sz="0" w:space="0" w:color="auto"/>
          </w:divBdr>
        </w:div>
        <w:div w:id="1943103180">
          <w:marLeft w:val="0"/>
          <w:marRight w:val="0"/>
          <w:marTop w:val="0"/>
          <w:marBottom w:val="0"/>
          <w:divBdr>
            <w:top w:val="none" w:sz="0" w:space="0" w:color="auto"/>
            <w:left w:val="none" w:sz="0" w:space="0" w:color="auto"/>
            <w:bottom w:val="none" w:sz="0" w:space="0" w:color="auto"/>
            <w:right w:val="none" w:sz="0" w:space="0" w:color="auto"/>
          </w:divBdr>
        </w:div>
        <w:div w:id="1365134050">
          <w:marLeft w:val="0"/>
          <w:marRight w:val="0"/>
          <w:marTop w:val="0"/>
          <w:marBottom w:val="0"/>
          <w:divBdr>
            <w:top w:val="none" w:sz="0" w:space="0" w:color="auto"/>
            <w:left w:val="none" w:sz="0" w:space="0" w:color="auto"/>
            <w:bottom w:val="none" w:sz="0" w:space="0" w:color="auto"/>
            <w:right w:val="none" w:sz="0" w:space="0" w:color="auto"/>
          </w:divBdr>
        </w:div>
        <w:div w:id="1895434410">
          <w:marLeft w:val="0"/>
          <w:marRight w:val="0"/>
          <w:marTop w:val="0"/>
          <w:marBottom w:val="0"/>
          <w:divBdr>
            <w:top w:val="none" w:sz="0" w:space="0" w:color="auto"/>
            <w:left w:val="none" w:sz="0" w:space="0" w:color="auto"/>
            <w:bottom w:val="none" w:sz="0" w:space="0" w:color="auto"/>
            <w:right w:val="none" w:sz="0" w:space="0" w:color="auto"/>
          </w:divBdr>
        </w:div>
        <w:div w:id="1638295597">
          <w:marLeft w:val="0"/>
          <w:marRight w:val="0"/>
          <w:marTop w:val="0"/>
          <w:marBottom w:val="0"/>
          <w:divBdr>
            <w:top w:val="none" w:sz="0" w:space="0" w:color="auto"/>
            <w:left w:val="none" w:sz="0" w:space="0" w:color="auto"/>
            <w:bottom w:val="none" w:sz="0" w:space="0" w:color="auto"/>
            <w:right w:val="none" w:sz="0" w:space="0" w:color="auto"/>
          </w:divBdr>
        </w:div>
        <w:div w:id="596838811">
          <w:marLeft w:val="0"/>
          <w:marRight w:val="0"/>
          <w:marTop w:val="0"/>
          <w:marBottom w:val="0"/>
          <w:divBdr>
            <w:top w:val="none" w:sz="0" w:space="0" w:color="auto"/>
            <w:left w:val="none" w:sz="0" w:space="0" w:color="auto"/>
            <w:bottom w:val="none" w:sz="0" w:space="0" w:color="auto"/>
            <w:right w:val="none" w:sz="0" w:space="0" w:color="auto"/>
          </w:divBdr>
        </w:div>
        <w:div w:id="163664272">
          <w:marLeft w:val="0"/>
          <w:marRight w:val="0"/>
          <w:marTop w:val="0"/>
          <w:marBottom w:val="0"/>
          <w:divBdr>
            <w:top w:val="none" w:sz="0" w:space="0" w:color="auto"/>
            <w:left w:val="none" w:sz="0" w:space="0" w:color="auto"/>
            <w:bottom w:val="none" w:sz="0" w:space="0" w:color="auto"/>
            <w:right w:val="none" w:sz="0" w:space="0" w:color="auto"/>
          </w:divBdr>
        </w:div>
        <w:div w:id="363942936">
          <w:marLeft w:val="0"/>
          <w:marRight w:val="0"/>
          <w:marTop w:val="0"/>
          <w:marBottom w:val="0"/>
          <w:divBdr>
            <w:top w:val="none" w:sz="0" w:space="0" w:color="auto"/>
            <w:left w:val="none" w:sz="0" w:space="0" w:color="auto"/>
            <w:bottom w:val="none" w:sz="0" w:space="0" w:color="auto"/>
            <w:right w:val="none" w:sz="0" w:space="0" w:color="auto"/>
          </w:divBdr>
        </w:div>
        <w:div w:id="816341448">
          <w:marLeft w:val="0"/>
          <w:marRight w:val="0"/>
          <w:marTop w:val="0"/>
          <w:marBottom w:val="0"/>
          <w:divBdr>
            <w:top w:val="none" w:sz="0" w:space="0" w:color="auto"/>
            <w:left w:val="none" w:sz="0" w:space="0" w:color="auto"/>
            <w:bottom w:val="none" w:sz="0" w:space="0" w:color="auto"/>
            <w:right w:val="none" w:sz="0" w:space="0" w:color="auto"/>
          </w:divBdr>
        </w:div>
        <w:div w:id="1691370539">
          <w:marLeft w:val="0"/>
          <w:marRight w:val="0"/>
          <w:marTop w:val="0"/>
          <w:marBottom w:val="0"/>
          <w:divBdr>
            <w:top w:val="none" w:sz="0" w:space="0" w:color="auto"/>
            <w:left w:val="none" w:sz="0" w:space="0" w:color="auto"/>
            <w:bottom w:val="none" w:sz="0" w:space="0" w:color="auto"/>
            <w:right w:val="none" w:sz="0" w:space="0" w:color="auto"/>
          </w:divBdr>
        </w:div>
        <w:div w:id="792476310">
          <w:marLeft w:val="0"/>
          <w:marRight w:val="0"/>
          <w:marTop w:val="0"/>
          <w:marBottom w:val="0"/>
          <w:divBdr>
            <w:top w:val="none" w:sz="0" w:space="0" w:color="auto"/>
            <w:left w:val="none" w:sz="0" w:space="0" w:color="auto"/>
            <w:bottom w:val="none" w:sz="0" w:space="0" w:color="auto"/>
            <w:right w:val="none" w:sz="0" w:space="0" w:color="auto"/>
          </w:divBdr>
        </w:div>
        <w:div w:id="690961011">
          <w:marLeft w:val="0"/>
          <w:marRight w:val="0"/>
          <w:marTop w:val="0"/>
          <w:marBottom w:val="0"/>
          <w:divBdr>
            <w:top w:val="none" w:sz="0" w:space="0" w:color="auto"/>
            <w:left w:val="none" w:sz="0" w:space="0" w:color="auto"/>
            <w:bottom w:val="none" w:sz="0" w:space="0" w:color="auto"/>
            <w:right w:val="none" w:sz="0" w:space="0" w:color="auto"/>
          </w:divBdr>
        </w:div>
        <w:div w:id="1479154158">
          <w:marLeft w:val="0"/>
          <w:marRight w:val="0"/>
          <w:marTop w:val="0"/>
          <w:marBottom w:val="0"/>
          <w:divBdr>
            <w:top w:val="none" w:sz="0" w:space="0" w:color="auto"/>
            <w:left w:val="none" w:sz="0" w:space="0" w:color="auto"/>
            <w:bottom w:val="none" w:sz="0" w:space="0" w:color="auto"/>
            <w:right w:val="none" w:sz="0" w:space="0" w:color="auto"/>
          </w:divBdr>
        </w:div>
        <w:div w:id="1374622385">
          <w:marLeft w:val="0"/>
          <w:marRight w:val="0"/>
          <w:marTop w:val="0"/>
          <w:marBottom w:val="0"/>
          <w:divBdr>
            <w:top w:val="none" w:sz="0" w:space="0" w:color="auto"/>
            <w:left w:val="none" w:sz="0" w:space="0" w:color="auto"/>
            <w:bottom w:val="none" w:sz="0" w:space="0" w:color="auto"/>
            <w:right w:val="none" w:sz="0" w:space="0" w:color="auto"/>
          </w:divBdr>
        </w:div>
        <w:div w:id="596908037">
          <w:marLeft w:val="0"/>
          <w:marRight w:val="0"/>
          <w:marTop w:val="0"/>
          <w:marBottom w:val="0"/>
          <w:divBdr>
            <w:top w:val="none" w:sz="0" w:space="0" w:color="auto"/>
            <w:left w:val="none" w:sz="0" w:space="0" w:color="auto"/>
            <w:bottom w:val="none" w:sz="0" w:space="0" w:color="auto"/>
            <w:right w:val="none" w:sz="0" w:space="0" w:color="auto"/>
          </w:divBdr>
        </w:div>
        <w:div w:id="2145191323">
          <w:marLeft w:val="0"/>
          <w:marRight w:val="0"/>
          <w:marTop w:val="0"/>
          <w:marBottom w:val="0"/>
          <w:divBdr>
            <w:top w:val="none" w:sz="0" w:space="0" w:color="auto"/>
            <w:left w:val="none" w:sz="0" w:space="0" w:color="auto"/>
            <w:bottom w:val="none" w:sz="0" w:space="0" w:color="auto"/>
            <w:right w:val="none" w:sz="0" w:space="0" w:color="auto"/>
          </w:divBdr>
        </w:div>
        <w:div w:id="465510269">
          <w:marLeft w:val="0"/>
          <w:marRight w:val="0"/>
          <w:marTop w:val="0"/>
          <w:marBottom w:val="0"/>
          <w:divBdr>
            <w:top w:val="none" w:sz="0" w:space="0" w:color="auto"/>
            <w:left w:val="none" w:sz="0" w:space="0" w:color="auto"/>
            <w:bottom w:val="none" w:sz="0" w:space="0" w:color="auto"/>
            <w:right w:val="none" w:sz="0" w:space="0" w:color="auto"/>
          </w:divBdr>
        </w:div>
        <w:div w:id="362830168">
          <w:marLeft w:val="0"/>
          <w:marRight w:val="0"/>
          <w:marTop w:val="0"/>
          <w:marBottom w:val="0"/>
          <w:divBdr>
            <w:top w:val="none" w:sz="0" w:space="0" w:color="auto"/>
            <w:left w:val="none" w:sz="0" w:space="0" w:color="auto"/>
            <w:bottom w:val="none" w:sz="0" w:space="0" w:color="auto"/>
            <w:right w:val="none" w:sz="0" w:space="0" w:color="auto"/>
          </w:divBdr>
        </w:div>
        <w:div w:id="831914414">
          <w:marLeft w:val="0"/>
          <w:marRight w:val="0"/>
          <w:marTop w:val="0"/>
          <w:marBottom w:val="0"/>
          <w:divBdr>
            <w:top w:val="none" w:sz="0" w:space="0" w:color="auto"/>
            <w:left w:val="none" w:sz="0" w:space="0" w:color="auto"/>
            <w:bottom w:val="none" w:sz="0" w:space="0" w:color="auto"/>
            <w:right w:val="none" w:sz="0" w:space="0" w:color="auto"/>
          </w:divBdr>
        </w:div>
        <w:div w:id="2118283695">
          <w:marLeft w:val="0"/>
          <w:marRight w:val="0"/>
          <w:marTop w:val="0"/>
          <w:marBottom w:val="0"/>
          <w:divBdr>
            <w:top w:val="none" w:sz="0" w:space="0" w:color="auto"/>
            <w:left w:val="none" w:sz="0" w:space="0" w:color="auto"/>
            <w:bottom w:val="none" w:sz="0" w:space="0" w:color="auto"/>
            <w:right w:val="none" w:sz="0" w:space="0" w:color="auto"/>
          </w:divBdr>
        </w:div>
        <w:div w:id="1922400000">
          <w:marLeft w:val="0"/>
          <w:marRight w:val="0"/>
          <w:marTop w:val="0"/>
          <w:marBottom w:val="0"/>
          <w:divBdr>
            <w:top w:val="none" w:sz="0" w:space="0" w:color="auto"/>
            <w:left w:val="none" w:sz="0" w:space="0" w:color="auto"/>
            <w:bottom w:val="none" w:sz="0" w:space="0" w:color="auto"/>
            <w:right w:val="none" w:sz="0" w:space="0" w:color="auto"/>
          </w:divBdr>
        </w:div>
        <w:div w:id="1598246909">
          <w:marLeft w:val="0"/>
          <w:marRight w:val="0"/>
          <w:marTop w:val="0"/>
          <w:marBottom w:val="0"/>
          <w:divBdr>
            <w:top w:val="none" w:sz="0" w:space="0" w:color="auto"/>
            <w:left w:val="none" w:sz="0" w:space="0" w:color="auto"/>
            <w:bottom w:val="none" w:sz="0" w:space="0" w:color="auto"/>
            <w:right w:val="none" w:sz="0" w:space="0" w:color="auto"/>
          </w:divBdr>
        </w:div>
        <w:div w:id="886994688">
          <w:marLeft w:val="0"/>
          <w:marRight w:val="0"/>
          <w:marTop w:val="0"/>
          <w:marBottom w:val="0"/>
          <w:divBdr>
            <w:top w:val="none" w:sz="0" w:space="0" w:color="auto"/>
            <w:left w:val="none" w:sz="0" w:space="0" w:color="auto"/>
            <w:bottom w:val="none" w:sz="0" w:space="0" w:color="auto"/>
            <w:right w:val="none" w:sz="0" w:space="0" w:color="auto"/>
          </w:divBdr>
        </w:div>
        <w:div w:id="2034453395">
          <w:marLeft w:val="0"/>
          <w:marRight w:val="0"/>
          <w:marTop w:val="0"/>
          <w:marBottom w:val="0"/>
          <w:divBdr>
            <w:top w:val="none" w:sz="0" w:space="0" w:color="auto"/>
            <w:left w:val="none" w:sz="0" w:space="0" w:color="auto"/>
            <w:bottom w:val="none" w:sz="0" w:space="0" w:color="auto"/>
            <w:right w:val="none" w:sz="0" w:space="0" w:color="auto"/>
          </w:divBdr>
        </w:div>
        <w:div w:id="1411846719">
          <w:marLeft w:val="0"/>
          <w:marRight w:val="0"/>
          <w:marTop w:val="0"/>
          <w:marBottom w:val="0"/>
          <w:divBdr>
            <w:top w:val="none" w:sz="0" w:space="0" w:color="auto"/>
            <w:left w:val="none" w:sz="0" w:space="0" w:color="auto"/>
            <w:bottom w:val="none" w:sz="0" w:space="0" w:color="auto"/>
            <w:right w:val="none" w:sz="0" w:space="0" w:color="auto"/>
          </w:divBdr>
        </w:div>
        <w:div w:id="2136437140">
          <w:marLeft w:val="0"/>
          <w:marRight w:val="0"/>
          <w:marTop w:val="0"/>
          <w:marBottom w:val="0"/>
          <w:divBdr>
            <w:top w:val="none" w:sz="0" w:space="0" w:color="auto"/>
            <w:left w:val="none" w:sz="0" w:space="0" w:color="auto"/>
            <w:bottom w:val="none" w:sz="0" w:space="0" w:color="auto"/>
            <w:right w:val="none" w:sz="0" w:space="0" w:color="auto"/>
          </w:divBdr>
        </w:div>
        <w:div w:id="1671174279">
          <w:marLeft w:val="0"/>
          <w:marRight w:val="0"/>
          <w:marTop w:val="0"/>
          <w:marBottom w:val="0"/>
          <w:divBdr>
            <w:top w:val="none" w:sz="0" w:space="0" w:color="auto"/>
            <w:left w:val="none" w:sz="0" w:space="0" w:color="auto"/>
            <w:bottom w:val="none" w:sz="0" w:space="0" w:color="auto"/>
            <w:right w:val="none" w:sz="0" w:space="0" w:color="auto"/>
          </w:divBdr>
        </w:div>
        <w:div w:id="186796036">
          <w:marLeft w:val="0"/>
          <w:marRight w:val="0"/>
          <w:marTop w:val="0"/>
          <w:marBottom w:val="0"/>
          <w:divBdr>
            <w:top w:val="none" w:sz="0" w:space="0" w:color="auto"/>
            <w:left w:val="none" w:sz="0" w:space="0" w:color="auto"/>
            <w:bottom w:val="none" w:sz="0" w:space="0" w:color="auto"/>
            <w:right w:val="none" w:sz="0" w:space="0" w:color="auto"/>
          </w:divBdr>
        </w:div>
        <w:div w:id="1275136618">
          <w:marLeft w:val="0"/>
          <w:marRight w:val="0"/>
          <w:marTop w:val="0"/>
          <w:marBottom w:val="0"/>
          <w:divBdr>
            <w:top w:val="none" w:sz="0" w:space="0" w:color="auto"/>
            <w:left w:val="none" w:sz="0" w:space="0" w:color="auto"/>
            <w:bottom w:val="none" w:sz="0" w:space="0" w:color="auto"/>
            <w:right w:val="none" w:sz="0" w:space="0" w:color="auto"/>
          </w:divBdr>
        </w:div>
        <w:div w:id="251161146">
          <w:marLeft w:val="0"/>
          <w:marRight w:val="0"/>
          <w:marTop w:val="0"/>
          <w:marBottom w:val="0"/>
          <w:divBdr>
            <w:top w:val="none" w:sz="0" w:space="0" w:color="auto"/>
            <w:left w:val="none" w:sz="0" w:space="0" w:color="auto"/>
            <w:bottom w:val="none" w:sz="0" w:space="0" w:color="auto"/>
            <w:right w:val="none" w:sz="0" w:space="0" w:color="auto"/>
          </w:divBdr>
        </w:div>
        <w:div w:id="1543205930">
          <w:marLeft w:val="0"/>
          <w:marRight w:val="0"/>
          <w:marTop w:val="0"/>
          <w:marBottom w:val="0"/>
          <w:divBdr>
            <w:top w:val="none" w:sz="0" w:space="0" w:color="auto"/>
            <w:left w:val="none" w:sz="0" w:space="0" w:color="auto"/>
            <w:bottom w:val="none" w:sz="0" w:space="0" w:color="auto"/>
            <w:right w:val="none" w:sz="0" w:space="0" w:color="auto"/>
          </w:divBdr>
        </w:div>
        <w:div w:id="581573051">
          <w:marLeft w:val="0"/>
          <w:marRight w:val="0"/>
          <w:marTop w:val="0"/>
          <w:marBottom w:val="0"/>
          <w:divBdr>
            <w:top w:val="none" w:sz="0" w:space="0" w:color="auto"/>
            <w:left w:val="none" w:sz="0" w:space="0" w:color="auto"/>
            <w:bottom w:val="none" w:sz="0" w:space="0" w:color="auto"/>
            <w:right w:val="none" w:sz="0" w:space="0" w:color="auto"/>
          </w:divBdr>
        </w:div>
        <w:div w:id="729379582">
          <w:marLeft w:val="0"/>
          <w:marRight w:val="0"/>
          <w:marTop w:val="0"/>
          <w:marBottom w:val="0"/>
          <w:divBdr>
            <w:top w:val="none" w:sz="0" w:space="0" w:color="auto"/>
            <w:left w:val="none" w:sz="0" w:space="0" w:color="auto"/>
            <w:bottom w:val="none" w:sz="0" w:space="0" w:color="auto"/>
            <w:right w:val="none" w:sz="0" w:space="0" w:color="auto"/>
          </w:divBdr>
        </w:div>
        <w:div w:id="748431853">
          <w:marLeft w:val="0"/>
          <w:marRight w:val="0"/>
          <w:marTop w:val="0"/>
          <w:marBottom w:val="0"/>
          <w:divBdr>
            <w:top w:val="none" w:sz="0" w:space="0" w:color="auto"/>
            <w:left w:val="none" w:sz="0" w:space="0" w:color="auto"/>
            <w:bottom w:val="none" w:sz="0" w:space="0" w:color="auto"/>
            <w:right w:val="none" w:sz="0" w:space="0" w:color="auto"/>
          </w:divBdr>
        </w:div>
        <w:div w:id="2101874342">
          <w:marLeft w:val="0"/>
          <w:marRight w:val="0"/>
          <w:marTop w:val="0"/>
          <w:marBottom w:val="0"/>
          <w:divBdr>
            <w:top w:val="none" w:sz="0" w:space="0" w:color="auto"/>
            <w:left w:val="none" w:sz="0" w:space="0" w:color="auto"/>
            <w:bottom w:val="none" w:sz="0" w:space="0" w:color="auto"/>
            <w:right w:val="none" w:sz="0" w:space="0" w:color="auto"/>
          </w:divBdr>
        </w:div>
        <w:div w:id="219295564">
          <w:marLeft w:val="0"/>
          <w:marRight w:val="0"/>
          <w:marTop w:val="0"/>
          <w:marBottom w:val="0"/>
          <w:divBdr>
            <w:top w:val="none" w:sz="0" w:space="0" w:color="auto"/>
            <w:left w:val="none" w:sz="0" w:space="0" w:color="auto"/>
            <w:bottom w:val="none" w:sz="0" w:space="0" w:color="auto"/>
            <w:right w:val="none" w:sz="0" w:space="0" w:color="auto"/>
          </w:divBdr>
        </w:div>
        <w:div w:id="102116970">
          <w:marLeft w:val="0"/>
          <w:marRight w:val="0"/>
          <w:marTop w:val="0"/>
          <w:marBottom w:val="0"/>
          <w:divBdr>
            <w:top w:val="none" w:sz="0" w:space="0" w:color="auto"/>
            <w:left w:val="none" w:sz="0" w:space="0" w:color="auto"/>
            <w:bottom w:val="none" w:sz="0" w:space="0" w:color="auto"/>
            <w:right w:val="none" w:sz="0" w:space="0" w:color="auto"/>
          </w:divBdr>
        </w:div>
        <w:div w:id="765610705">
          <w:marLeft w:val="0"/>
          <w:marRight w:val="0"/>
          <w:marTop w:val="0"/>
          <w:marBottom w:val="0"/>
          <w:divBdr>
            <w:top w:val="none" w:sz="0" w:space="0" w:color="auto"/>
            <w:left w:val="none" w:sz="0" w:space="0" w:color="auto"/>
            <w:bottom w:val="none" w:sz="0" w:space="0" w:color="auto"/>
            <w:right w:val="none" w:sz="0" w:space="0" w:color="auto"/>
          </w:divBdr>
        </w:div>
        <w:div w:id="1474133964">
          <w:marLeft w:val="0"/>
          <w:marRight w:val="0"/>
          <w:marTop w:val="0"/>
          <w:marBottom w:val="0"/>
          <w:divBdr>
            <w:top w:val="none" w:sz="0" w:space="0" w:color="auto"/>
            <w:left w:val="none" w:sz="0" w:space="0" w:color="auto"/>
            <w:bottom w:val="none" w:sz="0" w:space="0" w:color="auto"/>
            <w:right w:val="none" w:sz="0" w:space="0" w:color="auto"/>
          </w:divBdr>
        </w:div>
        <w:div w:id="1839150930">
          <w:marLeft w:val="0"/>
          <w:marRight w:val="0"/>
          <w:marTop w:val="0"/>
          <w:marBottom w:val="0"/>
          <w:divBdr>
            <w:top w:val="none" w:sz="0" w:space="0" w:color="auto"/>
            <w:left w:val="none" w:sz="0" w:space="0" w:color="auto"/>
            <w:bottom w:val="none" w:sz="0" w:space="0" w:color="auto"/>
            <w:right w:val="none" w:sz="0" w:space="0" w:color="auto"/>
          </w:divBdr>
        </w:div>
        <w:div w:id="1298412147">
          <w:marLeft w:val="0"/>
          <w:marRight w:val="0"/>
          <w:marTop w:val="0"/>
          <w:marBottom w:val="0"/>
          <w:divBdr>
            <w:top w:val="none" w:sz="0" w:space="0" w:color="auto"/>
            <w:left w:val="none" w:sz="0" w:space="0" w:color="auto"/>
            <w:bottom w:val="none" w:sz="0" w:space="0" w:color="auto"/>
            <w:right w:val="none" w:sz="0" w:space="0" w:color="auto"/>
          </w:divBdr>
        </w:div>
        <w:div w:id="1811170813">
          <w:marLeft w:val="0"/>
          <w:marRight w:val="0"/>
          <w:marTop w:val="0"/>
          <w:marBottom w:val="0"/>
          <w:divBdr>
            <w:top w:val="none" w:sz="0" w:space="0" w:color="auto"/>
            <w:left w:val="none" w:sz="0" w:space="0" w:color="auto"/>
            <w:bottom w:val="none" w:sz="0" w:space="0" w:color="auto"/>
            <w:right w:val="none" w:sz="0" w:space="0" w:color="auto"/>
          </w:divBdr>
        </w:div>
        <w:div w:id="313073628">
          <w:marLeft w:val="0"/>
          <w:marRight w:val="0"/>
          <w:marTop w:val="0"/>
          <w:marBottom w:val="0"/>
          <w:divBdr>
            <w:top w:val="none" w:sz="0" w:space="0" w:color="auto"/>
            <w:left w:val="none" w:sz="0" w:space="0" w:color="auto"/>
            <w:bottom w:val="none" w:sz="0" w:space="0" w:color="auto"/>
            <w:right w:val="none" w:sz="0" w:space="0" w:color="auto"/>
          </w:divBdr>
        </w:div>
        <w:div w:id="995498280">
          <w:marLeft w:val="0"/>
          <w:marRight w:val="0"/>
          <w:marTop w:val="0"/>
          <w:marBottom w:val="0"/>
          <w:divBdr>
            <w:top w:val="none" w:sz="0" w:space="0" w:color="auto"/>
            <w:left w:val="none" w:sz="0" w:space="0" w:color="auto"/>
            <w:bottom w:val="none" w:sz="0" w:space="0" w:color="auto"/>
            <w:right w:val="none" w:sz="0" w:space="0" w:color="auto"/>
          </w:divBdr>
        </w:div>
        <w:div w:id="750275399">
          <w:marLeft w:val="0"/>
          <w:marRight w:val="0"/>
          <w:marTop w:val="0"/>
          <w:marBottom w:val="0"/>
          <w:divBdr>
            <w:top w:val="none" w:sz="0" w:space="0" w:color="auto"/>
            <w:left w:val="none" w:sz="0" w:space="0" w:color="auto"/>
            <w:bottom w:val="none" w:sz="0" w:space="0" w:color="auto"/>
            <w:right w:val="none" w:sz="0" w:space="0" w:color="auto"/>
          </w:divBdr>
        </w:div>
        <w:div w:id="2053769852">
          <w:marLeft w:val="0"/>
          <w:marRight w:val="0"/>
          <w:marTop w:val="0"/>
          <w:marBottom w:val="0"/>
          <w:divBdr>
            <w:top w:val="none" w:sz="0" w:space="0" w:color="auto"/>
            <w:left w:val="none" w:sz="0" w:space="0" w:color="auto"/>
            <w:bottom w:val="none" w:sz="0" w:space="0" w:color="auto"/>
            <w:right w:val="none" w:sz="0" w:space="0" w:color="auto"/>
          </w:divBdr>
        </w:div>
        <w:div w:id="1142818464">
          <w:marLeft w:val="0"/>
          <w:marRight w:val="0"/>
          <w:marTop w:val="0"/>
          <w:marBottom w:val="0"/>
          <w:divBdr>
            <w:top w:val="none" w:sz="0" w:space="0" w:color="auto"/>
            <w:left w:val="none" w:sz="0" w:space="0" w:color="auto"/>
            <w:bottom w:val="none" w:sz="0" w:space="0" w:color="auto"/>
            <w:right w:val="none" w:sz="0" w:space="0" w:color="auto"/>
          </w:divBdr>
        </w:div>
        <w:div w:id="741025696">
          <w:marLeft w:val="0"/>
          <w:marRight w:val="0"/>
          <w:marTop w:val="0"/>
          <w:marBottom w:val="0"/>
          <w:divBdr>
            <w:top w:val="none" w:sz="0" w:space="0" w:color="auto"/>
            <w:left w:val="none" w:sz="0" w:space="0" w:color="auto"/>
            <w:bottom w:val="none" w:sz="0" w:space="0" w:color="auto"/>
            <w:right w:val="none" w:sz="0" w:space="0" w:color="auto"/>
          </w:divBdr>
        </w:div>
        <w:div w:id="1129859742">
          <w:marLeft w:val="0"/>
          <w:marRight w:val="0"/>
          <w:marTop w:val="0"/>
          <w:marBottom w:val="0"/>
          <w:divBdr>
            <w:top w:val="none" w:sz="0" w:space="0" w:color="auto"/>
            <w:left w:val="none" w:sz="0" w:space="0" w:color="auto"/>
            <w:bottom w:val="none" w:sz="0" w:space="0" w:color="auto"/>
            <w:right w:val="none" w:sz="0" w:space="0" w:color="auto"/>
          </w:divBdr>
        </w:div>
        <w:div w:id="1036614152">
          <w:marLeft w:val="0"/>
          <w:marRight w:val="0"/>
          <w:marTop w:val="0"/>
          <w:marBottom w:val="0"/>
          <w:divBdr>
            <w:top w:val="none" w:sz="0" w:space="0" w:color="auto"/>
            <w:left w:val="none" w:sz="0" w:space="0" w:color="auto"/>
            <w:bottom w:val="none" w:sz="0" w:space="0" w:color="auto"/>
            <w:right w:val="none" w:sz="0" w:space="0" w:color="auto"/>
          </w:divBdr>
        </w:div>
        <w:div w:id="634604106">
          <w:marLeft w:val="0"/>
          <w:marRight w:val="0"/>
          <w:marTop w:val="0"/>
          <w:marBottom w:val="0"/>
          <w:divBdr>
            <w:top w:val="none" w:sz="0" w:space="0" w:color="auto"/>
            <w:left w:val="none" w:sz="0" w:space="0" w:color="auto"/>
            <w:bottom w:val="none" w:sz="0" w:space="0" w:color="auto"/>
            <w:right w:val="none" w:sz="0" w:space="0" w:color="auto"/>
          </w:divBdr>
        </w:div>
        <w:div w:id="171720869">
          <w:marLeft w:val="0"/>
          <w:marRight w:val="0"/>
          <w:marTop w:val="0"/>
          <w:marBottom w:val="0"/>
          <w:divBdr>
            <w:top w:val="none" w:sz="0" w:space="0" w:color="auto"/>
            <w:left w:val="none" w:sz="0" w:space="0" w:color="auto"/>
            <w:bottom w:val="none" w:sz="0" w:space="0" w:color="auto"/>
            <w:right w:val="none" w:sz="0" w:space="0" w:color="auto"/>
          </w:divBdr>
        </w:div>
        <w:div w:id="431626774">
          <w:marLeft w:val="0"/>
          <w:marRight w:val="0"/>
          <w:marTop w:val="0"/>
          <w:marBottom w:val="0"/>
          <w:divBdr>
            <w:top w:val="none" w:sz="0" w:space="0" w:color="auto"/>
            <w:left w:val="none" w:sz="0" w:space="0" w:color="auto"/>
            <w:bottom w:val="none" w:sz="0" w:space="0" w:color="auto"/>
            <w:right w:val="none" w:sz="0" w:space="0" w:color="auto"/>
          </w:divBdr>
        </w:div>
        <w:div w:id="1565068637">
          <w:marLeft w:val="0"/>
          <w:marRight w:val="0"/>
          <w:marTop w:val="0"/>
          <w:marBottom w:val="0"/>
          <w:divBdr>
            <w:top w:val="none" w:sz="0" w:space="0" w:color="auto"/>
            <w:left w:val="none" w:sz="0" w:space="0" w:color="auto"/>
            <w:bottom w:val="none" w:sz="0" w:space="0" w:color="auto"/>
            <w:right w:val="none" w:sz="0" w:space="0" w:color="auto"/>
          </w:divBdr>
        </w:div>
        <w:div w:id="656610413">
          <w:marLeft w:val="0"/>
          <w:marRight w:val="0"/>
          <w:marTop w:val="0"/>
          <w:marBottom w:val="0"/>
          <w:divBdr>
            <w:top w:val="none" w:sz="0" w:space="0" w:color="auto"/>
            <w:left w:val="none" w:sz="0" w:space="0" w:color="auto"/>
            <w:bottom w:val="none" w:sz="0" w:space="0" w:color="auto"/>
            <w:right w:val="none" w:sz="0" w:space="0" w:color="auto"/>
          </w:divBdr>
        </w:div>
        <w:div w:id="349725945">
          <w:marLeft w:val="0"/>
          <w:marRight w:val="0"/>
          <w:marTop w:val="0"/>
          <w:marBottom w:val="0"/>
          <w:divBdr>
            <w:top w:val="none" w:sz="0" w:space="0" w:color="auto"/>
            <w:left w:val="none" w:sz="0" w:space="0" w:color="auto"/>
            <w:bottom w:val="none" w:sz="0" w:space="0" w:color="auto"/>
            <w:right w:val="none" w:sz="0" w:space="0" w:color="auto"/>
          </w:divBdr>
        </w:div>
        <w:div w:id="1076172710">
          <w:marLeft w:val="0"/>
          <w:marRight w:val="0"/>
          <w:marTop w:val="0"/>
          <w:marBottom w:val="0"/>
          <w:divBdr>
            <w:top w:val="none" w:sz="0" w:space="0" w:color="auto"/>
            <w:left w:val="none" w:sz="0" w:space="0" w:color="auto"/>
            <w:bottom w:val="none" w:sz="0" w:space="0" w:color="auto"/>
            <w:right w:val="none" w:sz="0" w:space="0" w:color="auto"/>
          </w:divBdr>
        </w:div>
        <w:div w:id="1409570541">
          <w:marLeft w:val="0"/>
          <w:marRight w:val="0"/>
          <w:marTop w:val="0"/>
          <w:marBottom w:val="0"/>
          <w:divBdr>
            <w:top w:val="none" w:sz="0" w:space="0" w:color="auto"/>
            <w:left w:val="none" w:sz="0" w:space="0" w:color="auto"/>
            <w:bottom w:val="none" w:sz="0" w:space="0" w:color="auto"/>
            <w:right w:val="none" w:sz="0" w:space="0" w:color="auto"/>
          </w:divBdr>
        </w:div>
        <w:div w:id="1395658911">
          <w:marLeft w:val="0"/>
          <w:marRight w:val="0"/>
          <w:marTop w:val="0"/>
          <w:marBottom w:val="0"/>
          <w:divBdr>
            <w:top w:val="none" w:sz="0" w:space="0" w:color="auto"/>
            <w:left w:val="none" w:sz="0" w:space="0" w:color="auto"/>
            <w:bottom w:val="none" w:sz="0" w:space="0" w:color="auto"/>
            <w:right w:val="none" w:sz="0" w:space="0" w:color="auto"/>
          </w:divBdr>
        </w:div>
        <w:div w:id="1031415608">
          <w:marLeft w:val="0"/>
          <w:marRight w:val="0"/>
          <w:marTop w:val="0"/>
          <w:marBottom w:val="0"/>
          <w:divBdr>
            <w:top w:val="none" w:sz="0" w:space="0" w:color="auto"/>
            <w:left w:val="none" w:sz="0" w:space="0" w:color="auto"/>
            <w:bottom w:val="none" w:sz="0" w:space="0" w:color="auto"/>
            <w:right w:val="none" w:sz="0" w:space="0" w:color="auto"/>
          </w:divBdr>
        </w:div>
        <w:div w:id="595670664">
          <w:marLeft w:val="0"/>
          <w:marRight w:val="0"/>
          <w:marTop w:val="0"/>
          <w:marBottom w:val="0"/>
          <w:divBdr>
            <w:top w:val="none" w:sz="0" w:space="0" w:color="auto"/>
            <w:left w:val="none" w:sz="0" w:space="0" w:color="auto"/>
            <w:bottom w:val="none" w:sz="0" w:space="0" w:color="auto"/>
            <w:right w:val="none" w:sz="0" w:space="0" w:color="auto"/>
          </w:divBdr>
        </w:div>
        <w:div w:id="84150108">
          <w:marLeft w:val="0"/>
          <w:marRight w:val="0"/>
          <w:marTop w:val="0"/>
          <w:marBottom w:val="0"/>
          <w:divBdr>
            <w:top w:val="none" w:sz="0" w:space="0" w:color="auto"/>
            <w:left w:val="none" w:sz="0" w:space="0" w:color="auto"/>
            <w:bottom w:val="none" w:sz="0" w:space="0" w:color="auto"/>
            <w:right w:val="none" w:sz="0" w:space="0" w:color="auto"/>
          </w:divBdr>
        </w:div>
        <w:div w:id="1318457779">
          <w:marLeft w:val="0"/>
          <w:marRight w:val="0"/>
          <w:marTop w:val="0"/>
          <w:marBottom w:val="0"/>
          <w:divBdr>
            <w:top w:val="none" w:sz="0" w:space="0" w:color="auto"/>
            <w:left w:val="none" w:sz="0" w:space="0" w:color="auto"/>
            <w:bottom w:val="none" w:sz="0" w:space="0" w:color="auto"/>
            <w:right w:val="none" w:sz="0" w:space="0" w:color="auto"/>
          </w:divBdr>
        </w:div>
        <w:div w:id="84768021">
          <w:marLeft w:val="0"/>
          <w:marRight w:val="0"/>
          <w:marTop w:val="0"/>
          <w:marBottom w:val="0"/>
          <w:divBdr>
            <w:top w:val="none" w:sz="0" w:space="0" w:color="auto"/>
            <w:left w:val="none" w:sz="0" w:space="0" w:color="auto"/>
            <w:bottom w:val="none" w:sz="0" w:space="0" w:color="auto"/>
            <w:right w:val="none" w:sz="0" w:space="0" w:color="auto"/>
          </w:divBdr>
        </w:div>
        <w:div w:id="1501971273">
          <w:marLeft w:val="0"/>
          <w:marRight w:val="0"/>
          <w:marTop w:val="0"/>
          <w:marBottom w:val="0"/>
          <w:divBdr>
            <w:top w:val="none" w:sz="0" w:space="0" w:color="auto"/>
            <w:left w:val="none" w:sz="0" w:space="0" w:color="auto"/>
            <w:bottom w:val="none" w:sz="0" w:space="0" w:color="auto"/>
            <w:right w:val="none" w:sz="0" w:space="0" w:color="auto"/>
          </w:divBdr>
        </w:div>
        <w:div w:id="1781142952">
          <w:marLeft w:val="0"/>
          <w:marRight w:val="0"/>
          <w:marTop w:val="0"/>
          <w:marBottom w:val="0"/>
          <w:divBdr>
            <w:top w:val="none" w:sz="0" w:space="0" w:color="auto"/>
            <w:left w:val="none" w:sz="0" w:space="0" w:color="auto"/>
            <w:bottom w:val="none" w:sz="0" w:space="0" w:color="auto"/>
            <w:right w:val="none" w:sz="0" w:space="0" w:color="auto"/>
          </w:divBdr>
        </w:div>
        <w:div w:id="1674606573">
          <w:marLeft w:val="0"/>
          <w:marRight w:val="0"/>
          <w:marTop w:val="0"/>
          <w:marBottom w:val="0"/>
          <w:divBdr>
            <w:top w:val="none" w:sz="0" w:space="0" w:color="auto"/>
            <w:left w:val="none" w:sz="0" w:space="0" w:color="auto"/>
            <w:bottom w:val="none" w:sz="0" w:space="0" w:color="auto"/>
            <w:right w:val="none" w:sz="0" w:space="0" w:color="auto"/>
          </w:divBdr>
        </w:div>
        <w:div w:id="1983459704">
          <w:marLeft w:val="0"/>
          <w:marRight w:val="0"/>
          <w:marTop w:val="0"/>
          <w:marBottom w:val="0"/>
          <w:divBdr>
            <w:top w:val="none" w:sz="0" w:space="0" w:color="auto"/>
            <w:left w:val="none" w:sz="0" w:space="0" w:color="auto"/>
            <w:bottom w:val="none" w:sz="0" w:space="0" w:color="auto"/>
            <w:right w:val="none" w:sz="0" w:space="0" w:color="auto"/>
          </w:divBdr>
        </w:div>
        <w:div w:id="1641422201">
          <w:marLeft w:val="0"/>
          <w:marRight w:val="0"/>
          <w:marTop w:val="0"/>
          <w:marBottom w:val="0"/>
          <w:divBdr>
            <w:top w:val="none" w:sz="0" w:space="0" w:color="auto"/>
            <w:left w:val="none" w:sz="0" w:space="0" w:color="auto"/>
            <w:bottom w:val="none" w:sz="0" w:space="0" w:color="auto"/>
            <w:right w:val="none" w:sz="0" w:space="0" w:color="auto"/>
          </w:divBdr>
        </w:div>
        <w:div w:id="1286229596">
          <w:marLeft w:val="0"/>
          <w:marRight w:val="0"/>
          <w:marTop w:val="0"/>
          <w:marBottom w:val="0"/>
          <w:divBdr>
            <w:top w:val="none" w:sz="0" w:space="0" w:color="auto"/>
            <w:left w:val="none" w:sz="0" w:space="0" w:color="auto"/>
            <w:bottom w:val="none" w:sz="0" w:space="0" w:color="auto"/>
            <w:right w:val="none" w:sz="0" w:space="0" w:color="auto"/>
          </w:divBdr>
        </w:div>
        <w:div w:id="779764850">
          <w:marLeft w:val="0"/>
          <w:marRight w:val="0"/>
          <w:marTop w:val="0"/>
          <w:marBottom w:val="0"/>
          <w:divBdr>
            <w:top w:val="none" w:sz="0" w:space="0" w:color="auto"/>
            <w:left w:val="none" w:sz="0" w:space="0" w:color="auto"/>
            <w:bottom w:val="none" w:sz="0" w:space="0" w:color="auto"/>
            <w:right w:val="none" w:sz="0" w:space="0" w:color="auto"/>
          </w:divBdr>
        </w:div>
        <w:div w:id="412897088">
          <w:marLeft w:val="0"/>
          <w:marRight w:val="0"/>
          <w:marTop w:val="0"/>
          <w:marBottom w:val="0"/>
          <w:divBdr>
            <w:top w:val="none" w:sz="0" w:space="0" w:color="auto"/>
            <w:left w:val="none" w:sz="0" w:space="0" w:color="auto"/>
            <w:bottom w:val="none" w:sz="0" w:space="0" w:color="auto"/>
            <w:right w:val="none" w:sz="0" w:space="0" w:color="auto"/>
          </w:divBdr>
        </w:div>
        <w:div w:id="2029136969">
          <w:marLeft w:val="0"/>
          <w:marRight w:val="0"/>
          <w:marTop w:val="0"/>
          <w:marBottom w:val="0"/>
          <w:divBdr>
            <w:top w:val="none" w:sz="0" w:space="0" w:color="auto"/>
            <w:left w:val="none" w:sz="0" w:space="0" w:color="auto"/>
            <w:bottom w:val="none" w:sz="0" w:space="0" w:color="auto"/>
            <w:right w:val="none" w:sz="0" w:space="0" w:color="auto"/>
          </w:divBdr>
        </w:div>
        <w:div w:id="1990354882">
          <w:marLeft w:val="0"/>
          <w:marRight w:val="0"/>
          <w:marTop w:val="0"/>
          <w:marBottom w:val="0"/>
          <w:divBdr>
            <w:top w:val="none" w:sz="0" w:space="0" w:color="auto"/>
            <w:left w:val="none" w:sz="0" w:space="0" w:color="auto"/>
            <w:bottom w:val="none" w:sz="0" w:space="0" w:color="auto"/>
            <w:right w:val="none" w:sz="0" w:space="0" w:color="auto"/>
          </w:divBdr>
        </w:div>
        <w:div w:id="884753368">
          <w:marLeft w:val="0"/>
          <w:marRight w:val="0"/>
          <w:marTop w:val="0"/>
          <w:marBottom w:val="0"/>
          <w:divBdr>
            <w:top w:val="none" w:sz="0" w:space="0" w:color="auto"/>
            <w:left w:val="none" w:sz="0" w:space="0" w:color="auto"/>
            <w:bottom w:val="none" w:sz="0" w:space="0" w:color="auto"/>
            <w:right w:val="none" w:sz="0" w:space="0" w:color="auto"/>
          </w:divBdr>
        </w:div>
        <w:div w:id="1253398425">
          <w:marLeft w:val="0"/>
          <w:marRight w:val="0"/>
          <w:marTop w:val="0"/>
          <w:marBottom w:val="0"/>
          <w:divBdr>
            <w:top w:val="none" w:sz="0" w:space="0" w:color="auto"/>
            <w:left w:val="none" w:sz="0" w:space="0" w:color="auto"/>
            <w:bottom w:val="none" w:sz="0" w:space="0" w:color="auto"/>
            <w:right w:val="none" w:sz="0" w:space="0" w:color="auto"/>
          </w:divBdr>
        </w:div>
        <w:div w:id="436170488">
          <w:marLeft w:val="0"/>
          <w:marRight w:val="0"/>
          <w:marTop w:val="0"/>
          <w:marBottom w:val="0"/>
          <w:divBdr>
            <w:top w:val="none" w:sz="0" w:space="0" w:color="auto"/>
            <w:left w:val="none" w:sz="0" w:space="0" w:color="auto"/>
            <w:bottom w:val="none" w:sz="0" w:space="0" w:color="auto"/>
            <w:right w:val="none" w:sz="0" w:space="0" w:color="auto"/>
          </w:divBdr>
        </w:div>
        <w:div w:id="1327325013">
          <w:marLeft w:val="0"/>
          <w:marRight w:val="0"/>
          <w:marTop w:val="0"/>
          <w:marBottom w:val="0"/>
          <w:divBdr>
            <w:top w:val="none" w:sz="0" w:space="0" w:color="auto"/>
            <w:left w:val="none" w:sz="0" w:space="0" w:color="auto"/>
            <w:bottom w:val="none" w:sz="0" w:space="0" w:color="auto"/>
            <w:right w:val="none" w:sz="0" w:space="0" w:color="auto"/>
          </w:divBdr>
        </w:div>
        <w:div w:id="1378817389">
          <w:marLeft w:val="0"/>
          <w:marRight w:val="0"/>
          <w:marTop w:val="0"/>
          <w:marBottom w:val="0"/>
          <w:divBdr>
            <w:top w:val="none" w:sz="0" w:space="0" w:color="auto"/>
            <w:left w:val="none" w:sz="0" w:space="0" w:color="auto"/>
            <w:bottom w:val="none" w:sz="0" w:space="0" w:color="auto"/>
            <w:right w:val="none" w:sz="0" w:space="0" w:color="auto"/>
          </w:divBdr>
        </w:div>
        <w:div w:id="15036312">
          <w:marLeft w:val="0"/>
          <w:marRight w:val="0"/>
          <w:marTop w:val="0"/>
          <w:marBottom w:val="0"/>
          <w:divBdr>
            <w:top w:val="none" w:sz="0" w:space="0" w:color="auto"/>
            <w:left w:val="none" w:sz="0" w:space="0" w:color="auto"/>
            <w:bottom w:val="none" w:sz="0" w:space="0" w:color="auto"/>
            <w:right w:val="none" w:sz="0" w:space="0" w:color="auto"/>
          </w:divBdr>
        </w:div>
        <w:div w:id="978025681">
          <w:marLeft w:val="0"/>
          <w:marRight w:val="0"/>
          <w:marTop w:val="0"/>
          <w:marBottom w:val="0"/>
          <w:divBdr>
            <w:top w:val="none" w:sz="0" w:space="0" w:color="auto"/>
            <w:left w:val="none" w:sz="0" w:space="0" w:color="auto"/>
            <w:bottom w:val="none" w:sz="0" w:space="0" w:color="auto"/>
            <w:right w:val="none" w:sz="0" w:space="0" w:color="auto"/>
          </w:divBdr>
        </w:div>
        <w:div w:id="409696476">
          <w:marLeft w:val="0"/>
          <w:marRight w:val="0"/>
          <w:marTop w:val="0"/>
          <w:marBottom w:val="0"/>
          <w:divBdr>
            <w:top w:val="none" w:sz="0" w:space="0" w:color="auto"/>
            <w:left w:val="none" w:sz="0" w:space="0" w:color="auto"/>
            <w:bottom w:val="none" w:sz="0" w:space="0" w:color="auto"/>
            <w:right w:val="none" w:sz="0" w:space="0" w:color="auto"/>
          </w:divBdr>
        </w:div>
        <w:div w:id="1299843070">
          <w:marLeft w:val="0"/>
          <w:marRight w:val="0"/>
          <w:marTop w:val="0"/>
          <w:marBottom w:val="0"/>
          <w:divBdr>
            <w:top w:val="none" w:sz="0" w:space="0" w:color="auto"/>
            <w:left w:val="none" w:sz="0" w:space="0" w:color="auto"/>
            <w:bottom w:val="none" w:sz="0" w:space="0" w:color="auto"/>
            <w:right w:val="none" w:sz="0" w:space="0" w:color="auto"/>
          </w:divBdr>
        </w:div>
        <w:div w:id="788279679">
          <w:marLeft w:val="0"/>
          <w:marRight w:val="0"/>
          <w:marTop w:val="0"/>
          <w:marBottom w:val="0"/>
          <w:divBdr>
            <w:top w:val="none" w:sz="0" w:space="0" w:color="auto"/>
            <w:left w:val="none" w:sz="0" w:space="0" w:color="auto"/>
            <w:bottom w:val="none" w:sz="0" w:space="0" w:color="auto"/>
            <w:right w:val="none" w:sz="0" w:space="0" w:color="auto"/>
          </w:divBdr>
        </w:div>
        <w:div w:id="1935475701">
          <w:marLeft w:val="0"/>
          <w:marRight w:val="0"/>
          <w:marTop w:val="0"/>
          <w:marBottom w:val="0"/>
          <w:divBdr>
            <w:top w:val="none" w:sz="0" w:space="0" w:color="auto"/>
            <w:left w:val="none" w:sz="0" w:space="0" w:color="auto"/>
            <w:bottom w:val="none" w:sz="0" w:space="0" w:color="auto"/>
            <w:right w:val="none" w:sz="0" w:space="0" w:color="auto"/>
          </w:divBdr>
        </w:div>
        <w:div w:id="1439905484">
          <w:marLeft w:val="0"/>
          <w:marRight w:val="0"/>
          <w:marTop w:val="0"/>
          <w:marBottom w:val="0"/>
          <w:divBdr>
            <w:top w:val="none" w:sz="0" w:space="0" w:color="auto"/>
            <w:left w:val="none" w:sz="0" w:space="0" w:color="auto"/>
            <w:bottom w:val="none" w:sz="0" w:space="0" w:color="auto"/>
            <w:right w:val="none" w:sz="0" w:space="0" w:color="auto"/>
          </w:divBdr>
        </w:div>
        <w:div w:id="1533687963">
          <w:marLeft w:val="0"/>
          <w:marRight w:val="0"/>
          <w:marTop w:val="0"/>
          <w:marBottom w:val="0"/>
          <w:divBdr>
            <w:top w:val="none" w:sz="0" w:space="0" w:color="auto"/>
            <w:left w:val="none" w:sz="0" w:space="0" w:color="auto"/>
            <w:bottom w:val="none" w:sz="0" w:space="0" w:color="auto"/>
            <w:right w:val="none" w:sz="0" w:space="0" w:color="auto"/>
          </w:divBdr>
        </w:div>
        <w:div w:id="448665944">
          <w:marLeft w:val="0"/>
          <w:marRight w:val="0"/>
          <w:marTop w:val="0"/>
          <w:marBottom w:val="0"/>
          <w:divBdr>
            <w:top w:val="none" w:sz="0" w:space="0" w:color="auto"/>
            <w:left w:val="none" w:sz="0" w:space="0" w:color="auto"/>
            <w:bottom w:val="none" w:sz="0" w:space="0" w:color="auto"/>
            <w:right w:val="none" w:sz="0" w:space="0" w:color="auto"/>
          </w:divBdr>
        </w:div>
        <w:div w:id="1185906126">
          <w:marLeft w:val="0"/>
          <w:marRight w:val="0"/>
          <w:marTop w:val="0"/>
          <w:marBottom w:val="0"/>
          <w:divBdr>
            <w:top w:val="none" w:sz="0" w:space="0" w:color="auto"/>
            <w:left w:val="none" w:sz="0" w:space="0" w:color="auto"/>
            <w:bottom w:val="none" w:sz="0" w:space="0" w:color="auto"/>
            <w:right w:val="none" w:sz="0" w:space="0" w:color="auto"/>
          </w:divBdr>
        </w:div>
        <w:div w:id="1662780280">
          <w:marLeft w:val="0"/>
          <w:marRight w:val="0"/>
          <w:marTop w:val="0"/>
          <w:marBottom w:val="0"/>
          <w:divBdr>
            <w:top w:val="none" w:sz="0" w:space="0" w:color="auto"/>
            <w:left w:val="none" w:sz="0" w:space="0" w:color="auto"/>
            <w:bottom w:val="none" w:sz="0" w:space="0" w:color="auto"/>
            <w:right w:val="none" w:sz="0" w:space="0" w:color="auto"/>
          </w:divBdr>
        </w:div>
        <w:div w:id="370614720">
          <w:marLeft w:val="0"/>
          <w:marRight w:val="0"/>
          <w:marTop w:val="0"/>
          <w:marBottom w:val="0"/>
          <w:divBdr>
            <w:top w:val="none" w:sz="0" w:space="0" w:color="auto"/>
            <w:left w:val="none" w:sz="0" w:space="0" w:color="auto"/>
            <w:bottom w:val="none" w:sz="0" w:space="0" w:color="auto"/>
            <w:right w:val="none" w:sz="0" w:space="0" w:color="auto"/>
          </w:divBdr>
        </w:div>
        <w:div w:id="1241867651">
          <w:marLeft w:val="0"/>
          <w:marRight w:val="0"/>
          <w:marTop w:val="0"/>
          <w:marBottom w:val="0"/>
          <w:divBdr>
            <w:top w:val="none" w:sz="0" w:space="0" w:color="auto"/>
            <w:left w:val="none" w:sz="0" w:space="0" w:color="auto"/>
            <w:bottom w:val="none" w:sz="0" w:space="0" w:color="auto"/>
            <w:right w:val="none" w:sz="0" w:space="0" w:color="auto"/>
          </w:divBdr>
        </w:div>
        <w:div w:id="1903444530">
          <w:marLeft w:val="0"/>
          <w:marRight w:val="0"/>
          <w:marTop w:val="0"/>
          <w:marBottom w:val="0"/>
          <w:divBdr>
            <w:top w:val="none" w:sz="0" w:space="0" w:color="auto"/>
            <w:left w:val="none" w:sz="0" w:space="0" w:color="auto"/>
            <w:bottom w:val="none" w:sz="0" w:space="0" w:color="auto"/>
            <w:right w:val="none" w:sz="0" w:space="0" w:color="auto"/>
          </w:divBdr>
        </w:div>
        <w:div w:id="416826695">
          <w:marLeft w:val="0"/>
          <w:marRight w:val="0"/>
          <w:marTop w:val="0"/>
          <w:marBottom w:val="0"/>
          <w:divBdr>
            <w:top w:val="none" w:sz="0" w:space="0" w:color="auto"/>
            <w:left w:val="none" w:sz="0" w:space="0" w:color="auto"/>
            <w:bottom w:val="none" w:sz="0" w:space="0" w:color="auto"/>
            <w:right w:val="none" w:sz="0" w:space="0" w:color="auto"/>
          </w:divBdr>
        </w:div>
        <w:div w:id="1220283161">
          <w:marLeft w:val="0"/>
          <w:marRight w:val="0"/>
          <w:marTop w:val="0"/>
          <w:marBottom w:val="0"/>
          <w:divBdr>
            <w:top w:val="none" w:sz="0" w:space="0" w:color="auto"/>
            <w:left w:val="none" w:sz="0" w:space="0" w:color="auto"/>
            <w:bottom w:val="none" w:sz="0" w:space="0" w:color="auto"/>
            <w:right w:val="none" w:sz="0" w:space="0" w:color="auto"/>
          </w:divBdr>
        </w:div>
        <w:div w:id="1286739611">
          <w:marLeft w:val="0"/>
          <w:marRight w:val="0"/>
          <w:marTop w:val="0"/>
          <w:marBottom w:val="0"/>
          <w:divBdr>
            <w:top w:val="none" w:sz="0" w:space="0" w:color="auto"/>
            <w:left w:val="none" w:sz="0" w:space="0" w:color="auto"/>
            <w:bottom w:val="none" w:sz="0" w:space="0" w:color="auto"/>
            <w:right w:val="none" w:sz="0" w:space="0" w:color="auto"/>
          </w:divBdr>
        </w:div>
        <w:div w:id="1168329881">
          <w:marLeft w:val="0"/>
          <w:marRight w:val="0"/>
          <w:marTop w:val="0"/>
          <w:marBottom w:val="0"/>
          <w:divBdr>
            <w:top w:val="none" w:sz="0" w:space="0" w:color="auto"/>
            <w:left w:val="none" w:sz="0" w:space="0" w:color="auto"/>
            <w:bottom w:val="none" w:sz="0" w:space="0" w:color="auto"/>
            <w:right w:val="none" w:sz="0" w:space="0" w:color="auto"/>
          </w:divBdr>
        </w:div>
        <w:div w:id="759300129">
          <w:marLeft w:val="0"/>
          <w:marRight w:val="0"/>
          <w:marTop w:val="0"/>
          <w:marBottom w:val="0"/>
          <w:divBdr>
            <w:top w:val="none" w:sz="0" w:space="0" w:color="auto"/>
            <w:left w:val="none" w:sz="0" w:space="0" w:color="auto"/>
            <w:bottom w:val="none" w:sz="0" w:space="0" w:color="auto"/>
            <w:right w:val="none" w:sz="0" w:space="0" w:color="auto"/>
          </w:divBdr>
        </w:div>
        <w:div w:id="1761945543">
          <w:marLeft w:val="0"/>
          <w:marRight w:val="0"/>
          <w:marTop w:val="0"/>
          <w:marBottom w:val="0"/>
          <w:divBdr>
            <w:top w:val="none" w:sz="0" w:space="0" w:color="auto"/>
            <w:left w:val="none" w:sz="0" w:space="0" w:color="auto"/>
            <w:bottom w:val="none" w:sz="0" w:space="0" w:color="auto"/>
            <w:right w:val="none" w:sz="0" w:space="0" w:color="auto"/>
          </w:divBdr>
        </w:div>
        <w:div w:id="550070831">
          <w:marLeft w:val="0"/>
          <w:marRight w:val="0"/>
          <w:marTop w:val="0"/>
          <w:marBottom w:val="0"/>
          <w:divBdr>
            <w:top w:val="none" w:sz="0" w:space="0" w:color="auto"/>
            <w:left w:val="none" w:sz="0" w:space="0" w:color="auto"/>
            <w:bottom w:val="none" w:sz="0" w:space="0" w:color="auto"/>
            <w:right w:val="none" w:sz="0" w:space="0" w:color="auto"/>
          </w:divBdr>
        </w:div>
        <w:div w:id="1163545827">
          <w:marLeft w:val="0"/>
          <w:marRight w:val="0"/>
          <w:marTop w:val="0"/>
          <w:marBottom w:val="0"/>
          <w:divBdr>
            <w:top w:val="none" w:sz="0" w:space="0" w:color="auto"/>
            <w:left w:val="none" w:sz="0" w:space="0" w:color="auto"/>
            <w:bottom w:val="none" w:sz="0" w:space="0" w:color="auto"/>
            <w:right w:val="none" w:sz="0" w:space="0" w:color="auto"/>
          </w:divBdr>
        </w:div>
        <w:div w:id="1378117951">
          <w:marLeft w:val="0"/>
          <w:marRight w:val="0"/>
          <w:marTop w:val="0"/>
          <w:marBottom w:val="0"/>
          <w:divBdr>
            <w:top w:val="none" w:sz="0" w:space="0" w:color="auto"/>
            <w:left w:val="none" w:sz="0" w:space="0" w:color="auto"/>
            <w:bottom w:val="none" w:sz="0" w:space="0" w:color="auto"/>
            <w:right w:val="none" w:sz="0" w:space="0" w:color="auto"/>
          </w:divBdr>
        </w:div>
        <w:div w:id="1141464090">
          <w:marLeft w:val="0"/>
          <w:marRight w:val="0"/>
          <w:marTop w:val="0"/>
          <w:marBottom w:val="0"/>
          <w:divBdr>
            <w:top w:val="none" w:sz="0" w:space="0" w:color="auto"/>
            <w:left w:val="none" w:sz="0" w:space="0" w:color="auto"/>
            <w:bottom w:val="none" w:sz="0" w:space="0" w:color="auto"/>
            <w:right w:val="none" w:sz="0" w:space="0" w:color="auto"/>
          </w:divBdr>
        </w:div>
        <w:div w:id="1750736457">
          <w:marLeft w:val="0"/>
          <w:marRight w:val="0"/>
          <w:marTop w:val="0"/>
          <w:marBottom w:val="0"/>
          <w:divBdr>
            <w:top w:val="none" w:sz="0" w:space="0" w:color="auto"/>
            <w:left w:val="none" w:sz="0" w:space="0" w:color="auto"/>
            <w:bottom w:val="none" w:sz="0" w:space="0" w:color="auto"/>
            <w:right w:val="none" w:sz="0" w:space="0" w:color="auto"/>
          </w:divBdr>
        </w:div>
        <w:div w:id="1796095277">
          <w:marLeft w:val="0"/>
          <w:marRight w:val="0"/>
          <w:marTop w:val="0"/>
          <w:marBottom w:val="0"/>
          <w:divBdr>
            <w:top w:val="none" w:sz="0" w:space="0" w:color="auto"/>
            <w:left w:val="none" w:sz="0" w:space="0" w:color="auto"/>
            <w:bottom w:val="none" w:sz="0" w:space="0" w:color="auto"/>
            <w:right w:val="none" w:sz="0" w:space="0" w:color="auto"/>
          </w:divBdr>
        </w:div>
        <w:div w:id="157155400">
          <w:marLeft w:val="0"/>
          <w:marRight w:val="0"/>
          <w:marTop w:val="0"/>
          <w:marBottom w:val="0"/>
          <w:divBdr>
            <w:top w:val="none" w:sz="0" w:space="0" w:color="auto"/>
            <w:left w:val="none" w:sz="0" w:space="0" w:color="auto"/>
            <w:bottom w:val="none" w:sz="0" w:space="0" w:color="auto"/>
            <w:right w:val="none" w:sz="0" w:space="0" w:color="auto"/>
          </w:divBdr>
        </w:div>
        <w:div w:id="1204752959">
          <w:marLeft w:val="0"/>
          <w:marRight w:val="0"/>
          <w:marTop w:val="0"/>
          <w:marBottom w:val="0"/>
          <w:divBdr>
            <w:top w:val="none" w:sz="0" w:space="0" w:color="auto"/>
            <w:left w:val="none" w:sz="0" w:space="0" w:color="auto"/>
            <w:bottom w:val="none" w:sz="0" w:space="0" w:color="auto"/>
            <w:right w:val="none" w:sz="0" w:space="0" w:color="auto"/>
          </w:divBdr>
        </w:div>
        <w:div w:id="174460379">
          <w:marLeft w:val="0"/>
          <w:marRight w:val="0"/>
          <w:marTop w:val="0"/>
          <w:marBottom w:val="0"/>
          <w:divBdr>
            <w:top w:val="none" w:sz="0" w:space="0" w:color="auto"/>
            <w:left w:val="none" w:sz="0" w:space="0" w:color="auto"/>
            <w:bottom w:val="none" w:sz="0" w:space="0" w:color="auto"/>
            <w:right w:val="none" w:sz="0" w:space="0" w:color="auto"/>
          </w:divBdr>
        </w:div>
        <w:div w:id="376391354">
          <w:marLeft w:val="0"/>
          <w:marRight w:val="0"/>
          <w:marTop w:val="0"/>
          <w:marBottom w:val="0"/>
          <w:divBdr>
            <w:top w:val="none" w:sz="0" w:space="0" w:color="auto"/>
            <w:left w:val="none" w:sz="0" w:space="0" w:color="auto"/>
            <w:bottom w:val="none" w:sz="0" w:space="0" w:color="auto"/>
            <w:right w:val="none" w:sz="0" w:space="0" w:color="auto"/>
          </w:divBdr>
        </w:div>
        <w:div w:id="1815609787">
          <w:marLeft w:val="0"/>
          <w:marRight w:val="0"/>
          <w:marTop w:val="0"/>
          <w:marBottom w:val="0"/>
          <w:divBdr>
            <w:top w:val="none" w:sz="0" w:space="0" w:color="auto"/>
            <w:left w:val="none" w:sz="0" w:space="0" w:color="auto"/>
            <w:bottom w:val="none" w:sz="0" w:space="0" w:color="auto"/>
            <w:right w:val="none" w:sz="0" w:space="0" w:color="auto"/>
          </w:divBdr>
        </w:div>
        <w:div w:id="1506625767">
          <w:marLeft w:val="0"/>
          <w:marRight w:val="0"/>
          <w:marTop w:val="0"/>
          <w:marBottom w:val="0"/>
          <w:divBdr>
            <w:top w:val="none" w:sz="0" w:space="0" w:color="auto"/>
            <w:left w:val="none" w:sz="0" w:space="0" w:color="auto"/>
            <w:bottom w:val="none" w:sz="0" w:space="0" w:color="auto"/>
            <w:right w:val="none" w:sz="0" w:space="0" w:color="auto"/>
          </w:divBdr>
        </w:div>
        <w:div w:id="1659459557">
          <w:marLeft w:val="0"/>
          <w:marRight w:val="0"/>
          <w:marTop w:val="0"/>
          <w:marBottom w:val="0"/>
          <w:divBdr>
            <w:top w:val="none" w:sz="0" w:space="0" w:color="auto"/>
            <w:left w:val="none" w:sz="0" w:space="0" w:color="auto"/>
            <w:bottom w:val="none" w:sz="0" w:space="0" w:color="auto"/>
            <w:right w:val="none" w:sz="0" w:space="0" w:color="auto"/>
          </w:divBdr>
        </w:div>
        <w:div w:id="533158679">
          <w:marLeft w:val="0"/>
          <w:marRight w:val="0"/>
          <w:marTop w:val="0"/>
          <w:marBottom w:val="0"/>
          <w:divBdr>
            <w:top w:val="none" w:sz="0" w:space="0" w:color="auto"/>
            <w:left w:val="none" w:sz="0" w:space="0" w:color="auto"/>
            <w:bottom w:val="none" w:sz="0" w:space="0" w:color="auto"/>
            <w:right w:val="none" w:sz="0" w:space="0" w:color="auto"/>
          </w:divBdr>
        </w:div>
        <w:div w:id="372387147">
          <w:marLeft w:val="0"/>
          <w:marRight w:val="0"/>
          <w:marTop w:val="0"/>
          <w:marBottom w:val="0"/>
          <w:divBdr>
            <w:top w:val="none" w:sz="0" w:space="0" w:color="auto"/>
            <w:left w:val="none" w:sz="0" w:space="0" w:color="auto"/>
            <w:bottom w:val="none" w:sz="0" w:space="0" w:color="auto"/>
            <w:right w:val="none" w:sz="0" w:space="0" w:color="auto"/>
          </w:divBdr>
        </w:div>
        <w:div w:id="715812167">
          <w:marLeft w:val="0"/>
          <w:marRight w:val="0"/>
          <w:marTop w:val="0"/>
          <w:marBottom w:val="0"/>
          <w:divBdr>
            <w:top w:val="none" w:sz="0" w:space="0" w:color="auto"/>
            <w:left w:val="none" w:sz="0" w:space="0" w:color="auto"/>
            <w:bottom w:val="none" w:sz="0" w:space="0" w:color="auto"/>
            <w:right w:val="none" w:sz="0" w:space="0" w:color="auto"/>
          </w:divBdr>
        </w:div>
        <w:div w:id="1452480972">
          <w:marLeft w:val="0"/>
          <w:marRight w:val="0"/>
          <w:marTop w:val="0"/>
          <w:marBottom w:val="0"/>
          <w:divBdr>
            <w:top w:val="none" w:sz="0" w:space="0" w:color="auto"/>
            <w:left w:val="none" w:sz="0" w:space="0" w:color="auto"/>
            <w:bottom w:val="none" w:sz="0" w:space="0" w:color="auto"/>
            <w:right w:val="none" w:sz="0" w:space="0" w:color="auto"/>
          </w:divBdr>
        </w:div>
        <w:div w:id="695810431">
          <w:marLeft w:val="0"/>
          <w:marRight w:val="0"/>
          <w:marTop w:val="0"/>
          <w:marBottom w:val="0"/>
          <w:divBdr>
            <w:top w:val="none" w:sz="0" w:space="0" w:color="auto"/>
            <w:left w:val="none" w:sz="0" w:space="0" w:color="auto"/>
            <w:bottom w:val="none" w:sz="0" w:space="0" w:color="auto"/>
            <w:right w:val="none" w:sz="0" w:space="0" w:color="auto"/>
          </w:divBdr>
        </w:div>
        <w:div w:id="1461150217">
          <w:marLeft w:val="0"/>
          <w:marRight w:val="0"/>
          <w:marTop w:val="0"/>
          <w:marBottom w:val="0"/>
          <w:divBdr>
            <w:top w:val="none" w:sz="0" w:space="0" w:color="auto"/>
            <w:left w:val="none" w:sz="0" w:space="0" w:color="auto"/>
            <w:bottom w:val="none" w:sz="0" w:space="0" w:color="auto"/>
            <w:right w:val="none" w:sz="0" w:space="0" w:color="auto"/>
          </w:divBdr>
        </w:div>
        <w:div w:id="175770665">
          <w:marLeft w:val="0"/>
          <w:marRight w:val="0"/>
          <w:marTop w:val="0"/>
          <w:marBottom w:val="0"/>
          <w:divBdr>
            <w:top w:val="none" w:sz="0" w:space="0" w:color="auto"/>
            <w:left w:val="none" w:sz="0" w:space="0" w:color="auto"/>
            <w:bottom w:val="none" w:sz="0" w:space="0" w:color="auto"/>
            <w:right w:val="none" w:sz="0" w:space="0" w:color="auto"/>
          </w:divBdr>
        </w:div>
        <w:div w:id="25956473">
          <w:marLeft w:val="0"/>
          <w:marRight w:val="0"/>
          <w:marTop w:val="0"/>
          <w:marBottom w:val="0"/>
          <w:divBdr>
            <w:top w:val="none" w:sz="0" w:space="0" w:color="auto"/>
            <w:left w:val="none" w:sz="0" w:space="0" w:color="auto"/>
            <w:bottom w:val="none" w:sz="0" w:space="0" w:color="auto"/>
            <w:right w:val="none" w:sz="0" w:space="0" w:color="auto"/>
          </w:divBdr>
        </w:div>
        <w:div w:id="175853063">
          <w:marLeft w:val="0"/>
          <w:marRight w:val="0"/>
          <w:marTop w:val="0"/>
          <w:marBottom w:val="0"/>
          <w:divBdr>
            <w:top w:val="none" w:sz="0" w:space="0" w:color="auto"/>
            <w:left w:val="none" w:sz="0" w:space="0" w:color="auto"/>
            <w:bottom w:val="none" w:sz="0" w:space="0" w:color="auto"/>
            <w:right w:val="none" w:sz="0" w:space="0" w:color="auto"/>
          </w:divBdr>
        </w:div>
        <w:div w:id="2080595107">
          <w:marLeft w:val="0"/>
          <w:marRight w:val="0"/>
          <w:marTop w:val="0"/>
          <w:marBottom w:val="0"/>
          <w:divBdr>
            <w:top w:val="none" w:sz="0" w:space="0" w:color="auto"/>
            <w:left w:val="none" w:sz="0" w:space="0" w:color="auto"/>
            <w:bottom w:val="none" w:sz="0" w:space="0" w:color="auto"/>
            <w:right w:val="none" w:sz="0" w:space="0" w:color="auto"/>
          </w:divBdr>
        </w:div>
        <w:div w:id="180820031">
          <w:marLeft w:val="0"/>
          <w:marRight w:val="0"/>
          <w:marTop w:val="0"/>
          <w:marBottom w:val="0"/>
          <w:divBdr>
            <w:top w:val="none" w:sz="0" w:space="0" w:color="auto"/>
            <w:left w:val="none" w:sz="0" w:space="0" w:color="auto"/>
            <w:bottom w:val="none" w:sz="0" w:space="0" w:color="auto"/>
            <w:right w:val="none" w:sz="0" w:space="0" w:color="auto"/>
          </w:divBdr>
        </w:div>
        <w:div w:id="1172798972">
          <w:marLeft w:val="0"/>
          <w:marRight w:val="0"/>
          <w:marTop w:val="0"/>
          <w:marBottom w:val="0"/>
          <w:divBdr>
            <w:top w:val="none" w:sz="0" w:space="0" w:color="auto"/>
            <w:left w:val="none" w:sz="0" w:space="0" w:color="auto"/>
            <w:bottom w:val="none" w:sz="0" w:space="0" w:color="auto"/>
            <w:right w:val="none" w:sz="0" w:space="0" w:color="auto"/>
          </w:divBdr>
        </w:div>
        <w:div w:id="1585338052">
          <w:marLeft w:val="0"/>
          <w:marRight w:val="0"/>
          <w:marTop w:val="0"/>
          <w:marBottom w:val="0"/>
          <w:divBdr>
            <w:top w:val="none" w:sz="0" w:space="0" w:color="auto"/>
            <w:left w:val="none" w:sz="0" w:space="0" w:color="auto"/>
            <w:bottom w:val="none" w:sz="0" w:space="0" w:color="auto"/>
            <w:right w:val="none" w:sz="0" w:space="0" w:color="auto"/>
          </w:divBdr>
        </w:div>
        <w:div w:id="1244756751">
          <w:marLeft w:val="0"/>
          <w:marRight w:val="0"/>
          <w:marTop w:val="0"/>
          <w:marBottom w:val="0"/>
          <w:divBdr>
            <w:top w:val="none" w:sz="0" w:space="0" w:color="auto"/>
            <w:left w:val="none" w:sz="0" w:space="0" w:color="auto"/>
            <w:bottom w:val="none" w:sz="0" w:space="0" w:color="auto"/>
            <w:right w:val="none" w:sz="0" w:space="0" w:color="auto"/>
          </w:divBdr>
        </w:div>
        <w:div w:id="480149420">
          <w:marLeft w:val="0"/>
          <w:marRight w:val="0"/>
          <w:marTop w:val="0"/>
          <w:marBottom w:val="0"/>
          <w:divBdr>
            <w:top w:val="none" w:sz="0" w:space="0" w:color="auto"/>
            <w:left w:val="none" w:sz="0" w:space="0" w:color="auto"/>
            <w:bottom w:val="none" w:sz="0" w:space="0" w:color="auto"/>
            <w:right w:val="none" w:sz="0" w:space="0" w:color="auto"/>
          </w:divBdr>
        </w:div>
        <w:div w:id="212428233">
          <w:marLeft w:val="0"/>
          <w:marRight w:val="0"/>
          <w:marTop w:val="0"/>
          <w:marBottom w:val="0"/>
          <w:divBdr>
            <w:top w:val="none" w:sz="0" w:space="0" w:color="auto"/>
            <w:left w:val="none" w:sz="0" w:space="0" w:color="auto"/>
            <w:bottom w:val="none" w:sz="0" w:space="0" w:color="auto"/>
            <w:right w:val="none" w:sz="0" w:space="0" w:color="auto"/>
          </w:divBdr>
        </w:div>
        <w:div w:id="1917007768">
          <w:marLeft w:val="0"/>
          <w:marRight w:val="0"/>
          <w:marTop w:val="0"/>
          <w:marBottom w:val="0"/>
          <w:divBdr>
            <w:top w:val="none" w:sz="0" w:space="0" w:color="auto"/>
            <w:left w:val="none" w:sz="0" w:space="0" w:color="auto"/>
            <w:bottom w:val="none" w:sz="0" w:space="0" w:color="auto"/>
            <w:right w:val="none" w:sz="0" w:space="0" w:color="auto"/>
          </w:divBdr>
        </w:div>
        <w:div w:id="1482162679">
          <w:marLeft w:val="0"/>
          <w:marRight w:val="0"/>
          <w:marTop w:val="0"/>
          <w:marBottom w:val="0"/>
          <w:divBdr>
            <w:top w:val="none" w:sz="0" w:space="0" w:color="auto"/>
            <w:left w:val="none" w:sz="0" w:space="0" w:color="auto"/>
            <w:bottom w:val="none" w:sz="0" w:space="0" w:color="auto"/>
            <w:right w:val="none" w:sz="0" w:space="0" w:color="auto"/>
          </w:divBdr>
        </w:div>
        <w:div w:id="1761951464">
          <w:marLeft w:val="0"/>
          <w:marRight w:val="0"/>
          <w:marTop w:val="0"/>
          <w:marBottom w:val="0"/>
          <w:divBdr>
            <w:top w:val="none" w:sz="0" w:space="0" w:color="auto"/>
            <w:left w:val="none" w:sz="0" w:space="0" w:color="auto"/>
            <w:bottom w:val="none" w:sz="0" w:space="0" w:color="auto"/>
            <w:right w:val="none" w:sz="0" w:space="0" w:color="auto"/>
          </w:divBdr>
        </w:div>
        <w:div w:id="1527645054">
          <w:marLeft w:val="0"/>
          <w:marRight w:val="0"/>
          <w:marTop w:val="0"/>
          <w:marBottom w:val="0"/>
          <w:divBdr>
            <w:top w:val="none" w:sz="0" w:space="0" w:color="auto"/>
            <w:left w:val="none" w:sz="0" w:space="0" w:color="auto"/>
            <w:bottom w:val="none" w:sz="0" w:space="0" w:color="auto"/>
            <w:right w:val="none" w:sz="0" w:space="0" w:color="auto"/>
          </w:divBdr>
        </w:div>
        <w:div w:id="1956255212">
          <w:marLeft w:val="0"/>
          <w:marRight w:val="0"/>
          <w:marTop w:val="0"/>
          <w:marBottom w:val="0"/>
          <w:divBdr>
            <w:top w:val="none" w:sz="0" w:space="0" w:color="auto"/>
            <w:left w:val="none" w:sz="0" w:space="0" w:color="auto"/>
            <w:bottom w:val="none" w:sz="0" w:space="0" w:color="auto"/>
            <w:right w:val="none" w:sz="0" w:space="0" w:color="auto"/>
          </w:divBdr>
        </w:div>
        <w:div w:id="179904265">
          <w:marLeft w:val="0"/>
          <w:marRight w:val="0"/>
          <w:marTop w:val="0"/>
          <w:marBottom w:val="0"/>
          <w:divBdr>
            <w:top w:val="none" w:sz="0" w:space="0" w:color="auto"/>
            <w:left w:val="none" w:sz="0" w:space="0" w:color="auto"/>
            <w:bottom w:val="none" w:sz="0" w:space="0" w:color="auto"/>
            <w:right w:val="none" w:sz="0" w:space="0" w:color="auto"/>
          </w:divBdr>
        </w:div>
        <w:div w:id="906309082">
          <w:marLeft w:val="0"/>
          <w:marRight w:val="0"/>
          <w:marTop w:val="0"/>
          <w:marBottom w:val="0"/>
          <w:divBdr>
            <w:top w:val="none" w:sz="0" w:space="0" w:color="auto"/>
            <w:left w:val="none" w:sz="0" w:space="0" w:color="auto"/>
            <w:bottom w:val="none" w:sz="0" w:space="0" w:color="auto"/>
            <w:right w:val="none" w:sz="0" w:space="0" w:color="auto"/>
          </w:divBdr>
        </w:div>
        <w:div w:id="193152072">
          <w:marLeft w:val="0"/>
          <w:marRight w:val="0"/>
          <w:marTop w:val="0"/>
          <w:marBottom w:val="0"/>
          <w:divBdr>
            <w:top w:val="none" w:sz="0" w:space="0" w:color="auto"/>
            <w:left w:val="none" w:sz="0" w:space="0" w:color="auto"/>
            <w:bottom w:val="none" w:sz="0" w:space="0" w:color="auto"/>
            <w:right w:val="none" w:sz="0" w:space="0" w:color="auto"/>
          </w:divBdr>
        </w:div>
        <w:div w:id="553129112">
          <w:marLeft w:val="0"/>
          <w:marRight w:val="0"/>
          <w:marTop w:val="0"/>
          <w:marBottom w:val="0"/>
          <w:divBdr>
            <w:top w:val="none" w:sz="0" w:space="0" w:color="auto"/>
            <w:left w:val="none" w:sz="0" w:space="0" w:color="auto"/>
            <w:bottom w:val="none" w:sz="0" w:space="0" w:color="auto"/>
            <w:right w:val="none" w:sz="0" w:space="0" w:color="auto"/>
          </w:divBdr>
        </w:div>
        <w:div w:id="594019007">
          <w:marLeft w:val="0"/>
          <w:marRight w:val="0"/>
          <w:marTop w:val="0"/>
          <w:marBottom w:val="0"/>
          <w:divBdr>
            <w:top w:val="none" w:sz="0" w:space="0" w:color="auto"/>
            <w:left w:val="none" w:sz="0" w:space="0" w:color="auto"/>
            <w:bottom w:val="none" w:sz="0" w:space="0" w:color="auto"/>
            <w:right w:val="none" w:sz="0" w:space="0" w:color="auto"/>
          </w:divBdr>
        </w:div>
        <w:div w:id="1507207962">
          <w:marLeft w:val="0"/>
          <w:marRight w:val="0"/>
          <w:marTop w:val="0"/>
          <w:marBottom w:val="0"/>
          <w:divBdr>
            <w:top w:val="none" w:sz="0" w:space="0" w:color="auto"/>
            <w:left w:val="none" w:sz="0" w:space="0" w:color="auto"/>
            <w:bottom w:val="none" w:sz="0" w:space="0" w:color="auto"/>
            <w:right w:val="none" w:sz="0" w:space="0" w:color="auto"/>
          </w:divBdr>
        </w:div>
        <w:div w:id="710154143">
          <w:marLeft w:val="0"/>
          <w:marRight w:val="0"/>
          <w:marTop w:val="0"/>
          <w:marBottom w:val="0"/>
          <w:divBdr>
            <w:top w:val="none" w:sz="0" w:space="0" w:color="auto"/>
            <w:left w:val="none" w:sz="0" w:space="0" w:color="auto"/>
            <w:bottom w:val="none" w:sz="0" w:space="0" w:color="auto"/>
            <w:right w:val="none" w:sz="0" w:space="0" w:color="auto"/>
          </w:divBdr>
        </w:div>
        <w:div w:id="1032849264">
          <w:marLeft w:val="0"/>
          <w:marRight w:val="0"/>
          <w:marTop w:val="0"/>
          <w:marBottom w:val="0"/>
          <w:divBdr>
            <w:top w:val="none" w:sz="0" w:space="0" w:color="auto"/>
            <w:left w:val="none" w:sz="0" w:space="0" w:color="auto"/>
            <w:bottom w:val="none" w:sz="0" w:space="0" w:color="auto"/>
            <w:right w:val="none" w:sz="0" w:space="0" w:color="auto"/>
          </w:divBdr>
        </w:div>
        <w:div w:id="1755667699">
          <w:marLeft w:val="0"/>
          <w:marRight w:val="0"/>
          <w:marTop w:val="0"/>
          <w:marBottom w:val="0"/>
          <w:divBdr>
            <w:top w:val="none" w:sz="0" w:space="0" w:color="auto"/>
            <w:left w:val="none" w:sz="0" w:space="0" w:color="auto"/>
            <w:bottom w:val="none" w:sz="0" w:space="0" w:color="auto"/>
            <w:right w:val="none" w:sz="0" w:space="0" w:color="auto"/>
          </w:divBdr>
        </w:div>
        <w:div w:id="180584288">
          <w:marLeft w:val="0"/>
          <w:marRight w:val="0"/>
          <w:marTop w:val="0"/>
          <w:marBottom w:val="0"/>
          <w:divBdr>
            <w:top w:val="none" w:sz="0" w:space="0" w:color="auto"/>
            <w:left w:val="none" w:sz="0" w:space="0" w:color="auto"/>
            <w:bottom w:val="none" w:sz="0" w:space="0" w:color="auto"/>
            <w:right w:val="none" w:sz="0" w:space="0" w:color="auto"/>
          </w:divBdr>
        </w:div>
        <w:div w:id="781262888">
          <w:marLeft w:val="0"/>
          <w:marRight w:val="0"/>
          <w:marTop w:val="0"/>
          <w:marBottom w:val="0"/>
          <w:divBdr>
            <w:top w:val="none" w:sz="0" w:space="0" w:color="auto"/>
            <w:left w:val="none" w:sz="0" w:space="0" w:color="auto"/>
            <w:bottom w:val="none" w:sz="0" w:space="0" w:color="auto"/>
            <w:right w:val="none" w:sz="0" w:space="0" w:color="auto"/>
          </w:divBdr>
        </w:div>
        <w:div w:id="575478287">
          <w:marLeft w:val="0"/>
          <w:marRight w:val="0"/>
          <w:marTop w:val="0"/>
          <w:marBottom w:val="0"/>
          <w:divBdr>
            <w:top w:val="none" w:sz="0" w:space="0" w:color="auto"/>
            <w:left w:val="none" w:sz="0" w:space="0" w:color="auto"/>
            <w:bottom w:val="none" w:sz="0" w:space="0" w:color="auto"/>
            <w:right w:val="none" w:sz="0" w:space="0" w:color="auto"/>
          </w:divBdr>
        </w:div>
        <w:div w:id="1253584822">
          <w:marLeft w:val="0"/>
          <w:marRight w:val="0"/>
          <w:marTop w:val="0"/>
          <w:marBottom w:val="0"/>
          <w:divBdr>
            <w:top w:val="none" w:sz="0" w:space="0" w:color="auto"/>
            <w:left w:val="none" w:sz="0" w:space="0" w:color="auto"/>
            <w:bottom w:val="none" w:sz="0" w:space="0" w:color="auto"/>
            <w:right w:val="none" w:sz="0" w:space="0" w:color="auto"/>
          </w:divBdr>
        </w:div>
        <w:div w:id="1698121121">
          <w:marLeft w:val="0"/>
          <w:marRight w:val="0"/>
          <w:marTop w:val="0"/>
          <w:marBottom w:val="0"/>
          <w:divBdr>
            <w:top w:val="none" w:sz="0" w:space="0" w:color="auto"/>
            <w:left w:val="none" w:sz="0" w:space="0" w:color="auto"/>
            <w:bottom w:val="none" w:sz="0" w:space="0" w:color="auto"/>
            <w:right w:val="none" w:sz="0" w:space="0" w:color="auto"/>
          </w:divBdr>
        </w:div>
        <w:div w:id="1391268352">
          <w:marLeft w:val="0"/>
          <w:marRight w:val="0"/>
          <w:marTop w:val="0"/>
          <w:marBottom w:val="0"/>
          <w:divBdr>
            <w:top w:val="none" w:sz="0" w:space="0" w:color="auto"/>
            <w:left w:val="none" w:sz="0" w:space="0" w:color="auto"/>
            <w:bottom w:val="none" w:sz="0" w:space="0" w:color="auto"/>
            <w:right w:val="none" w:sz="0" w:space="0" w:color="auto"/>
          </w:divBdr>
        </w:div>
        <w:div w:id="394818736">
          <w:marLeft w:val="0"/>
          <w:marRight w:val="0"/>
          <w:marTop w:val="0"/>
          <w:marBottom w:val="0"/>
          <w:divBdr>
            <w:top w:val="none" w:sz="0" w:space="0" w:color="auto"/>
            <w:left w:val="none" w:sz="0" w:space="0" w:color="auto"/>
            <w:bottom w:val="none" w:sz="0" w:space="0" w:color="auto"/>
            <w:right w:val="none" w:sz="0" w:space="0" w:color="auto"/>
          </w:divBdr>
        </w:div>
        <w:div w:id="901211149">
          <w:marLeft w:val="0"/>
          <w:marRight w:val="0"/>
          <w:marTop w:val="0"/>
          <w:marBottom w:val="0"/>
          <w:divBdr>
            <w:top w:val="none" w:sz="0" w:space="0" w:color="auto"/>
            <w:left w:val="none" w:sz="0" w:space="0" w:color="auto"/>
            <w:bottom w:val="none" w:sz="0" w:space="0" w:color="auto"/>
            <w:right w:val="none" w:sz="0" w:space="0" w:color="auto"/>
          </w:divBdr>
        </w:div>
        <w:div w:id="1581720445">
          <w:marLeft w:val="0"/>
          <w:marRight w:val="0"/>
          <w:marTop w:val="0"/>
          <w:marBottom w:val="0"/>
          <w:divBdr>
            <w:top w:val="none" w:sz="0" w:space="0" w:color="auto"/>
            <w:left w:val="none" w:sz="0" w:space="0" w:color="auto"/>
            <w:bottom w:val="none" w:sz="0" w:space="0" w:color="auto"/>
            <w:right w:val="none" w:sz="0" w:space="0" w:color="auto"/>
          </w:divBdr>
        </w:div>
        <w:div w:id="23291332">
          <w:marLeft w:val="0"/>
          <w:marRight w:val="0"/>
          <w:marTop w:val="0"/>
          <w:marBottom w:val="0"/>
          <w:divBdr>
            <w:top w:val="none" w:sz="0" w:space="0" w:color="auto"/>
            <w:left w:val="none" w:sz="0" w:space="0" w:color="auto"/>
            <w:bottom w:val="none" w:sz="0" w:space="0" w:color="auto"/>
            <w:right w:val="none" w:sz="0" w:space="0" w:color="auto"/>
          </w:divBdr>
        </w:div>
        <w:div w:id="1028677078">
          <w:marLeft w:val="0"/>
          <w:marRight w:val="0"/>
          <w:marTop w:val="0"/>
          <w:marBottom w:val="0"/>
          <w:divBdr>
            <w:top w:val="none" w:sz="0" w:space="0" w:color="auto"/>
            <w:left w:val="none" w:sz="0" w:space="0" w:color="auto"/>
            <w:bottom w:val="none" w:sz="0" w:space="0" w:color="auto"/>
            <w:right w:val="none" w:sz="0" w:space="0" w:color="auto"/>
          </w:divBdr>
        </w:div>
        <w:div w:id="288246271">
          <w:marLeft w:val="0"/>
          <w:marRight w:val="0"/>
          <w:marTop w:val="0"/>
          <w:marBottom w:val="0"/>
          <w:divBdr>
            <w:top w:val="none" w:sz="0" w:space="0" w:color="auto"/>
            <w:left w:val="none" w:sz="0" w:space="0" w:color="auto"/>
            <w:bottom w:val="none" w:sz="0" w:space="0" w:color="auto"/>
            <w:right w:val="none" w:sz="0" w:space="0" w:color="auto"/>
          </w:divBdr>
        </w:div>
        <w:div w:id="1515075074">
          <w:marLeft w:val="0"/>
          <w:marRight w:val="0"/>
          <w:marTop w:val="0"/>
          <w:marBottom w:val="0"/>
          <w:divBdr>
            <w:top w:val="none" w:sz="0" w:space="0" w:color="auto"/>
            <w:left w:val="none" w:sz="0" w:space="0" w:color="auto"/>
            <w:bottom w:val="none" w:sz="0" w:space="0" w:color="auto"/>
            <w:right w:val="none" w:sz="0" w:space="0" w:color="auto"/>
          </w:divBdr>
        </w:div>
        <w:div w:id="285938094">
          <w:marLeft w:val="0"/>
          <w:marRight w:val="0"/>
          <w:marTop w:val="0"/>
          <w:marBottom w:val="0"/>
          <w:divBdr>
            <w:top w:val="none" w:sz="0" w:space="0" w:color="auto"/>
            <w:left w:val="none" w:sz="0" w:space="0" w:color="auto"/>
            <w:bottom w:val="none" w:sz="0" w:space="0" w:color="auto"/>
            <w:right w:val="none" w:sz="0" w:space="0" w:color="auto"/>
          </w:divBdr>
        </w:div>
        <w:div w:id="1202398822">
          <w:marLeft w:val="0"/>
          <w:marRight w:val="0"/>
          <w:marTop w:val="0"/>
          <w:marBottom w:val="0"/>
          <w:divBdr>
            <w:top w:val="none" w:sz="0" w:space="0" w:color="auto"/>
            <w:left w:val="none" w:sz="0" w:space="0" w:color="auto"/>
            <w:bottom w:val="none" w:sz="0" w:space="0" w:color="auto"/>
            <w:right w:val="none" w:sz="0" w:space="0" w:color="auto"/>
          </w:divBdr>
        </w:div>
        <w:div w:id="683215421">
          <w:marLeft w:val="0"/>
          <w:marRight w:val="0"/>
          <w:marTop w:val="0"/>
          <w:marBottom w:val="0"/>
          <w:divBdr>
            <w:top w:val="none" w:sz="0" w:space="0" w:color="auto"/>
            <w:left w:val="none" w:sz="0" w:space="0" w:color="auto"/>
            <w:bottom w:val="none" w:sz="0" w:space="0" w:color="auto"/>
            <w:right w:val="none" w:sz="0" w:space="0" w:color="auto"/>
          </w:divBdr>
        </w:div>
        <w:div w:id="1074202086">
          <w:marLeft w:val="0"/>
          <w:marRight w:val="0"/>
          <w:marTop w:val="0"/>
          <w:marBottom w:val="0"/>
          <w:divBdr>
            <w:top w:val="none" w:sz="0" w:space="0" w:color="auto"/>
            <w:left w:val="none" w:sz="0" w:space="0" w:color="auto"/>
            <w:bottom w:val="none" w:sz="0" w:space="0" w:color="auto"/>
            <w:right w:val="none" w:sz="0" w:space="0" w:color="auto"/>
          </w:divBdr>
        </w:div>
        <w:div w:id="1078791546">
          <w:marLeft w:val="0"/>
          <w:marRight w:val="0"/>
          <w:marTop w:val="0"/>
          <w:marBottom w:val="0"/>
          <w:divBdr>
            <w:top w:val="none" w:sz="0" w:space="0" w:color="auto"/>
            <w:left w:val="none" w:sz="0" w:space="0" w:color="auto"/>
            <w:bottom w:val="none" w:sz="0" w:space="0" w:color="auto"/>
            <w:right w:val="none" w:sz="0" w:space="0" w:color="auto"/>
          </w:divBdr>
        </w:div>
        <w:div w:id="211161054">
          <w:marLeft w:val="0"/>
          <w:marRight w:val="0"/>
          <w:marTop w:val="0"/>
          <w:marBottom w:val="0"/>
          <w:divBdr>
            <w:top w:val="none" w:sz="0" w:space="0" w:color="auto"/>
            <w:left w:val="none" w:sz="0" w:space="0" w:color="auto"/>
            <w:bottom w:val="none" w:sz="0" w:space="0" w:color="auto"/>
            <w:right w:val="none" w:sz="0" w:space="0" w:color="auto"/>
          </w:divBdr>
        </w:div>
        <w:div w:id="1384600485">
          <w:marLeft w:val="0"/>
          <w:marRight w:val="0"/>
          <w:marTop w:val="0"/>
          <w:marBottom w:val="0"/>
          <w:divBdr>
            <w:top w:val="none" w:sz="0" w:space="0" w:color="auto"/>
            <w:left w:val="none" w:sz="0" w:space="0" w:color="auto"/>
            <w:bottom w:val="none" w:sz="0" w:space="0" w:color="auto"/>
            <w:right w:val="none" w:sz="0" w:space="0" w:color="auto"/>
          </w:divBdr>
        </w:div>
        <w:div w:id="2072069933">
          <w:marLeft w:val="0"/>
          <w:marRight w:val="0"/>
          <w:marTop w:val="0"/>
          <w:marBottom w:val="0"/>
          <w:divBdr>
            <w:top w:val="none" w:sz="0" w:space="0" w:color="auto"/>
            <w:left w:val="none" w:sz="0" w:space="0" w:color="auto"/>
            <w:bottom w:val="none" w:sz="0" w:space="0" w:color="auto"/>
            <w:right w:val="none" w:sz="0" w:space="0" w:color="auto"/>
          </w:divBdr>
        </w:div>
        <w:div w:id="643391155">
          <w:marLeft w:val="0"/>
          <w:marRight w:val="0"/>
          <w:marTop w:val="0"/>
          <w:marBottom w:val="0"/>
          <w:divBdr>
            <w:top w:val="none" w:sz="0" w:space="0" w:color="auto"/>
            <w:left w:val="none" w:sz="0" w:space="0" w:color="auto"/>
            <w:bottom w:val="none" w:sz="0" w:space="0" w:color="auto"/>
            <w:right w:val="none" w:sz="0" w:space="0" w:color="auto"/>
          </w:divBdr>
        </w:div>
        <w:div w:id="395276236">
          <w:marLeft w:val="0"/>
          <w:marRight w:val="0"/>
          <w:marTop w:val="0"/>
          <w:marBottom w:val="0"/>
          <w:divBdr>
            <w:top w:val="none" w:sz="0" w:space="0" w:color="auto"/>
            <w:left w:val="none" w:sz="0" w:space="0" w:color="auto"/>
            <w:bottom w:val="none" w:sz="0" w:space="0" w:color="auto"/>
            <w:right w:val="none" w:sz="0" w:space="0" w:color="auto"/>
          </w:divBdr>
        </w:div>
        <w:div w:id="510486950">
          <w:marLeft w:val="0"/>
          <w:marRight w:val="0"/>
          <w:marTop w:val="0"/>
          <w:marBottom w:val="0"/>
          <w:divBdr>
            <w:top w:val="none" w:sz="0" w:space="0" w:color="auto"/>
            <w:left w:val="none" w:sz="0" w:space="0" w:color="auto"/>
            <w:bottom w:val="none" w:sz="0" w:space="0" w:color="auto"/>
            <w:right w:val="none" w:sz="0" w:space="0" w:color="auto"/>
          </w:divBdr>
        </w:div>
        <w:div w:id="620917295">
          <w:marLeft w:val="0"/>
          <w:marRight w:val="0"/>
          <w:marTop w:val="0"/>
          <w:marBottom w:val="0"/>
          <w:divBdr>
            <w:top w:val="none" w:sz="0" w:space="0" w:color="auto"/>
            <w:left w:val="none" w:sz="0" w:space="0" w:color="auto"/>
            <w:bottom w:val="none" w:sz="0" w:space="0" w:color="auto"/>
            <w:right w:val="none" w:sz="0" w:space="0" w:color="auto"/>
          </w:divBdr>
        </w:div>
        <w:div w:id="228276392">
          <w:marLeft w:val="0"/>
          <w:marRight w:val="0"/>
          <w:marTop w:val="0"/>
          <w:marBottom w:val="0"/>
          <w:divBdr>
            <w:top w:val="none" w:sz="0" w:space="0" w:color="auto"/>
            <w:left w:val="none" w:sz="0" w:space="0" w:color="auto"/>
            <w:bottom w:val="none" w:sz="0" w:space="0" w:color="auto"/>
            <w:right w:val="none" w:sz="0" w:space="0" w:color="auto"/>
          </w:divBdr>
        </w:div>
        <w:div w:id="442922101">
          <w:marLeft w:val="0"/>
          <w:marRight w:val="0"/>
          <w:marTop w:val="0"/>
          <w:marBottom w:val="0"/>
          <w:divBdr>
            <w:top w:val="none" w:sz="0" w:space="0" w:color="auto"/>
            <w:left w:val="none" w:sz="0" w:space="0" w:color="auto"/>
            <w:bottom w:val="none" w:sz="0" w:space="0" w:color="auto"/>
            <w:right w:val="none" w:sz="0" w:space="0" w:color="auto"/>
          </w:divBdr>
        </w:div>
        <w:div w:id="1326278846">
          <w:marLeft w:val="0"/>
          <w:marRight w:val="0"/>
          <w:marTop w:val="0"/>
          <w:marBottom w:val="0"/>
          <w:divBdr>
            <w:top w:val="none" w:sz="0" w:space="0" w:color="auto"/>
            <w:left w:val="none" w:sz="0" w:space="0" w:color="auto"/>
            <w:bottom w:val="none" w:sz="0" w:space="0" w:color="auto"/>
            <w:right w:val="none" w:sz="0" w:space="0" w:color="auto"/>
          </w:divBdr>
        </w:div>
        <w:div w:id="1547713012">
          <w:marLeft w:val="0"/>
          <w:marRight w:val="0"/>
          <w:marTop w:val="0"/>
          <w:marBottom w:val="0"/>
          <w:divBdr>
            <w:top w:val="none" w:sz="0" w:space="0" w:color="auto"/>
            <w:left w:val="none" w:sz="0" w:space="0" w:color="auto"/>
            <w:bottom w:val="none" w:sz="0" w:space="0" w:color="auto"/>
            <w:right w:val="none" w:sz="0" w:space="0" w:color="auto"/>
          </w:divBdr>
        </w:div>
        <w:div w:id="1508902832">
          <w:marLeft w:val="0"/>
          <w:marRight w:val="0"/>
          <w:marTop w:val="0"/>
          <w:marBottom w:val="0"/>
          <w:divBdr>
            <w:top w:val="none" w:sz="0" w:space="0" w:color="auto"/>
            <w:left w:val="none" w:sz="0" w:space="0" w:color="auto"/>
            <w:bottom w:val="none" w:sz="0" w:space="0" w:color="auto"/>
            <w:right w:val="none" w:sz="0" w:space="0" w:color="auto"/>
          </w:divBdr>
        </w:div>
        <w:div w:id="1780636836">
          <w:marLeft w:val="0"/>
          <w:marRight w:val="0"/>
          <w:marTop w:val="0"/>
          <w:marBottom w:val="0"/>
          <w:divBdr>
            <w:top w:val="none" w:sz="0" w:space="0" w:color="auto"/>
            <w:left w:val="none" w:sz="0" w:space="0" w:color="auto"/>
            <w:bottom w:val="none" w:sz="0" w:space="0" w:color="auto"/>
            <w:right w:val="none" w:sz="0" w:space="0" w:color="auto"/>
          </w:divBdr>
        </w:div>
        <w:div w:id="797529211">
          <w:marLeft w:val="0"/>
          <w:marRight w:val="0"/>
          <w:marTop w:val="0"/>
          <w:marBottom w:val="0"/>
          <w:divBdr>
            <w:top w:val="none" w:sz="0" w:space="0" w:color="auto"/>
            <w:left w:val="none" w:sz="0" w:space="0" w:color="auto"/>
            <w:bottom w:val="none" w:sz="0" w:space="0" w:color="auto"/>
            <w:right w:val="none" w:sz="0" w:space="0" w:color="auto"/>
          </w:divBdr>
        </w:div>
        <w:div w:id="282884948">
          <w:marLeft w:val="0"/>
          <w:marRight w:val="0"/>
          <w:marTop w:val="0"/>
          <w:marBottom w:val="0"/>
          <w:divBdr>
            <w:top w:val="none" w:sz="0" w:space="0" w:color="auto"/>
            <w:left w:val="none" w:sz="0" w:space="0" w:color="auto"/>
            <w:bottom w:val="none" w:sz="0" w:space="0" w:color="auto"/>
            <w:right w:val="none" w:sz="0" w:space="0" w:color="auto"/>
          </w:divBdr>
        </w:div>
        <w:div w:id="16933971">
          <w:marLeft w:val="0"/>
          <w:marRight w:val="0"/>
          <w:marTop w:val="0"/>
          <w:marBottom w:val="0"/>
          <w:divBdr>
            <w:top w:val="none" w:sz="0" w:space="0" w:color="auto"/>
            <w:left w:val="none" w:sz="0" w:space="0" w:color="auto"/>
            <w:bottom w:val="none" w:sz="0" w:space="0" w:color="auto"/>
            <w:right w:val="none" w:sz="0" w:space="0" w:color="auto"/>
          </w:divBdr>
        </w:div>
        <w:div w:id="2033143094">
          <w:marLeft w:val="0"/>
          <w:marRight w:val="0"/>
          <w:marTop w:val="0"/>
          <w:marBottom w:val="0"/>
          <w:divBdr>
            <w:top w:val="none" w:sz="0" w:space="0" w:color="auto"/>
            <w:left w:val="none" w:sz="0" w:space="0" w:color="auto"/>
            <w:bottom w:val="none" w:sz="0" w:space="0" w:color="auto"/>
            <w:right w:val="none" w:sz="0" w:space="0" w:color="auto"/>
          </w:divBdr>
        </w:div>
        <w:div w:id="1012144985">
          <w:marLeft w:val="0"/>
          <w:marRight w:val="0"/>
          <w:marTop w:val="0"/>
          <w:marBottom w:val="0"/>
          <w:divBdr>
            <w:top w:val="none" w:sz="0" w:space="0" w:color="auto"/>
            <w:left w:val="none" w:sz="0" w:space="0" w:color="auto"/>
            <w:bottom w:val="none" w:sz="0" w:space="0" w:color="auto"/>
            <w:right w:val="none" w:sz="0" w:space="0" w:color="auto"/>
          </w:divBdr>
        </w:div>
        <w:div w:id="856845196">
          <w:marLeft w:val="0"/>
          <w:marRight w:val="0"/>
          <w:marTop w:val="0"/>
          <w:marBottom w:val="0"/>
          <w:divBdr>
            <w:top w:val="none" w:sz="0" w:space="0" w:color="auto"/>
            <w:left w:val="none" w:sz="0" w:space="0" w:color="auto"/>
            <w:bottom w:val="none" w:sz="0" w:space="0" w:color="auto"/>
            <w:right w:val="none" w:sz="0" w:space="0" w:color="auto"/>
          </w:divBdr>
        </w:div>
        <w:div w:id="2136409294">
          <w:marLeft w:val="0"/>
          <w:marRight w:val="0"/>
          <w:marTop w:val="0"/>
          <w:marBottom w:val="0"/>
          <w:divBdr>
            <w:top w:val="none" w:sz="0" w:space="0" w:color="auto"/>
            <w:left w:val="none" w:sz="0" w:space="0" w:color="auto"/>
            <w:bottom w:val="none" w:sz="0" w:space="0" w:color="auto"/>
            <w:right w:val="none" w:sz="0" w:space="0" w:color="auto"/>
          </w:divBdr>
        </w:div>
        <w:div w:id="1653408281">
          <w:marLeft w:val="0"/>
          <w:marRight w:val="0"/>
          <w:marTop w:val="0"/>
          <w:marBottom w:val="0"/>
          <w:divBdr>
            <w:top w:val="none" w:sz="0" w:space="0" w:color="auto"/>
            <w:left w:val="none" w:sz="0" w:space="0" w:color="auto"/>
            <w:bottom w:val="none" w:sz="0" w:space="0" w:color="auto"/>
            <w:right w:val="none" w:sz="0" w:space="0" w:color="auto"/>
          </w:divBdr>
        </w:div>
        <w:div w:id="163715428">
          <w:marLeft w:val="0"/>
          <w:marRight w:val="0"/>
          <w:marTop w:val="0"/>
          <w:marBottom w:val="0"/>
          <w:divBdr>
            <w:top w:val="none" w:sz="0" w:space="0" w:color="auto"/>
            <w:left w:val="none" w:sz="0" w:space="0" w:color="auto"/>
            <w:bottom w:val="none" w:sz="0" w:space="0" w:color="auto"/>
            <w:right w:val="none" w:sz="0" w:space="0" w:color="auto"/>
          </w:divBdr>
        </w:div>
        <w:div w:id="813957524">
          <w:marLeft w:val="0"/>
          <w:marRight w:val="0"/>
          <w:marTop w:val="0"/>
          <w:marBottom w:val="0"/>
          <w:divBdr>
            <w:top w:val="none" w:sz="0" w:space="0" w:color="auto"/>
            <w:left w:val="none" w:sz="0" w:space="0" w:color="auto"/>
            <w:bottom w:val="none" w:sz="0" w:space="0" w:color="auto"/>
            <w:right w:val="none" w:sz="0" w:space="0" w:color="auto"/>
          </w:divBdr>
        </w:div>
        <w:div w:id="444036655">
          <w:marLeft w:val="0"/>
          <w:marRight w:val="0"/>
          <w:marTop w:val="0"/>
          <w:marBottom w:val="0"/>
          <w:divBdr>
            <w:top w:val="none" w:sz="0" w:space="0" w:color="auto"/>
            <w:left w:val="none" w:sz="0" w:space="0" w:color="auto"/>
            <w:bottom w:val="none" w:sz="0" w:space="0" w:color="auto"/>
            <w:right w:val="none" w:sz="0" w:space="0" w:color="auto"/>
          </w:divBdr>
        </w:div>
        <w:div w:id="566190168">
          <w:marLeft w:val="0"/>
          <w:marRight w:val="0"/>
          <w:marTop w:val="0"/>
          <w:marBottom w:val="0"/>
          <w:divBdr>
            <w:top w:val="none" w:sz="0" w:space="0" w:color="auto"/>
            <w:left w:val="none" w:sz="0" w:space="0" w:color="auto"/>
            <w:bottom w:val="none" w:sz="0" w:space="0" w:color="auto"/>
            <w:right w:val="none" w:sz="0" w:space="0" w:color="auto"/>
          </w:divBdr>
        </w:div>
        <w:div w:id="995188142">
          <w:marLeft w:val="0"/>
          <w:marRight w:val="0"/>
          <w:marTop w:val="0"/>
          <w:marBottom w:val="0"/>
          <w:divBdr>
            <w:top w:val="none" w:sz="0" w:space="0" w:color="auto"/>
            <w:left w:val="none" w:sz="0" w:space="0" w:color="auto"/>
            <w:bottom w:val="none" w:sz="0" w:space="0" w:color="auto"/>
            <w:right w:val="none" w:sz="0" w:space="0" w:color="auto"/>
          </w:divBdr>
        </w:div>
        <w:div w:id="2140294498">
          <w:marLeft w:val="0"/>
          <w:marRight w:val="0"/>
          <w:marTop w:val="0"/>
          <w:marBottom w:val="0"/>
          <w:divBdr>
            <w:top w:val="none" w:sz="0" w:space="0" w:color="auto"/>
            <w:left w:val="none" w:sz="0" w:space="0" w:color="auto"/>
            <w:bottom w:val="none" w:sz="0" w:space="0" w:color="auto"/>
            <w:right w:val="none" w:sz="0" w:space="0" w:color="auto"/>
          </w:divBdr>
        </w:div>
        <w:div w:id="950357282">
          <w:marLeft w:val="0"/>
          <w:marRight w:val="0"/>
          <w:marTop w:val="0"/>
          <w:marBottom w:val="0"/>
          <w:divBdr>
            <w:top w:val="none" w:sz="0" w:space="0" w:color="auto"/>
            <w:left w:val="none" w:sz="0" w:space="0" w:color="auto"/>
            <w:bottom w:val="none" w:sz="0" w:space="0" w:color="auto"/>
            <w:right w:val="none" w:sz="0" w:space="0" w:color="auto"/>
          </w:divBdr>
        </w:div>
        <w:div w:id="758867651">
          <w:marLeft w:val="0"/>
          <w:marRight w:val="0"/>
          <w:marTop w:val="0"/>
          <w:marBottom w:val="0"/>
          <w:divBdr>
            <w:top w:val="none" w:sz="0" w:space="0" w:color="auto"/>
            <w:left w:val="none" w:sz="0" w:space="0" w:color="auto"/>
            <w:bottom w:val="none" w:sz="0" w:space="0" w:color="auto"/>
            <w:right w:val="none" w:sz="0" w:space="0" w:color="auto"/>
          </w:divBdr>
        </w:div>
        <w:div w:id="1786845009">
          <w:marLeft w:val="0"/>
          <w:marRight w:val="0"/>
          <w:marTop w:val="0"/>
          <w:marBottom w:val="0"/>
          <w:divBdr>
            <w:top w:val="none" w:sz="0" w:space="0" w:color="auto"/>
            <w:left w:val="none" w:sz="0" w:space="0" w:color="auto"/>
            <w:bottom w:val="none" w:sz="0" w:space="0" w:color="auto"/>
            <w:right w:val="none" w:sz="0" w:space="0" w:color="auto"/>
          </w:divBdr>
        </w:div>
        <w:div w:id="176702723">
          <w:marLeft w:val="0"/>
          <w:marRight w:val="0"/>
          <w:marTop w:val="0"/>
          <w:marBottom w:val="0"/>
          <w:divBdr>
            <w:top w:val="none" w:sz="0" w:space="0" w:color="auto"/>
            <w:left w:val="none" w:sz="0" w:space="0" w:color="auto"/>
            <w:bottom w:val="none" w:sz="0" w:space="0" w:color="auto"/>
            <w:right w:val="none" w:sz="0" w:space="0" w:color="auto"/>
          </w:divBdr>
        </w:div>
        <w:div w:id="384985040">
          <w:marLeft w:val="0"/>
          <w:marRight w:val="0"/>
          <w:marTop w:val="0"/>
          <w:marBottom w:val="0"/>
          <w:divBdr>
            <w:top w:val="none" w:sz="0" w:space="0" w:color="auto"/>
            <w:left w:val="none" w:sz="0" w:space="0" w:color="auto"/>
            <w:bottom w:val="none" w:sz="0" w:space="0" w:color="auto"/>
            <w:right w:val="none" w:sz="0" w:space="0" w:color="auto"/>
          </w:divBdr>
        </w:div>
        <w:div w:id="1001617341">
          <w:marLeft w:val="0"/>
          <w:marRight w:val="0"/>
          <w:marTop w:val="0"/>
          <w:marBottom w:val="0"/>
          <w:divBdr>
            <w:top w:val="none" w:sz="0" w:space="0" w:color="auto"/>
            <w:left w:val="none" w:sz="0" w:space="0" w:color="auto"/>
            <w:bottom w:val="none" w:sz="0" w:space="0" w:color="auto"/>
            <w:right w:val="none" w:sz="0" w:space="0" w:color="auto"/>
          </w:divBdr>
        </w:div>
        <w:div w:id="1097095470">
          <w:marLeft w:val="0"/>
          <w:marRight w:val="0"/>
          <w:marTop w:val="0"/>
          <w:marBottom w:val="0"/>
          <w:divBdr>
            <w:top w:val="none" w:sz="0" w:space="0" w:color="auto"/>
            <w:left w:val="none" w:sz="0" w:space="0" w:color="auto"/>
            <w:bottom w:val="none" w:sz="0" w:space="0" w:color="auto"/>
            <w:right w:val="none" w:sz="0" w:space="0" w:color="auto"/>
          </w:divBdr>
        </w:div>
        <w:div w:id="1820413972">
          <w:marLeft w:val="0"/>
          <w:marRight w:val="0"/>
          <w:marTop w:val="0"/>
          <w:marBottom w:val="0"/>
          <w:divBdr>
            <w:top w:val="none" w:sz="0" w:space="0" w:color="auto"/>
            <w:left w:val="none" w:sz="0" w:space="0" w:color="auto"/>
            <w:bottom w:val="none" w:sz="0" w:space="0" w:color="auto"/>
            <w:right w:val="none" w:sz="0" w:space="0" w:color="auto"/>
          </w:divBdr>
        </w:div>
        <w:div w:id="717170133">
          <w:marLeft w:val="0"/>
          <w:marRight w:val="0"/>
          <w:marTop w:val="0"/>
          <w:marBottom w:val="0"/>
          <w:divBdr>
            <w:top w:val="none" w:sz="0" w:space="0" w:color="auto"/>
            <w:left w:val="none" w:sz="0" w:space="0" w:color="auto"/>
            <w:bottom w:val="none" w:sz="0" w:space="0" w:color="auto"/>
            <w:right w:val="none" w:sz="0" w:space="0" w:color="auto"/>
          </w:divBdr>
        </w:div>
        <w:div w:id="2094357056">
          <w:marLeft w:val="0"/>
          <w:marRight w:val="0"/>
          <w:marTop w:val="0"/>
          <w:marBottom w:val="0"/>
          <w:divBdr>
            <w:top w:val="none" w:sz="0" w:space="0" w:color="auto"/>
            <w:left w:val="none" w:sz="0" w:space="0" w:color="auto"/>
            <w:bottom w:val="none" w:sz="0" w:space="0" w:color="auto"/>
            <w:right w:val="none" w:sz="0" w:space="0" w:color="auto"/>
          </w:divBdr>
        </w:div>
        <w:div w:id="1895119950">
          <w:marLeft w:val="0"/>
          <w:marRight w:val="0"/>
          <w:marTop w:val="0"/>
          <w:marBottom w:val="0"/>
          <w:divBdr>
            <w:top w:val="none" w:sz="0" w:space="0" w:color="auto"/>
            <w:left w:val="none" w:sz="0" w:space="0" w:color="auto"/>
            <w:bottom w:val="none" w:sz="0" w:space="0" w:color="auto"/>
            <w:right w:val="none" w:sz="0" w:space="0" w:color="auto"/>
          </w:divBdr>
        </w:div>
        <w:div w:id="81729519">
          <w:marLeft w:val="0"/>
          <w:marRight w:val="0"/>
          <w:marTop w:val="0"/>
          <w:marBottom w:val="0"/>
          <w:divBdr>
            <w:top w:val="none" w:sz="0" w:space="0" w:color="auto"/>
            <w:left w:val="none" w:sz="0" w:space="0" w:color="auto"/>
            <w:bottom w:val="none" w:sz="0" w:space="0" w:color="auto"/>
            <w:right w:val="none" w:sz="0" w:space="0" w:color="auto"/>
          </w:divBdr>
        </w:div>
        <w:div w:id="1180508687">
          <w:marLeft w:val="0"/>
          <w:marRight w:val="0"/>
          <w:marTop w:val="0"/>
          <w:marBottom w:val="0"/>
          <w:divBdr>
            <w:top w:val="none" w:sz="0" w:space="0" w:color="auto"/>
            <w:left w:val="none" w:sz="0" w:space="0" w:color="auto"/>
            <w:bottom w:val="none" w:sz="0" w:space="0" w:color="auto"/>
            <w:right w:val="none" w:sz="0" w:space="0" w:color="auto"/>
          </w:divBdr>
        </w:div>
        <w:div w:id="953902521">
          <w:marLeft w:val="0"/>
          <w:marRight w:val="0"/>
          <w:marTop w:val="0"/>
          <w:marBottom w:val="0"/>
          <w:divBdr>
            <w:top w:val="none" w:sz="0" w:space="0" w:color="auto"/>
            <w:left w:val="none" w:sz="0" w:space="0" w:color="auto"/>
            <w:bottom w:val="none" w:sz="0" w:space="0" w:color="auto"/>
            <w:right w:val="none" w:sz="0" w:space="0" w:color="auto"/>
          </w:divBdr>
        </w:div>
        <w:div w:id="498931774">
          <w:marLeft w:val="0"/>
          <w:marRight w:val="0"/>
          <w:marTop w:val="0"/>
          <w:marBottom w:val="0"/>
          <w:divBdr>
            <w:top w:val="none" w:sz="0" w:space="0" w:color="auto"/>
            <w:left w:val="none" w:sz="0" w:space="0" w:color="auto"/>
            <w:bottom w:val="none" w:sz="0" w:space="0" w:color="auto"/>
            <w:right w:val="none" w:sz="0" w:space="0" w:color="auto"/>
          </w:divBdr>
        </w:div>
        <w:div w:id="522941688">
          <w:marLeft w:val="0"/>
          <w:marRight w:val="0"/>
          <w:marTop w:val="0"/>
          <w:marBottom w:val="0"/>
          <w:divBdr>
            <w:top w:val="none" w:sz="0" w:space="0" w:color="auto"/>
            <w:left w:val="none" w:sz="0" w:space="0" w:color="auto"/>
            <w:bottom w:val="none" w:sz="0" w:space="0" w:color="auto"/>
            <w:right w:val="none" w:sz="0" w:space="0" w:color="auto"/>
          </w:divBdr>
        </w:div>
        <w:div w:id="1911190561">
          <w:marLeft w:val="0"/>
          <w:marRight w:val="0"/>
          <w:marTop w:val="0"/>
          <w:marBottom w:val="0"/>
          <w:divBdr>
            <w:top w:val="none" w:sz="0" w:space="0" w:color="auto"/>
            <w:left w:val="none" w:sz="0" w:space="0" w:color="auto"/>
            <w:bottom w:val="none" w:sz="0" w:space="0" w:color="auto"/>
            <w:right w:val="none" w:sz="0" w:space="0" w:color="auto"/>
          </w:divBdr>
        </w:div>
        <w:div w:id="1045375046">
          <w:marLeft w:val="0"/>
          <w:marRight w:val="0"/>
          <w:marTop w:val="0"/>
          <w:marBottom w:val="0"/>
          <w:divBdr>
            <w:top w:val="none" w:sz="0" w:space="0" w:color="auto"/>
            <w:left w:val="none" w:sz="0" w:space="0" w:color="auto"/>
            <w:bottom w:val="none" w:sz="0" w:space="0" w:color="auto"/>
            <w:right w:val="none" w:sz="0" w:space="0" w:color="auto"/>
          </w:divBdr>
        </w:div>
        <w:div w:id="206382523">
          <w:marLeft w:val="0"/>
          <w:marRight w:val="0"/>
          <w:marTop w:val="0"/>
          <w:marBottom w:val="0"/>
          <w:divBdr>
            <w:top w:val="none" w:sz="0" w:space="0" w:color="auto"/>
            <w:left w:val="none" w:sz="0" w:space="0" w:color="auto"/>
            <w:bottom w:val="none" w:sz="0" w:space="0" w:color="auto"/>
            <w:right w:val="none" w:sz="0" w:space="0" w:color="auto"/>
          </w:divBdr>
        </w:div>
        <w:div w:id="191186334">
          <w:marLeft w:val="0"/>
          <w:marRight w:val="0"/>
          <w:marTop w:val="0"/>
          <w:marBottom w:val="0"/>
          <w:divBdr>
            <w:top w:val="none" w:sz="0" w:space="0" w:color="auto"/>
            <w:left w:val="none" w:sz="0" w:space="0" w:color="auto"/>
            <w:bottom w:val="none" w:sz="0" w:space="0" w:color="auto"/>
            <w:right w:val="none" w:sz="0" w:space="0" w:color="auto"/>
          </w:divBdr>
        </w:div>
        <w:div w:id="1560286127">
          <w:marLeft w:val="0"/>
          <w:marRight w:val="0"/>
          <w:marTop w:val="0"/>
          <w:marBottom w:val="0"/>
          <w:divBdr>
            <w:top w:val="none" w:sz="0" w:space="0" w:color="auto"/>
            <w:left w:val="none" w:sz="0" w:space="0" w:color="auto"/>
            <w:bottom w:val="none" w:sz="0" w:space="0" w:color="auto"/>
            <w:right w:val="none" w:sz="0" w:space="0" w:color="auto"/>
          </w:divBdr>
        </w:div>
        <w:div w:id="623926665">
          <w:marLeft w:val="0"/>
          <w:marRight w:val="0"/>
          <w:marTop w:val="0"/>
          <w:marBottom w:val="0"/>
          <w:divBdr>
            <w:top w:val="none" w:sz="0" w:space="0" w:color="auto"/>
            <w:left w:val="none" w:sz="0" w:space="0" w:color="auto"/>
            <w:bottom w:val="none" w:sz="0" w:space="0" w:color="auto"/>
            <w:right w:val="none" w:sz="0" w:space="0" w:color="auto"/>
          </w:divBdr>
        </w:div>
        <w:div w:id="1752969118">
          <w:marLeft w:val="0"/>
          <w:marRight w:val="0"/>
          <w:marTop w:val="0"/>
          <w:marBottom w:val="0"/>
          <w:divBdr>
            <w:top w:val="none" w:sz="0" w:space="0" w:color="auto"/>
            <w:left w:val="none" w:sz="0" w:space="0" w:color="auto"/>
            <w:bottom w:val="none" w:sz="0" w:space="0" w:color="auto"/>
            <w:right w:val="none" w:sz="0" w:space="0" w:color="auto"/>
          </w:divBdr>
        </w:div>
        <w:div w:id="1206024879">
          <w:marLeft w:val="0"/>
          <w:marRight w:val="0"/>
          <w:marTop w:val="0"/>
          <w:marBottom w:val="0"/>
          <w:divBdr>
            <w:top w:val="none" w:sz="0" w:space="0" w:color="auto"/>
            <w:left w:val="none" w:sz="0" w:space="0" w:color="auto"/>
            <w:bottom w:val="none" w:sz="0" w:space="0" w:color="auto"/>
            <w:right w:val="none" w:sz="0" w:space="0" w:color="auto"/>
          </w:divBdr>
        </w:div>
        <w:div w:id="1159610835">
          <w:marLeft w:val="0"/>
          <w:marRight w:val="0"/>
          <w:marTop w:val="0"/>
          <w:marBottom w:val="0"/>
          <w:divBdr>
            <w:top w:val="none" w:sz="0" w:space="0" w:color="auto"/>
            <w:left w:val="none" w:sz="0" w:space="0" w:color="auto"/>
            <w:bottom w:val="none" w:sz="0" w:space="0" w:color="auto"/>
            <w:right w:val="none" w:sz="0" w:space="0" w:color="auto"/>
          </w:divBdr>
        </w:div>
        <w:div w:id="1672877441">
          <w:marLeft w:val="0"/>
          <w:marRight w:val="0"/>
          <w:marTop w:val="0"/>
          <w:marBottom w:val="0"/>
          <w:divBdr>
            <w:top w:val="none" w:sz="0" w:space="0" w:color="auto"/>
            <w:left w:val="none" w:sz="0" w:space="0" w:color="auto"/>
            <w:bottom w:val="none" w:sz="0" w:space="0" w:color="auto"/>
            <w:right w:val="none" w:sz="0" w:space="0" w:color="auto"/>
          </w:divBdr>
        </w:div>
        <w:div w:id="228350083">
          <w:marLeft w:val="0"/>
          <w:marRight w:val="0"/>
          <w:marTop w:val="0"/>
          <w:marBottom w:val="0"/>
          <w:divBdr>
            <w:top w:val="none" w:sz="0" w:space="0" w:color="auto"/>
            <w:left w:val="none" w:sz="0" w:space="0" w:color="auto"/>
            <w:bottom w:val="none" w:sz="0" w:space="0" w:color="auto"/>
            <w:right w:val="none" w:sz="0" w:space="0" w:color="auto"/>
          </w:divBdr>
        </w:div>
        <w:div w:id="1249735764">
          <w:marLeft w:val="0"/>
          <w:marRight w:val="0"/>
          <w:marTop w:val="0"/>
          <w:marBottom w:val="0"/>
          <w:divBdr>
            <w:top w:val="none" w:sz="0" w:space="0" w:color="auto"/>
            <w:left w:val="none" w:sz="0" w:space="0" w:color="auto"/>
            <w:bottom w:val="none" w:sz="0" w:space="0" w:color="auto"/>
            <w:right w:val="none" w:sz="0" w:space="0" w:color="auto"/>
          </w:divBdr>
        </w:div>
        <w:div w:id="1791123863">
          <w:marLeft w:val="0"/>
          <w:marRight w:val="0"/>
          <w:marTop w:val="0"/>
          <w:marBottom w:val="0"/>
          <w:divBdr>
            <w:top w:val="none" w:sz="0" w:space="0" w:color="auto"/>
            <w:left w:val="none" w:sz="0" w:space="0" w:color="auto"/>
            <w:bottom w:val="none" w:sz="0" w:space="0" w:color="auto"/>
            <w:right w:val="none" w:sz="0" w:space="0" w:color="auto"/>
          </w:divBdr>
        </w:div>
        <w:div w:id="338435725">
          <w:marLeft w:val="0"/>
          <w:marRight w:val="0"/>
          <w:marTop w:val="0"/>
          <w:marBottom w:val="0"/>
          <w:divBdr>
            <w:top w:val="none" w:sz="0" w:space="0" w:color="auto"/>
            <w:left w:val="none" w:sz="0" w:space="0" w:color="auto"/>
            <w:bottom w:val="none" w:sz="0" w:space="0" w:color="auto"/>
            <w:right w:val="none" w:sz="0" w:space="0" w:color="auto"/>
          </w:divBdr>
        </w:div>
        <w:div w:id="583152768">
          <w:marLeft w:val="0"/>
          <w:marRight w:val="0"/>
          <w:marTop w:val="0"/>
          <w:marBottom w:val="0"/>
          <w:divBdr>
            <w:top w:val="none" w:sz="0" w:space="0" w:color="auto"/>
            <w:left w:val="none" w:sz="0" w:space="0" w:color="auto"/>
            <w:bottom w:val="none" w:sz="0" w:space="0" w:color="auto"/>
            <w:right w:val="none" w:sz="0" w:space="0" w:color="auto"/>
          </w:divBdr>
        </w:div>
        <w:div w:id="726298826">
          <w:marLeft w:val="0"/>
          <w:marRight w:val="0"/>
          <w:marTop w:val="0"/>
          <w:marBottom w:val="0"/>
          <w:divBdr>
            <w:top w:val="none" w:sz="0" w:space="0" w:color="auto"/>
            <w:left w:val="none" w:sz="0" w:space="0" w:color="auto"/>
            <w:bottom w:val="none" w:sz="0" w:space="0" w:color="auto"/>
            <w:right w:val="none" w:sz="0" w:space="0" w:color="auto"/>
          </w:divBdr>
        </w:div>
        <w:div w:id="697782385">
          <w:marLeft w:val="0"/>
          <w:marRight w:val="0"/>
          <w:marTop w:val="0"/>
          <w:marBottom w:val="0"/>
          <w:divBdr>
            <w:top w:val="none" w:sz="0" w:space="0" w:color="auto"/>
            <w:left w:val="none" w:sz="0" w:space="0" w:color="auto"/>
            <w:bottom w:val="none" w:sz="0" w:space="0" w:color="auto"/>
            <w:right w:val="none" w:sz="0" w:space="0" w:color="auto"/>
          </w:divBdr>
        </w:div>
        <w:div w:id="398871406">
          <w:marLeft w:val="0"/>
          <w:marRight w:val="0"/>
          <w:marTop w:val="0"/>
          <w:marBottom w:val="0"/>
          <w:divBdr>
            <w:top w:val="none" w:sz="0" w:space="0" w:color="auto"/>
            <w:left w:val="none" w:sz="0" w:space="0" w:color="auto"/>
            <w:bottom w:val="none" w:sz="0" w:space="0" w:color="auto"/>
            <w:right w:val="none" w:sz="0" w:space="0" w:color="auto"/>
          </w:divBdr>
        </w:div>
        <w:div w:id="1485655961">
          <w:marLeft w:val="0"/>
          <w:marRight w:val="0"/>
          <w:marTop w:val="0"/>
          <w:marBottom w:val="0"/>
          <w:divBdr>
            <w:top w:val="none" w:sz="0" w:space="0" w:color="auto"/>
            <w:left w:val="none" w:sz="0" w:space="0" w:color="auto"/>
            <w:bottom w:val="none" w:sz="0" w:space="0" w:color="auto"/>
            <w:right w:val="none" w:sz="0" w:space="0" w:color="auto"/>
          </w:divBdr>
        </w:div>
        <w:div w:id="911354307">
          <w:marLeft w:val="0"/>
          <w:marRight w:val="0"/>
          <w:marTop w:val="0"/>
          <w:marBottom w:val="0"/>
          <w:divBdr>
            <w:top w:val="none" w:sz="0" w:space="0" w:color="auto"/>
            <w:left w:val="none" w:sz="0" w:space="0" w:color="auto"/>
            <w:bottom w:val="none" w:sz="0" w:space="0" w:color="auto"/>
            <w:right w:val="none" w:sz="0" w:space="0" w:color="auto"/>
          </w:divBdr>
        </w:div>
        <w:div w:id="529925622">
          <w:marLeft w:val="0"/>
          <w:marRight w:val="0"/>
          <w:marTop w:val="0"/>
          <w:marBottom w:val="0"/>
          <w:divBdr>
            <w:top w:val="none" w:sz="0" w:space="0" w:color="auto"/>
            <w:left w:val="none" w:sz="0" w:space="0" w:color="auto"/>
            <w:bottom w:val="none" w:sz="0" w:space="0" w:color="auto"/>
            <w:right w:val="none" w:sz="0" w:space="0" w:color="auto"/>
          </w:divBdr>
        </w:div>
        <w:div w:id="872763209">
          <w:marLeft w:val="0"/>
          <w:marRight w:val="0"/>
          <w:marTop w:val="0"/>
          <w:marBottom w:val="0"/>
          <w:divBdr>
            <w:top w:val="none" w:sz="0" w:space="0" w:color="auto"/>
            <w:left w:val="none" w:sz="0" w:space="0" w:color="auto"/>
            <w:bottom w:val="none" w:sz="0" w:space="0" w:color="auto"/>
            <w:right w:val="none" w:sz="0" w:space="0" w:color="auto"/>
          </w:divBdr>
        </w:div>
        <w:div w:id="1372459670">
          <w:marLeft w:val="0"/>
          <w:marRight w:val="0"/>
          <w:marTop w:val="0"/>
          <w:marBottom w:val="0"/>
          <w:divBdr>
            <w:top w:val="none" w:sz="0" w:space="0" w:color="auto"/>
            <w:left w:val="none" w:sz="0" w:space="0" w:color="auto"/>
            <w:bottom w:val="none" w:sz="0" w:space="0" w:color="auto"/>
            <w:right w:val="none" w:sz="0" w:space="0" w:color="auto"/>
          </w:divBdr>
        </w:div>
        <w:div w:id="27804101">
          <w:marLeft w:val="0"/>
          <w:marRight w:val="0"/>
          <w:marTop w:val="0"/>
          <w:marBottom w:val="0"/>
          <w:divBdr>
            <w:top w:val="none" w:sz="0" w:space="0" w:color="auto"/>
            <w:left w:val="none" w:sz="0" w:space="0" w:color="auto"/>
            <w:bottom w:val="none" w:sz="0" w:space="0" w:color="auto"/>
            <w:right w:val="none" w:sz="0" w:space="0" w:color="auto"/>
          </w:divBdr>
        </w:div>
        <w:div w:id="1057780782">
          <w:marLeft w:val="0"/>
          <w:marRight w:val="0"/>
          <w:marTop w:val="0"/>
          <w:marBottom w:val="0"/>
          <w:divBdr>
            <w:top w:val="none" w:sz="0" w:space="0" w:color="auto"/>
            <w:left w:val="none" w:sz="0" w:space="0" w:color="auto"/>
            <w:bottom w:val="none" w:sz="0" w:space="0" w:color="auto"/>
            <w:right w:val="none" w:sz="0" w:space="0" w:color="auto"/>
          </w:divBdr>
        </w:div>
        <w:div w:id="560792010">
          <w:marLeft w:val="0"/>
          <w:marRight w:val="0"/>
          <w:marTop w:val="0"/>
          <w:marBottom w:val="0"/>
          <w:divBdr>
            <w:top w:val="none" w:sz="0" w:space="0" w:color="auto"/>
            <w:left w:val="none" w:sz="0" w:space="0" w:color="auto"/>
            <w:bottom w:val="none" w:sz="0" w:space="0" w:color="auto"/>
            <w:right w:val="none" w:sz="0" w:space="0" w:color="auto"/>
          </w:divBdr>
        </w:div>
        <w:div w:id="935557752">
          <w:marLeft w:val="0"/>
          <w:marRight w:val="0"/>
          <w:marTop w:val="0"/>
          <w:marBottom w:val="0"/>
          <w:divBdr>
            <w:top w:val="none" w:sz="0" w:space="0" w:color="auto"/>
            <w:left w:val="none" w:sz="0" w:space="0" w:color="auto"/>
            <w:bottom w:val="none" w:sz="0" w:space="0" w:color="auto"/>
            <w:right w:val="none" w:sz="0" w:space="0" w:color="auto"/>
          </w:divBdr>
        </w:div>
        <w:div w:id="201787807">
          <w:marLeft w:val="0"/>
          <w:marRight w:val="0"/>
          <w:marTop w:val="0"/>
          <w:marBottom w:val="0"/>
          <w:divBdr>
            <w:top w:val="none" w:sz="0" w:space="0" w:color="auto"/>
            <w:left w:val="none" w:sz="0" w:space="0" w:color="auto"/>
            <w:bottom w:val="none" w:sz="0" w:space="0" w:color="auto"/>
            <w:right w:val="none" w:sz="0" w:space="0" w:color="auto"/>
          </w:divBdr>
        </w:div>
        <w:div w:id="725374483">
          <w:marLeft w:val="0"/>
          <w:marRight w:val="0"/>
          <w:marTop w:val="0"/>
          <w:marBottom w:val="0"/>
          <w:divBdr>
            <w:top w:val="none" w:sz="0" w:space="0" w:color="auto"/>
            <w:left w:val="none" w:sz="0" w:space="0" w:color="auto"/>
            <w:bottom w:val="none" w:sz="0" w:space="0" w:color="auto"/>
            <w:right w:val="none" w:sz="0" w:space="0" w:color="auto"/>
          </w:divBdr>
        </w:div>
        <w:div w:id="943347480">
          <w:marLeft w:val="0"/>
          <w:marRight w:val="0"/>
          <w:marTop w:val="0"/>
          <w:marBottom w:val="0"/>
          <w:divBdr>
            <w:top w:val="none" w:sz="0" w:space="0" w:color="auto"/>
            <w:left w:val="none" w:sz="0" w:space="0" w:color="auto"/>
            <w:bottom w:val="none" w:sz="0" w:space="0" w:color="auto"/>
            <w:right w:val="none" w:sz="0" w:space="0" w:color="auto"/>
          </w:divBdr>
        </w:div>
        <w:div w:id="1158111339">
          <w:marLeft w:val="0"/>
          <w:marRight w:val="0"/>
          <w:marTop w:val="0"/>
          <w:marBottom w:val="0"/>
          <w:divBdr>
            <w:top w:val="none" w:sz="0" w:space="0" w:color="auto"/>
            <w:left w:val="none" w:sz="0" w:space="0" w:color="auto"/>
            <w:bottom w:val="none" w:sz="0" w:space="0" w:color="auto"/>
            <w:right w:val="none" w:sz="0" w:space="0" w:color="auto"/>
          </w:divBdr>
        </w:div>
        <w:div w:id="438062171">
          <w:marLeft w:val="0"/>
          <w:marRight w:val="0"/>
          <w:marTop w:val="0"/>
          <w:marBottom w:val="0"/>
          <w:divBdr>
            <w:top w:val="none" w:sz="0" w:space="0" w:color="auto"/>
            <w:left w:val="none" w:sz="0" w:space="0" w:color="auto"/>
            <w:bottom w:val="none" w:sz="0" w:space="0" w:color="auto"/>
            <w:right w:val="none" w:sz="0" w:space="0" w:color="auto"/>
          </w:divBdr>
        </w:div>
        <w:div w:id="1668481892">
          <w:marLeft w:val="0"/>
          <w:marRight w:val="0"/>
          <w:marTop w:val="0"/>
          <w:marBottom w:val="0"/>
          <w:divBdr>
            <w:top w:val="none" w:sz="0" w:space="0" w:color="auto"/>
            <w:left w:val="none" w:sz="0" w:space="0" w:color="auto"/>
            <w:bottom w:val="none" w:sz="0" w:space="0" w:color="auto"/>
            <w:right w:val="none" w:sz="0" w:space="0" w:color="auto"/>
          </w:divBdr>
        </w:div>
        <w:div w:id="760874567">
          <w:marLeft w:val="0"/>
          <w:marRight w:val="0"/>
          <w:marTop w:val="0"/>
          <w:marBottom w:val="0"/>
          <w:divBdr>
            <w:top w:val="none" w:sz="0" w:space="0" w:color="auto"/>
            <w:left w:val="none" w:sz="0" w:space="0" w:color="auto"/>
            <w:bottom w:val="none" w:sz="0" w:space="0" w:color="auto"/>
            <w:right w:val="none" w:sz="0" w:space="0" w:color="auto"/>
          </w:divBdr>
        </w:div>
        <w:div w:id="1797678465">
          <w:marLeft w:val="0"/>
          <w:marRight w:val="0"/>
          <w:marTop w:val="0"/>
          <w:marBottom w:val="0"/>
          <w:divBdr>
            <w:top w:val="none" w:sz="0" w:space="0" w:color="auto"/>
            <w:left w:val="none" w:sz="0" w:space="0" w:color="auto"/>
            <w:bottom w:val="none" w:sz="0" w:space="0" w:color="auto"/>
            <w:right w:val="none" w:sz="0" w:space="0" w:color="auto"/>
          </w:divBdr>
        </w:div>
        <w:div w:id="697706978">
          <w:marLeft w:val="0"/>
          <w:marRight w:val="0"/>
          <w:marTop w:val="0"/>
          <w:marBottom w:val="0"/>
          <w:divBdr>
            <w:top w:val="none" w:sz="0" w:space="0" w:color="auto"/>
            <w:left w:val="none" w:sz="0" w:space="0" w:color="auto"/>
            <w:bottom w:val="none" w:sz="0" w:space="0" w:color="auto"/>
            <w:right w:val="none" w:sz="0" w:space="0" w:color="auto"/>
          </w:divBdr>
        </w:div>
        <w:div w:id="1272862518">
          <w:marLeft w:val="0"/>
          <w:marRight w:val="0"/>
          <w:marTop w:val="0"/>
          <w:marBottom w:val="0"/>
          <w:divBdr>
            <w:top w:val="none" w:sz="0" w:space="0" w:color="auto"/>
            <w:left w:val="none" w:sz="0" w:space="0" w:color="auto"/>
            <w:bottom w:val="none" w:sz="0" w:space="0" w:color="auto"/>
            <w:right w:val="none" w:sz="0" w:space="0" w:color="auto"/>
          </w:divBdr>
        </w:div>
        <w:div w:id="1273704892">
          <w:marLeft w:val="0"/>
          <w:marRight w:val="0"/>
          <w:marTop w:val="0"/>
          <w:marBottom w:val="0"/>
          <w:divBdr>
            <w:top w:val="none" w:sz="0" w:space="0" w:color="auto"/>
            <w:left w:val="none" w:sz="0" w:space="0" w:color="auto"/>
            <w:bottom w:val="none" w:sz="0" w:space="0" w:color="auto"/>
            <w:right w:val="none" w:sz="0" w:space="0" w:color="auto"/>
          </w:divBdr>
        </w:div>
        <w:div w:id="119347077">
          <w:marLeft w:val="0"/>
          <w:marRight w:val="0"/>
          <w:marTop w:val="0"/>
          <w:marBottom w:val="0"/>
          <w:divBdr>
            <w:top w:val="none" w:sz="0" w:space="0" w:color="auto"/>
            <w:left w:val="none" w:sz="0" w:space="0" w:color="auto"/>
            <w:bottom w:val="none" w:sz="0" w:space="0" w:color="auto"/>
            <w:right w:val="none" w:sz="0" w:space="0" w:color="auto"/>
          </w:divBdr>
        </w:div>
        <w:div w:id="1788885704">
          <w:marLeft w:val="0"/>
          <w:marRight w:val="0"/>
          <w:marTop w:val="0"/>
          <w:marBottom w:val="0"/>
          <w:divBdr>
            <w:top w:val="none" w:sz="0" w:space="0" w:color="auto"/>
            <w:left w:val="none" w:sz="0" w:space="0" w:color="auto"/>
            <w:bottom w:val="none" w:sz="0" w:space="0" w:color="auto"/>
            <w:right w:val="none" w:sz="0" w:space="0" w:color="auto"/>
          </w:divBdr>
        </w:div>
        <w:div w:id="450132371">
          <w:marLeft w:val="0"/>
          <w:marRight w:val="0"/>
          <w:marTop w:val="0"/>
          <w:marBottom w:val="0"/>
          <w:divBdr>
            <w:top w:val="none" w:sz="0" w:space="0" w:color="auto"/>
            <w:left w:val="none" w:sz="0" w:space="0" w:color="auto"/>
            <w:bottom w:val="none" w:sz="0" w:space="0" w:color="auto"/>
            <w:right w:val="none" w:sz="0" w:space="0" w:color="auto"/>
          </w:divBdr>
        </w:div>
        <w:div w:id="542982818">
          <w:marLeft w:val="0"/>
          <w:marRight w:val="0"/>
          <w:marTop w:val="0"/>
          <w:marBottom w:val="0"/>
          <w:divBdr>
            <w:top w:val="none" w:sz="0" w:space="0" w:color="auto"/>
            <w:left w:val="none" w:sz="0" w:space="0" w:color="auto"/>
            <w:bottom w:val="none" w:sz="0" w:space="0" w:color="auto"/>
            <w:right w:val="none" w:sz="0" w:space="0" w:color="auto"/>
          </w:divBdr>
        </w:div>
        <w:div w:id="1411344571">
          <w:marLeft w:val="0"/>
          <w:marRight w:val="0"/>
          <w:marTop w:val="0"/>
          <w:marBottom w:val="0"/>
          <w:divBdr>
            <w:top w:val="none" w:sz="0" w:space="0" w:color="auto"/>
            <w:left w:val="none" w:sz="0" w:space="0" w:color="auto"/>
            <w:bottom w:val="none" w:sz="0" w:space="0" w:color="auto"/>
            <w:right w:val="none" w:sz="0" w:space="0" w:color="auto"/>
          </w:divBdr>
        </w:div>
        <w:div w:id="2103647432">
          <w:marLeft w:val="0"/>
          <w:marRight w:val="0"/>
          <w:marTop w:val="0"/>
          <w:marBottom w:val="0"/>
          <w:divBdr>
            <w:top w:val="none" w:sz="0" w:space="0" w:color="auto"/>
            <w:left w:val="none" w:sz="0" w:space="0" w:color="auto"/>
            <w:bottom w:val="none" w:sz="0" w:space="0" w:color="auto"/>
            <w:right w:val="none" w:sz="0" w:space="0" w:color="auto"/>
          </w:divBdr>
        </w:div>
        <w:div w:id="979001125">
          <w:marLeft w:val="0"/>
          <w:marRight w:val="0"/>
          <w:marTop w:val="0"/>
          <w:marBottom w:val="0"/>
          <w:divBdr>
            <w:top w:val="none" w:sz="0" w:space="0" w:color="auto"/>
            <w:left w:val="none" w:sz="0" w:space="0" w:color="auto"/>
            <w:bottom w:val="none" w:sz="0" w:space="0" w:color="auto"/>
            <w:right w:val="none" w:sz="0" w:space="0" w:color="auto"/>
          </w:divBdr>
        </w:div>
        <w:div w:id="889151598">
          <w:marLeft w:val="0"/>
          <w:marRight w:val="0"/>
          <w:marTop w:val="0"/>
          <w:marBottom w:val="0"/>
          <w:divBdr>
            <w:top w:val="none" w:sz="0" w:space="0" w:color="auto"/>
            <w:left w:val="none" w:sz="0" w:space="0" w:color="auto"/>
            <w:bottom w:val="none" w:sz="0" w:space="0" w:color="auto"/>
            <w:right w:val="none" w:sz="0" w:space="0" w:color="auto"/>
          </w:divBdr>
        </w:div>
        <w:div w:id="2082635605">
          <w:marLeft w:val="0"/>
          <w:marRight w:val="0"/>
          <w:marTop w:val="0"/>
          <w:marBottom w:val="0"/>
          <w:divBdr>
            <w:top w:val="none" w:sz="0" w:space="0" w:color="auto"/>
            <w:left w:val="none" w:sz="0" w:space="0" w:color="auto"/>
            <w:bottom w:val="none" w:sz="0" w:space="0" w:color="auto"/>
            <w:right w:val="none" w:sz="0" w:space="0" w:color="auto"/>
          </w:divBdr>
        </w:div>
        <w:div w:id="47996886">
          <w:marLeft w:val="0"/>
          <w:marRight w:val="0"/>
          <w:marTop w:val="0"/>
          <w:marBottom w:val="0"/>
          <w:divBdr>
            <w:top w:val="none" w:sz="0" w:space="0" w:color="auto"/>
            <w:left w:val="none" w:sz="0" w:space="0" w:color="auto"/>
            <w:bottom w:val="none" w:sz="0" w:space="0" w:color="auto"/>
            <w:right w:val="none" w:sz="0" w:space="0" w:color="auto"/>
          </w:divBdr>
        </w:div>
        <w:div w:id="797920655">
          <w:marLeft w:val="0"/>
          <w:marRight w:val="0"/>
          <w:marTop w:val="0"/>
          <w:marBottom w:val="0"/>
          <w:divBdr>
            <w:top w:val="none" w:sz="0" w:space="0" w:color="auto"/>
            <w:left w:val="none" w:sz="0" w:space="0" w:color="auto"/>
            <w:bottom w:val="none" w:sz="0" w:space="0" w:color="auto"/>
            <w:right w:val="none" w:sz="0" w:space="0" w:color="auto"/>
          </w:divBdr>
        </w:div>
        <w:div w:id="135072117">
          <w:marLeft w:val="0"/>
          <w:marRight w:val="0"/>
          <w:marTop w:val="0"/>
          <w:marBottom w:val="0"/>
          <w:divBdr>
            <w:top w:val="none" w:sz="0" w:space="0" w:color="auto"/>
            <w:left w:val="none" w:sz="0" w:space="0" w:color="auto"/>
            <w:bottom w:val="none" w:sz="0" w:space="0" w:color="auto"/>
            <w:right w:val="none" w:sz="0" w:space="0" w:color="auto"/>
          </w:divBdr>
        </w:div>
        <w:div w:id="1213887822">
          <w:marLeft w:val="0"/>
          <w:marRight w:val="0"/>
          <w:marTop w:val="0"/>
          <w:marBottom w:val="0"/>
          <w:divBdr>
            <w:top w:val="none" w:sz="0" w:space="0" w:color="auto"/>
            <w:left w:val="none" w:sz="0" w:space="0" w:color="auto"/>
            <w:bottom w:val="none" w:sz="0" w:space="0" w:color="auto"/>
            <w:right w:val="none" w:sz="0" w:space="0" w:color="auto"/>
          </w:divBdr>
        </w:div>
        <w:div w:id="1319261503">
          <w:marLeft w:val="0"/>
          <w:marRight w:val="0"/>
          <w:marTop w:val="0"/>
          <w:marBottom w:val="0"/>
          <w:divBdr>
            <w:top w:val="none" w:sz="0" w:space="0" w:color="auto"/>
            <w:left w:val="none" w:sz="0" w:space="0" w:color="auto"/>
            <w:bottom w:val="none" w:sz="0" w:space="0" w:color="auto"/>
            <w:right w:val="none" w:sz="0" w:space="0" w:color="auto"/>
          </w:divBdr>
        </w:div>
        <w:div w:id="2050062397">
          <w:marLeft w:val="0"/>
          <w:marRight w:val="0"/>
          <w:marTop w:val="0"/>
          <w:marBottom w:val="0"/>
          <w:divBdr>
            <w:top w:val="none" w:sz="0" w:space="0" w:color="auto"/>
            <w:left w:val="none" w:sz="0" w:space="0" w:color="auto"/>
            <w:bottom w:val="none" w:sz="0" w:space="0" w:color="auto"/>
            <w:right w:val="none" w:sz="0" w:space="0" w:color="auto"/>
          </w:divBdr>
        </w:div>
        <w:div w:id="1864518696">
          <w:marLeft w:val="0"/>
          <w:marRight w:val="0"/>
          <w:marTop w:val="0"/>
          <w:marBottom w:val="0"/>
          <w:divBdr>
            <w:top w:val="none" w:sz="0" w:space="0" w:color="auto"/>
            <w:left w:val="none" w:sz="0" w:space="0" w:color="auto"/>
            <w:bottom w:val="none" w:sz="0" w:space="0" w:color="auto"/>
            <w:right w:val="none" w:sz="0" w:space="0" w:color="auto"/>
          </w:divBdr>
        </w:div>
        <w:div w:id="724911966">
          <w:marLeft w:val="0"/>
          <w:marRight w:val="0"/>
          <w:marTop w:val="0"/>
          <w:marBottom w:val="0"/>
          <w:divBdr>
            <w:top w:val="none" w:sz="0" w:space="0" w:color="auto"/>
            <w:left w:val="none" w:sz="0" w:space="0" w:color="auto"/>
            <w:bottom w:val="none" w:sz="0" w:space="0" w:color="auto"/>
            <w:right w:val="none" w:sz="0" w:space="0" w:color="auto"/>
          </w:divBdr>
        </w:div>
        <w:div w:id="1983191196">
          <w:marLeft w:val="0"/>
          <w:marRight w:val="0"/>
          <w:marTop w:val="0"/>
          <w:marBottom w:val="0"/>
          <w:divBdr>
            <w:top w:val="none" w:sz="0" w:space="0" w:color="auto"/>
            <w:left w:val="none" w:sz="0" w:space="0" w:color="auto"/>
            <w:bottom w:val="none" w:sz="0" w:space="0" w:color="auto"/>
            <w:right w:val="none" w:sz="0" w:space="0" w:color="auto"/>
          </w:divBdr>
        </w:div>
        <w:div w:id="357048188">
          <w:marLeft w:val="0"/>
          <w:marRight w:val="0"/>
          <w:marTop w:val="0"/>
          <w:marBottom w:val="0"/>
          <w:divBdr>
            <w:top w:val="none" w:sz="0" w:space="0" w:color="auto"/>
            <w:left w:val="none" w:sz="0" w:space="0" w:color="auto"/>
            <w:bottom w:val="none" w:sz="0" w:space="0" w:color="auto"/>
            <w:right w:val="none" w:sz="0" w:space="0" w:color="auto"/>
          </w:divBdr>
        </w:div>
        <w:div w:id="1871216316">
          <w:marLeft w:val="0"/>
          <w:marRight w:val="0"/>
          <w:marTop w:val="0"/>
          <w:marBottom w:val="0"/>
          <w:divBdr>
            <w:top w:val="none" w:sz="0" w:space="0" w:color="auto"/>
            <w:left w:val="none" w:sz="0" w:space="0" w:color="auto"/>
            <w:bottom w:val="none" w:sz="0" w:space="0" w:color="auto"/>
            <w:right w:val="none" w:sz="0" w:space="0" w:color="auto"/>
          </w:divBdr>
        </w:div>
        <w:div w:id="751314640">
          <w:marLeft w:val="0"/>
          <w:marRight w:val="0"/>
          <w:marTop w:val="0"/>
          <w:marBottom w:val="0"/>
          <w:divBdr>
            <w:top w:val="none" w:sz="0" w:space="0" w:color="auto"/>
            <w:left w:val="none" w:sz="0" w:space="0" w:color="auto"/>
            <w:bottom w:val="none" w:sz="0" w:space="0" w:color="auto"/>
            <w:right w:val="none" w:sz="0" w:space="0" w:color="auto"/>
          </w:divBdr>
        </w:div>
        <w:div w:id="178084147">
          <w:marLeft w:val="0"/>
          <w:marRight w:val="0"/>
          <w:marTop w:val="0"/>
          <w:marBottom w:val="0"/>
          <w:divBdr>
            <w:top w:val="none" w:sz="0" w:space="0" w:color="auto"/>
            <w:left w:val="none" w:sz="0" w:space="0" w:color="auto"/>
            <w:bottom w:val="none" w:sz="0" w:space="0" w:color="auto"/>
            <w:right w:val="none" w:sz="0" w:space="0" w:color="auto"/>
          </w:divBdr>
        </w:div>
        <w:div w:id="722294491">
          <w:marLeft w:val="0"/>
          <w:marRight w:val="0"/>
          <w:marTop w:val="0"/>
          <w:marBottom w:val="0"/>
          <w:divBdr>
            <w:top w:val="none" w:sz="0" w:space="0" w:color="auto"/>
            <w:left w:val="none" w:sz="0" w:space="0" w:color="auto"/>
            <w:bottom w:val="none" w:sz="0" w:space="0" w:color="auto"/>
            <w:right w:val="none" w:sz="0" w:space="0" w:color="auto"/>
          </w:divBdr>
        </w:div>
        <w:div w:id="839321239">
          <w:marLeft w:val="0"/>
          <w:marRight w:val="0"/>
          <w:marTop w:val="0"/>
          <w:marBottom w:val="0"/>
          <w:divBdr>
            <w:top w:val="none" w:sz="0" w:space="0" w:color="auto"/>
            <w:left w:val="none" w:sz="0" w:space="0" w:color="auto"/>
            <w:bottom w:val="none" w:sz="0" w:space="0" w:color="auto"/>
            <w:right w:val="none" w:sz="0" w:space="0" w:color="auto"/>
          </w:divBdr>
        </w:div>
        <w:div w:id="1415394645">
          <w:marLeft w:val="0"/>
          <w:marRight w:val="0"/>
          <w:marTop w:val="0"/>
          <w:marBottom w:val="0"/>
          <w:divBdr>
            <w:top w:val="none" w:sz="0" w:space="0" w:color="auto"/>
            <w:left w:val="none" w:sz="0" w:space="0" w:color="auto"/>
            <w:bottom w:val="none" w:sz="0" w:space="0" w:color="auto"/>
            <w:right w:val="none" w:sz="0" w:space="0" w:color="auto"/>
          </w:divBdr>
        </w:div>
        <w:div w:id="656347962">
          <w:marLeft w:val="0"/>
          <w:marRight w:val="0"/>
          <w:marTop w:val="0"/>
          <w:marBottom w:val="0"/>
          <w:divBdr>
            <w:top w:val="none" w:sz="0" w:space="0" w:color="auto"/>
            <w:left w:val="none" w:sz="0" w:space="0" w:color="auto"/>
            <w:bottom w:val="none" w:sz="0" w:space="0" w:color="auto"/>
            <w:right w:val="none" w:sz="0" w:space="0" w:color="auto"/>
          </w:divBdr>
        </w:div>
        <w:div w:id="633172401">
          <w:marLeft w:val="0"/>
          <w:marRight w:val="0"/>
          <w:marTop w:val="0"/>
          <w:marBottom w:val="0"/>
          <w:divBdr>
            <w:top w:val="none" w:sz="0" w:space="0" w:color="auto"/>
            <w:left w:val="none" w:sz="0" w:space="0" w:color="auto"/>
            <w:bottom w:val="none" w:sz="0" w:space="0" w:color="auto"/>
            <w:right w:val="none" w:sz="0" w:space="0" w:color="auto"/>
          </w:divBdr>
        </w:div>
        <w:div w:id="870190385">
          <w:marLeft w:val="0"/>
          <w:marRight w:val="0"/>
          <w:marTop w:val="0"/>
          <w:marBottom w:val="0"/>
          <w:divBdr>
            <w:top w:val="none" w:sz="0" w:space="0" w:color="auto"/>
            <w:left w:val="none" w:sz="0" w:space="0" w:color="auto"/>
            <w:bottom w:val="none" w:sz="0" w:space="0" w:color="auto"/>
            <w:right w:val="none" w:sz="0" w:space="0" w:color="auto"/>
          </w:divBdr>
        </w:div>
        <w:div w:id="510946581">
          <w:marLeft w:val="0"/>
          <w:marRight w:val="0"/>
          <w:marTop w:val="0"/>
          <w:marBottom w:val="0"/>
          <w:divBdr>
            <w:top w:val="none" w:sz="0" w:space="0" w:color="auto"/>
            <w:left w:val="none" w:sz="0" w:space="0" w:color="auto"/>
            <w:bottom w:val="none" w:sz="0" w:space="0" w:color="auto"/>
            <w:right w:val="none" w:sz="0" w:space="0" w:color="auto"/>
          </w:divBdr>
        </w:div>
        <w:div w:id="1476723089">
          <w:marLeft w:val="0"/>
          <w:marRight w:val="0"/>
          <w:marTop w:val="0"/>
          <w:marBottom w:val="0"/>
          <w:divBdr>
            <w:top w:val="none" w:sz="0" w:space="0" w:color="auto"/>
            <w:left w:val="none" w:sz="0" w:space="0" w:color="auto"/>
            <w:bottom w:val="none" w:sz="0" w:space="0" w:color="auto"/>
            <w:right w:val="none" w:sz="0" w:space="0" w:color="auto"/>
          </w:divBdr>
        </w:div>
        <w:div w:id="487329701">
          <w:marLeft w:val="0"/>
          <w:marRight w:val="0"/>
          <w:marTop w:val="0"/>
          <w:marBottom w:val="0"/>
          <w:divBdr>
            <w:top w:val="none" w:sz="0" w:space="0" w:color="auto"/>
            <w:left w:val="none" w:sz="0" w:space="0" w:color="auto"/>
            <w:bottom w:val="none" w:sz="0" w:space="0" w:color="auto"/>
            <w:right w:val="none" w:sz="0" w:space="0" w:color="auto"/>
          </w:divBdr>
        </w:div>
        <w:div w:id="954672443">
          <w:marLeft w:val="0"/>
          <w:marRight w:val="0"/>
          <w:marTop w:val="0"/>
          <w:marBottom w:val="0"/>
          <w:divBdr>
            <w:top w:val="none" w:sz="0" w:space="0" w:color="auto"/>
            <w:left w:val="none" w:sz="0" w:space="0" w:color="auto"/>
            <w:bottom w:val="none" w:sz="0" w:space="0" w:color="auto"/>
            <w:right w:val="none" w:sz="0" w:space="0" w:color="auto"/>
          </w:divBdr>
        </w:div>
        <w:div w:id="1288508489">
          <w:marLeft w:val="0"/>
          <w:marRight w:val="0"/>
          <w:marTop w:val="0"/>
          <w:marBottom w:val="0"/>
          <w:divBdr>
            <w:top w:val="none" w:sz="0" w:space="0" w:color="auto"/>
            <w:left w:val="none" w:sz="0" w:space="0" w:color="auto"/>
            <w:bottom w:val="none" w:sz="0" w:space="0" w:color="auto"/>
            <w:right w:val="none" w:sz="0" w:space="0" w:color="auto"/>
          </w:divBdr>
        </w:div>
        <w:div w:id="1134637450">
          <w:marLeft w:val="0"/>
          <w:marRight w:val="0"/>
          <w:marTop w:val="0"/>
          <w:marBottom w:val="0"/>
          <w:divBdr>
            <w:top w:val="none" w:sz="0" w:space="0" w:color="auto"/>
            <w:left w:val="none" w:sz="0" w:space="0" w:color="auto"/>
            <w:bottom w:val="none" w:sz="0" w:space="0" w:color="auto"/>
            <w:right w:val="none" w:sz="0" w:space="0" w:color="auto"/>
          </w:divBdr>
        </w:div>
        <w:div w:id="507865934">
          <w:marLeft w:val="0"/>
          <w:marRight w:val="0"/>
          <w:marTop w:val="0"/>
          <w:marBottom w:val="0"/>
          <w:divBdr>
            <w:top w:val="none" w:sz="0" w:space="0" w:color="auto"/>
            <w:left w:val="none" w:sz="0" w:space="0" w:color="auto"/>
            <w:bottom w:val="none" w:sz="0" w:space="0" w:color="auto"/>
            <w:right w:val="none" w:sz="0" w:space="0" w:color="auto"/>
          </w:divBdr>
        </w:div>
        <w:div w:id="913390227">
          <w:marLeft w:val="0"/>
          <w:marRight w:val="0"/>
          <w:marTop w:val="0"/>
          <w:marBottom w:val="0"/>
          <w:divBdr>
            <w:top w:val="none" w:sz="0" w:space="0" w:color="auto"/>
            <w:left w:val="none" w:sz="0" w:space="0" w:color="auto"/>
            <w:bottom w:val="none" w:sz="0" w:space="0" w:color="auto"/>
            <w:right w:val="none" w:sz="0" w:space="0" w:color="auto"/>
          </w:divBdr>
        </w:div>
        <w:div w:id="548761274">
          <w:marLeft w:val="0"/>
          <w:marRight w:val="0"/>
          <w:marTop w:val="0"/>
          <w:marBottom w:val="0"/>
          <w:divBdr>
            <w:top w:val="none" w:sz="0" w:space="0" w:color="auto"/>
            <w:left w:val="none" w:sz="0" w:space="0" w:color="auto"/>
            <w:bottom w:val="none" w:sz="0" w:space="0" w:color="auto"/>
            <w:right w:val="none" w:sz="0" w:space="0" w:color="auto"/>
          </w:divBdr>
        </w:div>
        <w:div w:id="62409652">
          <w:marLeft w:val="0"/>
          <w:marRight w:val="0"/>
          <w:marTop w:val="0"/>
          <w:marBottom w:val="0"/>
          <w:divBdr>
            <w:top w:val="none" w:sz="0" w:space="0" w:color="auto"/>
            <w:left w:val="none" w:sz="0" w:space="0" w:color="auto"/>
            <w:bottom w:val="none" w:sz="0" w:space="0" w:color="auto"/>
            <w:right w:val="none" w:sz="0" w:space="0" w:color="auto"/>
          </w:divBdr>
        </w:div>
        <w:div w:id="1747680209">
          <w:marLeft w:val="0"/>
          <w:marRight w:val="0"/>
          <w:marTop w:val="0"/>
          <w:marBottom w:val="0"/>
          <w:divBdr>
            <w:top w:val="none" w:sz="0" w:space="0" w:color="auto"/>
            <w:left w:val="none" w:sz="0" w:space="0" w:color="auto"/>
            <w:bottom w:val="none" w:sz="0" w:space="0" w:color="auto"/>
            <w:right w:val="none" w:sz="0" w:space="0" w:color="auto"/>
          </w:divBdr>
        </w:div>
        <w:div w:id="530845276">
          <w:marLeft w:val="0"/>
          <w:marRight w:val="0"/>
          <w:marTop w:val="0"/>
          <w:marBottom w:val="0"/>
          <w:divBdr>
            <w:top w:val="none" w:sz="0" w:space="0" w:color="auto"/>
            <w:left w:val="none" w:sz="0" w:space="0" w:color="auto"/>
            <w:bottom w:val="none" w:sz="0" w:space="0" w:color="auto"/>
            <w:right w:val="none" w:sz="0" w:space="0" w:color="auto"/>
          </w:divBdr>
        </w:div>
        <w:div w:id="1708289638">
          <w:marLeft w:val="0"/>
          <w:marRight w:val="0"/>
          <w:marTop w:val="0"/>
          <w:marBottom w:val="0"/>
          <w:divBdr>
            <w:top w:val="none" w:sz="0" w:space="0" w:color="auto"/>
            <w:left w:val="none" w:sz="0" w:space="0" w:color="auto"/>
            <w:bottom w:val="none" w:sz="0" w:space="0" w:color="auto"/>
            <w:right w:val="none" w:sz="0" w:space="0" w:color="auto"/>
          </w:divBdr>
        </w:div>
        <w:div w:id="1468470540">
          <w:marLeft w:val="0"/>
          <w:marRight w:val="0"/>
          <w:marTop w:val="0"/>
          <w:marBottom w:val="0"/>
          <w:divBdr>
            <w:top w:val="none" w:sz="0" w:space="0" w:color="auto"/>
            <w:left w:val="none" w:sz="0" w:space="0" w:color="auto"/>
            <w:bottom w:val="none" w:sz="0" w:space="0" w:color="auto"/>
            <w:right w:val="none" w:sz="0" w:space="0" w:color="auto"/>
          </w:divBdr>
        </w:div>
        <w:div w:id="2145154731">
          <w:marLeft w:val="0"/>
          <w:marRight w:val="0"/>
          <w:marTop w:val="0"/>
          <w:marBottom w:val="0"/>
          <w:divBdr>
            <w:top w:val="none" w:sz="0" w:space="0" w:color="auto"/>
            <w:left w:val="none" w:sz="0" w:space="0" w:color="auto"/>
            <w:bottom w:val="none" w:sz="0" w:space="0" w:color="auto"/>
            <w:right w:val="none" w:sz="0" w:space="0" w:color="auto"/>
          </w:divBdr>
        </w:div>
        <w:div w:id="603074710">
          <w:marLeft w:val="0"/>
          <w:marRight w:val="0"/>
          <w:marTop w:val="0"/>
          <w:marBottom w:val="0"/>
          <w:divBdr>
            <w:top w:val="none" w:sz="0" w:space="0" w:color="auto"/>
            <w:left w:val="none" w:sz="0" w:space="0" w:color="auto"/>
            <w:bottom w:val="none" w:sz="0" w:space="0" w:color="auto"/>
            <w:right w:val="none" w:sz="0" w:space="0" w:color="auto"/>
          </w:divBdr>
        </w:div>
        <w:div w:id="170486636">
          <w:marLeft w:val="0"/>
          <w:marRight w:val="0"/>
          <w:marTop w:val="0"/>
          <w:marBottom w:val="0"/>
          <w:divBdr>
            <w:top w:val="none" w:sz="0" w:space="0" w:color="auto"/>
            <w:left w:val="none" w:sz="0" w:space="0" w:color="auto"/>
            <w:bottom w:val="none" w:sz="0" w:space="0" w:color="auto"/>
            <w:right w:val="none" w:sz="0" w:space="0" w:color="auto"/>
          </w:divBdr>
        </w:div>
        <w:div w:id="811681114">
          <w:marLeft w:val="0"/>
          <w:marRight w:val="0"/>
          <w:marTop w:val="0"/>
          <w:marBottom w:val="0"/>
          <w:divBdr>
            <w:top w:val="none" w:sz="0" w:space="0" w:color="auto"/>
            <w:left w:val="none" w:sz="0" w:space="0" w:color="auto"/>
            <w:bottom w:val="none" w:sz="0" w:space="0" w:color="auto"/>
            <w:right w:val="none" w:sz="0" w:space="0" w:color="auto"/>
          </w:divBdr>
        </w:div>
        <w:div w:id="601911326">
          <w:marLeft w:val="0"/>
          <w:marRight w:val="0"/>
          <w:marTop w:val="0"/>
          <w:marBottom w:val="0"/>
          <w:divBdr>
            <w:top w:val="none" w:sz="0" w:space="0" w:color="auto"/>
            <w:left w:val="none" w:sz="0" w:space="0" w:color="auto"/>
            <w:bottom w:val="none" w:sz="0" w:space="0" w:color="auto"/>
            <w:right w:val="none" w:sz="0" w:space="0" w:color="auto"/>
          </w:divBdr>
        </w:div>
        <w:div w:id="1229724661">
          <w:marLeft w:val="0"/>
          <w:marRight w:val="0"/>
          <w:marTop w:val="0"/>
          <w:marBottom w:val="0"/>
          <w:divBdr>
            <w:top w:val="none" w:sz="0" w:space="0" w:color="auto"/>
            <w:left w:val="none" w:sz="0" w:space="0" w:color="auto"/>
            <w:bottom w:val="none" w:sz="0" w:space="0" w:color="auto"/>
            <w:right w:val="none" w:sz="0" w:space="0" w:color="auto"/>
          </w:divBdr>
        </w:div>
        <w:div w:id="642008910">
          <w:marLeft w:val="0"/>
          <w:marRight w:val="0"/>
          <w:marTop w:val="0"/>
          <w:marBottom w:val="0"/>
          <w:divBdr>
            <w:top w:val="none" w:sz="0" w:space="0" w:color="auto"/>
            <w:left w:val="none" w:sz="0" w:space="0" w:color="auto"/>
            <w:bottom w:val="none" w:sz="0" w:space="0" w:color="auto"/>
            <w:right w:val="none" w:sz="0" w:space="0" w:color="auto"/>
          </w:divBdr>
        </w:div>
        <w:div w:id="511186500">
          <w:marLeft w:val="0"/>
          <w:marRight w:val="0"/>
          <w:marTop w:val="0"/>
          <w:marBottom w:val="0"/>
          <w:divBdr>
            <w:top w:val="none" w:sz="0" w:space="0" w:color="auto"/>
            <w:left w:val="none" w:sz="0" w:space="0" w:color="auto"/>
            <w:bottom w:val="none" w:sz="0" w:space="0" w:color="auto"/>
            <w:right w:val="none" w:sz="0" w:space="0" w:color="auto"/>
          </w:divBdr>
        </w:div>
        <w:div w:id="755251148">
          <w:marLeft w:val="0"/>
          <w:marRight w:val="0"/>
          <w:marTop w:val="0"/>
          <w:marBottom w:val="0"/>
          <w:divBdr>
            <w:top w:val="none" w:sz="0" w:space="0" w:color="auto"/>
            <w:left w:val="none" w:sz="0" w:space="0" w:color="auto"/>
            <w:bottom w:val="none" w:sz="0" w:space="0" w:color="auto"/>
            <w:right w:val="none" w:sz="0" w:space="0" w:color="auto"/>
          </w:divBdr>
        </w:div>
        <w:div w:id="340819663">
          <w:marLeft w:val="0"/>
          <w:marRight w:val="0"/>
          <w:marTop w:val="0"/>
          <w:marBottom w:val="0"/>
          <w:divBdr>
            <w:top w:val="none" w:sz="0" w:space="0" w:color="auto"/>
            <w:left w:val="none" w:sz="0" w:space="0" w:color="auto"/>
            <w:bottom w:val="none" w:sz="0" w:space="0" w:color="auto"/>
            <w:right w:val="none" w:sz="0" w:space="0" w:color="auto"/>
          </w:divBdr>
        </w:div>
        <w:div w:id="1849981395">
          <w:marLeft w:val="0"/>
          <w:marRight w:val="0"/>
          <w:marTop w:val="0"/>
          <w:marBottom w:val="0"/>
          <w:divBdr>
            <w:top w:val="none" w:sz="0" w:space="0" w:color="auto"/>
            <w:left w:val="none" w:sz="0" w:space="0" w:color="auto"/>
            <w:bottom w:val="none" w:sz="0" w:space="0" w:color="auto"/>
            <w:right w:val="none" w:sz="0" w:space="0" w:color="auto"/>
          </w:divBdr>
        </w:div>
        <w:div w:id="1087772517">
          <w:marLeft w:val="0"/>
          <w:marRight w:val="0"/>
          <w:marTop w:val="0"/>
          <w:marBottom w:val="0"/>
          <w:divBdr>
            <w:top w:val="none" w:sz="0" w:space="0" w:color="auto"/>
            <w:left w:val="none" w:sz="0" w:space="0" w:color="auto"/>
            <w:bottom w:val="none" w:sz="0" w:space="0" w:color="auto"/>
            <w:right w:val="none" w:sz="0" w:space="0" w:color="auto"/>
          </w:divBdr>
        </w:div>
        <w:div w:id="13727223">
          <w:marLeft w:val="0"/>
          <w:marRight w:val="0"/>
          <w:marTop w:val="0"/>
          <w:marBottom w:val="0"/>
          <w:divBdr>
            <w:top w:val="none" w:sz="0" w:space="0" w:color="auto"/>
            <w:left w:val="none" w:sz="0" w:space="0" w:color="auto"/>
            <w:bottom w:val="none" w:sz="0" w:space="0" w:color="auto"/>
            <w:right w:val="none" w:sz="0" w:space="0" w:color="auto"/>
          </w:divBdr>
        </w:div>
        <w:div w:id="1051073677">
          <w:marLeft w:val="0"/>
          <w:marRight w:val="0"/>
          <w:marTop w:val="0"/>
          <w:marBottom w:val="0"/>
          <w:divBdr>
            <w:top w:val="none" w:sz="0" w:space="0" w:color="auto"/>
            <w:left w:val="none" w:sz="0" w:space="0" w:color="auto"/>
            <w:bottom w:val="none" w:sz="0" w:space="0" w:color="auto"/>
            <w:right w:val="none" w:sz="0" w:space="0" w:color="auto"/>
          </w:divBdr>
        </w:div>
        <w:div w:id="1263147195">
          <w:marLeft w:val="0"/>
          <w:marRight w:val="0"/>
          <w:marTop w:val="0"/>
          <w:marBottom w:val="0"/>
          <w:divBdr>
            <w:top w:val="none" w:sz="0" w:space="0" w:color="auto"/>
            <w:left w:val="none" w:sz="0" w:space="0" w:color="auto"/>
            <w:bottom w:val="none" w:sz="0" w:space="0" w:color="auto"/>
            <w:right w:val="none" w:sz="0" w:space="0" w:color="auto"/>
          </w:divBdr>
        </w:div>
        <w:div w:id="1385174184">
          <w:marLeft w:val="0"/>
          <w:marRight w:val="0"/>
          <w:marTop w:val="0"/>
          <w:marBottom w:val="0"/>
          <w:divBdr>
            <w:top w:val="none" w:sz="0" w:space="0" w:color="auto"/>
            <w:left w:val="none" w:sz="0" w:space="0" w:color="auto"/>
            <w:bottom w:val="none" w:sz="0" w:space="0" w:color="auto"/>
            <w:right w:val="none" w:sz="0" w:space="0" w:color="auto"/>
          </w:divBdr>
        </w:div>
        <w:div w:id="71585907">
          <w:marLeft w:val="0"/>
          <w:marRight w:val="0"/>
          <w:marTop w:val="0"/>
          <w:marBottom w:val="0"/>
          <w:divBdr>
            <w:top w:val="none" w:sz="0" w:space="0" w:color="auto"/>
            <w:left w:val="none" w:sz="0" w:space="0" w:color="auto"/>
            <w:bottom w:val="none" w:sz="0" w:space="0" w:color="auto"/>
            <w:right w:val="none" w:sz="0" w:space="0" w:color="auto"/>
          </w:divBdr>
        </w:div>
        <w:div w:id="1855993262">
          <w:marLeft w:val="0"/>
          <w:marRight w:val="0"/>
          <w:marTop w:val="0"/>
          <w:marBottom w:val="0"/>
          <w:divBdr>
            <w:top w:val="none" w:sz="0" w:space="0" w:color="auto"/>
            <w:left w:val="none" w:sz="0" w:space="0" w:color="auto"/>
            <w:bottom w:val="none" w:sz="0" w:space="0" w:color="auto"/>
            <w:right w:val="none" w:sz="0" w:space="0" w:color="auto"/>
          </w:divBdr>
        </w:div>
        <w:div w:id="1859467504">
          <w:marLeft w:val="0"/>
          <w:marRight w:val="0"/>
          <w:marTop w:val="0"/>
          <w:marBottom w:val="0"/>
          <w:divBdr>
            <w:top w:val="none" w:sz="0" w:space="0" w:color="auto"/>
            <w:left w:val="none" w:sz="0" w:space="0" w:color="auto"/>
            <w:bottom w:val="none" w:sz="0" w:space="0" w:color="auto"/>
            <w:right w:val="none" w:sz="0" w:space="0" w:color="auto"/>
          </w:divBdr>
        </w:div>
        <w:div w:id="1621492169">
          <w:marLeft w:val="0"/>
          <w:marRight w:val="0"/>
          <w:marTop w:val="0"/>
          <w:marBottom w:val="0"/>
          <w:divBdr>
            <w:top w:val="none" w:sz="0" w:space="0" w:color="auto"/>
            <w:left w:val="none" w:sz="0" w:space="0" w:color="auto"/>
            <w:bottom w:val="none" w:sz="0" w:space="0" w:color="auto"/>
            <w:right w:val="none" w:sz="0" w:space="0" w:color="auto"/>
          </w:divBdr>
        </w:div>
        <w:div w:id="356393602">
          <w:marLeft w:val="0"/>
          <w:marRight w:val="0"/>
          <w:marTop w:val="0"/>
          <w:marBottom w:val="0"/>
          <w:divBdr>
            <w:top w:val="none" w:sz="0" w:space="0" w:color="auto"/>
            <w:left w:val="none" w:sz="0" w:space="0" w:color="auto"/>
            <w:bottom w:val="none" w:sz="0" w:space="0" w:color="auto"/>
            <w:right w:val="none" w:sz="0" w:space="0" w:color="auto"/>
          </w:divBdr>
        </w:div>
        <w:div w:id="1640375817">
          <w:marLeft w:val="0"/>
          <w:marRight w:val="0"/>
          <w:marTop w:val="0"/>
          <w:marBottom w:val="0"/>
          <w:divBdr>
            <w:top w:val="none" w:sz="0" w:space="0" w:color="auto"/>
            <w:left w:val="none" w:sz="0" w:space="0" w:color="auto"/>
            <w:bottom w:val="none" w:sz="0" w:space="0" w:color="auto"/>
            <w:right w:val="none" w:sz="0" w:space="0" w:color="auto"/>
          </w:divBdr>
        </w:div>
        <w:div w:id="840006674">
          <w:marLeft w:val="0"/>
          <w:marRight w:val="0"/>
          <w:marTop w:val="0"/>
          <w:marBottom w:val="0"/>
          <w:divBdr>
            <w:top w:val="none" w:sz="0" w:space="0" w:color="auto"/>
            <w:left w:val="none" w:sz="0" w:space="0" w:color="auto"/>
            <w:bottom w:val="none" w:sz="0" w:space="0" w:color="auto"/>
            <w:right w:val="none" w:sz="0" w:space="0" w:color="auto"/>
          </w:divBdr>
        </w:div>
        <w:div w:id="1616790694">
          <w:marLeft w:val="0"/>
          <w:marRight w:val="0"/>
          <w:marTop w:val="0"/>
          <w:marBottom w:val="0"/>
          <w:divBdr>
            <w:top w:val="none" w:sz="0" w:space="0" w:color="auto"/>
            <w:left w:val="none" w:sz="0" w:space="0" w:color="auto"/>
            <w:bottom w:val="none" w:sz="0" w:space="0" w:color="auto"/>
            <w:right w:val="none" w:sz="0" w:space="0" w:color="auto"/>
          </w:divBdr>
        </w:div>
        <w:div w:id="840315849">
          <w:marLeft w:val="0"/>
          <w:marRight w:val="0"/>
          <w:marTop w:val="0"/>
          <w:marBottom w:val="0"/>
          <w:divBdr>
            <w:top w:val="none" w:sz="0" w:space="0" w:color="auto"/>
            <w:left w:val="none" w:sz="0" w:space="0" w:color="auto"/>
            <w:bottom w:val="none" w:sz="0" w:space="0" w:color="auto"/>
            <w:right w:val="none" w:sz="0" w:space="0" w:color="auto"/>
          </w:divBdr>
        </w:div>
        <w:div w:id="901217570">
          <w:marLeft w:val="0"/>
          <w:marRight w:val="0"/>
          <w:marTop w:val="0"/>
          <w:marBottom w:val="0"/>
          <w:divBdr>
            <w:top w:val="none" w:sz="0" w:space="0" w:color="auto"/>
            <w:left w:val="none" w:sz="0" w:space="0" w:color="auto"/>
            <w:bottom w:val="none" w:sz="0" w:space="0" w:color="auto"/>
            <w:right w:val="none" w:sz="0" w:space="0" w:color="auto"/>
          </w:divBdr>
        </w:div>
        <w:div w:id="855928576">
          <w:marLeft w:val="0"/>
          <w:marRight w:val="0"/>
          <w:marTop w:val="0"/>
          <w:marBottom w:val="0"/>
          <w:divBdr>
            <w:top w:val="none" w:sz="0" w:space="0" w:color="auto"/>
            <w:left w:val="none" w:sz="0" w:space="0" w:color="auto"/>
            <w:bottom w:val="none" w:sz="0" w:space="0" w:color="auto"/>
            <w:right w:val="none" w:sz="0" w:space="0" w:color="auto"/>
          </w:divBdr>
        </w:div>
        <w:div w:id="1932619026">
          <w:marLeft w:val="0"/>
          <w:marRight w:val="0"/>
          <w:marTop w:val="0"/>
          <w:marBottom w:val="0"/>
          <w:divBdr>
            <w:top w:val="none" w:sz="0" w:space="0" w:color="auto"/>
            <w:left w:val="none" w:sz="0" w:space="0" w:color="auto"/>
            <w:bottom w:val="none" w:sz="0" w:space="0" w:color="auto"/>
            <w:right w:val="none" w:sz="0" w:space="0" w:color="auto"/>
          </w:divBdr>
        </w:div>
        <w:div w:id="1897202437">
          <w:marLeft w:val="0"/>
          <w:marRight w:val="0"/>
          <w:marTop w:val="0"/>
          <w:marBottom w:val="0"/>
          <w:divBdr>
            <w:top w:val="none" w:sz="0" w:space="0" w:color="auto"/>
            <w:left w:val="none" w:sz="0" w:space="0" w:color="auto"/>
            <w:bottom w:val="none" w:sz="0" w:space="0" w:color="auto"/>
            <w:right w:val="none" w:sz="0" w:space="0" w:color="auto"/>
          </w:divBdr>
        </w:div>
        <w:div w:id="1389066467">
          <w:marLeft w:val="0"/>
          <w:marRight w:val="0"/>
          <w:marTop w:val="0"/>
          <w:marBottom w:val="0"/>
          <w:divBdr>
            <w:top w:val="none" w:sz="0" w:space="0" w:color="auto"/>
            <w:left w:val="none" w:sz="0" w:space="0" w:color="auto"/>
            <w:bottom w:val="none" w:sz="0" w:space="0" w:color="auto"/>
            <w:right w:val="none" w:sz="0" w:space="0" w:color="auto"/>
          </w:divBdr>
        </w:div>
        <w:div w:id="996960689">
          <w:marLeft w:val="0"/>
          <w:marRight w:val="0"/>
          <w:marTop w:val="0"/>
          <w:marBottom w:val="0"/>
          <w:divBdr>
            <w:top w:val="none" w:sz="0" w:space="0" w:color="auto"/>
            <w:left w:val="none" w:sz="0" w:space="0" w:color="auto"/>
            <w:bottom w:val="none" w:sz="0" w:space="0" w:color="auto"/>
            <w:right w:val="none" w:sz="0" w:space="0" w:color="auto"/>
          </w:divBdr>
        </w:div>
        <w:div w:id="1704552097">
          <w:marLeft w:val="0"/>
          <w:marRight w:val="0"/>
          <w:marTop w:val="0"/>
          <w:marBottom w:val="0"/>
          <w:divBdr>
            <w:top w:val="none" w:sz="0" w:space="0" w:color="auto"/>
            <w:left w:val="none" w:sz="0" w:space="0" w:color="auto"/>
            <w:bottom w:val="none" w:sz="0" w:space="0" w:color="auto"/>
            <w:right w:val="none" w:sz="0" w:space="0" w:color="auto"/>
          </w:divBdr>
        </w:div>
        <w:div w:id="1540628718">
          <w:marLeft w:val="0"/>
          <w:marRight w:val="0"/>
          <w:marTop w:val="0"/>
          <w:marBottom w:val="0"/>
          <w:divBdr>
            <w:top w:val="none" w:sz="0" w:space="0" w:color="auto"/>
            <w:left w:val="none" w:sz="0" w:space="0" w:color="auto"/>
            <w:bottom w:val="none" w:sz="0" w:space="0" w:color="auto"/>
            <w:right w:val="none" w:sz="0" w:space="0" w:color="auto"/>
          </w:divBdr>
        </w:div>
        <w:div w:id="1789542174">
          <w:marLeft w:val="0"/>
          <w:marRight w:val="0"/>
          <w:marTop w:val="0"/>
          <w:marBottom w:val="0"/>
          <w:divBdr>
            <w:top w:val="none" w:sz="0" w:space="0" w:color="auto"/>
            <w:left w:val="none" w:sz="0" w:space="0" w:color="auto"/>
            <w:bottom w:val="none" w:sz="0" w:space="0" w:color="auto"/>
            <w:right w:val="none" w:sz="0" w:space="0" w:color="auto"/>
          </w:divBdr>
        </w:div>
        <w:div w:id="1991053330">
          <w:marLeft w:val="0"/>
          <w:marRight w:val="0"/>
          <w:marTop w:val="0"/>
          <w:marBottom w:val="0"/>
          <w:divBdr>
            <w:top w:val="none" w:sz="0" w:space="0" w:color="auto"/>
            <w:left w:val="none" w:sz="0" w:space="0" w:color="auto"/>
            <w:bottom w:val="none" w:sz="0" w:space="0" w:color="auto"/>
            <w:right w:val="none" w:sz="0" w:space="0" w:color="auto"/>
          </w:divBdr>
        </w:div>
        <w:div w:id="521482683">
          <w:marLeft w:val="0"/>
          <w:marRight w:val="0"/>
          <w:marTop w:val="0"/>
          <w:marBottom w:val="0"/>
          <w:divBdr>
            <w:top w:val="none" w:sz="0" w:space="0" w:color="auto"/>
            <w:left w:val="none" w:sz="0" w:space="0" w:color="auto"/>
            <w:bottom w:val="none" w:sz="0" w:space="0" w:color="auto"/>
            <w:right w:val="none" w:sz="0" w:space="0" w:color="auto"/>
          </w:divBdr>
        </w:div>
        <w:div w:id="1980837891">
          <w:marLeft w:val="0"/>
          <w:marRight w:val="0"/>
          <w:marTop w:val="0"/>
          <w:marBottom w:val="0"/>
          <w:divBdr>
            <w:top w:val="none" w:sz="0" w:space="0" w:color="auto"/>
            <w:left w:val="none" w:sz="0" w:space="0" w:color="auto"/>
            <w:bottom w:val="none" w:sz="0" w:space="0" w:color="auto"/>
            <w:right w:val="none" w:sz="0" w:space="0" w:color="auto"/>
          </w:divBdr>
        </w:div>
        <w:div w:id="196356244">
          <w:marLeft w:val="0"/>
          <w:marRight w:val="0"/>
          <w:marTop w:val="0"/>
          <w:marBottom w:val="0"/>
          <w:divBdr>
            <w:top w:val="none" w:sz="0" w:space="0" w:color="auto"/>
            <w:left w:val="none" w:sz="0" w:space="0" w:color="auto"/>
            <w:bottom w:val="none" w:sz="0" w:space="0" w:color="auto"/>
            <w:right w:val="none" w:sz="0" w:space="0" w:color="auto"/>
          </w:divBdr>
        </w:div>
        <w:div w:id="1038048826">
          <w:marLeft w:val="0"/>
          <w:marRight w:val="0"/>
          <w:marTop w:val="0"/>
          <w:marBottom w:val="0"/>
          <w:divBdr>
            <w:top w:val="none" w:sz="0" w:space="0" w:color="auto"/>
            <w:left w:val="none" w:sz="0" w:space="0" w:color="auto"/>
            <w:bottom w:val="none" w:sz="0" w:space="0" w:color="auto"/>
            <w:right w:val="none" w:sz="0" w:space="0" w:color="auto"/>
          </w:divBdr>
        </w:div>
        <w:div w:id="1797599488">
          <w:marLeft w:val="0"/>
          <w:marRight w:val="0"/>
          <w:marTop w:val="0"/>
          <w:marBottom w:val="0"/>
          <w:divBdr>
            <w:top w:val="none" w:sz="0" w:space="0" w:color="auto"/>
            <w:left w:val="none" w:sz="0" w:space="0" w:color="auto"/>
            <w:bottom w:val="none" w:sz="0" w:space="0" w:color="auto"/>
            <w:right w:val="none" w:sz="0" w:space="0" w:color="auto"/>
          </w:divBdr>
        </w:div>
        <w:div w:id="1927766239">
          <w:marLeft w:val="0"/>
          <w:marRight w:val="0"/>
          <w:marTop w:val="0"/>
          <w:marBottom w:val="0"/>
          <w:divBdr>
            <w:top w:val="none" w:sz="0" w:space="0" w:color="auto"/>
            <w:left w:val="none" w:sz="0" w:space="0" w:color="auto"/>
            <w:bottom w:val="none" w:sz="0" w:space="0" w:color="auto"/>
            <w:right w:val="none" w:sz="0" w:space="0" w:color="auto"/>
          </w:divBdr>
        </w:div>
        <w:div w:id="1559633883">
          <w:marLeft w:val="0"/>
          <w:marRight w:val="0"/>
          <w:marTop w:val="0"/>
          <w:marBottom w:val="0"/>
          <w:divBdr>
            <w:top w:val="none" w:sz="0" w:space="0" w:color="auto"/>
            <w:left w:val="none" w:sz="0" w:space="0" w:color="auto"/>
            <w:bottom w:val="none" w:sz="0" w:space="0" w:color="auto"/>
            <w:right w:val="none" w:sz="0" w:space="0" w:color="auto"/>
          </w:divBdr>
        </w:div>
        <w:div w:id="803739626">
          <w:marLeft w:val="0"/>
          <w:marRight w:val="0"/>
          <w:marTop w:val="0"/>
          <w:marBottom w:val="0"/>
          <w:divBdr>
            <w:top w:val="none" w:sz="0" w:space="0" w:color="auto"/>
            <w:left w:val="none" w:sz="0" w:space="0" w:color="auto"/>
            <w:bottom w:val="none" w:sz="0" w:space="0" w:color="auto"/>
            <w:right w:val="none" w:sz="0" w:space="0" w:color="auto"/>
          </w:divBdr>
        </w:div>
        <w:div w:id="116071172">
          <w:marLeft w:val="0"/>
          <w:marRight w:val="0"/>
          <w:marTop w:val="0"/>
          <w:marBottom w:val="0"/>
          <w:divBdr>
            <w:top w:val="none" w:sz="0" w:space="0" w:color="auto"/>
            <w:left w:val="none" w:sz="0" w:space="0" w:color="auto"/>
            <w:bottom w:val="none" w:sz="0" w:space="0" w:color="auto"/>
            <w:right w:val="none" w:sz="0" w:space="0" w:color="auto"/>
          </w:divBdr>
        </w:div>
        <w:div w:id="1918053436">
          <w:marLeft w:val="0"/>
          <w:marRight w:val="0"/>
          <w:marTop w:val="0"/>
          <w:marBottom w:val="0"/>
          <w:divBdr>
            <w:top w:val="none" w:sz="0" w:space="0" w:color="auto"/>
            <w:left w:val="none" w:sz="0" w:space="0" w:color="auto"/>
            <w:bottom w:val="none" w:sz="0" w:space="0" w:color="auto"/>
            <w:right w:val="none" w:sz="0" w:space="0" w:color="auto"/>
          </w:divBdr>
        </w:div>
        <w:div w:id="230311494">
          <w:marLeft w:val="0"/>
          <w:marRight w:val="0"/>
          <w:marTop w:val="0"/>
          <w:marBottom w:val="0"/>
          <w:divBdr>
            <w:top w:val="none" w:sz="0" w:space="0" w:color="auto"/>
            <w:left w:val="none" w:sz="0" w:space="0" w:color="auto"/>
            <w:bottom w:val="none" w:sz="0" w:space="0" w:color="auto"/>
            <w:right w:val="none" w:sz="0" w:space="0" w:color="auto"/>
          </w:divBdr>
        </w:div>
        <w:div w:id="2103720615">
          <w:marLeft w:val="0"/>
          <w:marRight w:val="0"/>
          <w:marTop w:val="0"/>
          <w:marBottom w:val="0"/>
          <w:divBdr>
            <w:top w:val="none" w:sz="0" w:space="0" w:color="auto"/>
            <w:left w:val="none" w:sz="0" w:space="0" w:color="auto"/>
            <w:bottom w:val="none" w:sz="0" w:space="0" w:color="auto"/>
            <w:right w:val="none" w:sz="0" w:space="0" w:color="auto"/>
          </w:divBdr>
        </w:div>
        <w:div w:id="630982788">
          <w:marLeft w:val="0"/>
          <w:marRight w:val="0"/>
          <w:marTop w:val="0"/>
          <w:marBottom w:val="0"/>
          <w:divBdr>
            <w:top w:val="none" w:sz="0" w:space="0" w:color="auto"/>
            <w:left w:val="none" w:sz="0" w:space="0" w:color="auto"/>
            <w:bottom w:val="none" w:sz="0" w:space="0" w:color="auto"/>
            <w:right w:val="none" w:sz="0" w:space="0" w:color="auto"/>
          </w:divBdr>
        </w:div>
        <w:div w:id="1037899515">
          <w:marLeft w:val="0"/>
          <w:marRight w:val="0"/>
          <w:marTop w:val="0"/>
          <w:marBottom w:val="0"/>
          <w:divBdr>
            <w:top w:val="none" w:sz="0" w:space="0" w:color="auto"/>
            <w:left w:val="none" w:sz="0" w:space="0" w:color="auto"/>
            <w:bottom w:val="none" w:sz="0" w:space="0" w:color="auto"/>
            <w:right w:val="none" w:sz="0" w:space="0" w:color="auto"/>
          </w:divBdr>
        </w:div>
        <w:div w:id="422460742">
          <w:marLeft w:val="0"/>
          <w:marRight w:val="0"/>
          <w:marTop w:val="0"/>
          <w:marBottom w:val="0"/>
          <w:divBdr>
            <w:top w:val="none" w:sz="0" w:space="0" w:color="auto"/>
            <w:left w:val="none" w:sz="0" w:space="0" w:color="auto"/>
            <w:bottom w:val="none" w:sz="0" w:space="0" w:color="auto"/>
            <w:right w:val="none" w:sz="0" w:space="0" w:color="auto"/>
          </w:divBdr>
        </w:div>
        <w:div w:id="1255165891">
          <w:marLeft w:val="0"/>
          <w:marRight w:val="0"/>
          <w:marTop w:val="0"/>
          <w:marBottom w:val="0"/>
          <w:divBdr>
            <w:top w:val="none" w:sz="0" w:space="0" w:color="auto"/>
            <w:left w:val="none" w:sz="0" w:space="0" w:color="auto"/>
            <w:bottom w:val="none" w:sz="0" w:space="0" w:color="auto"/>
            <w:right w:val="none" w:sz="0" w:space="0" w:color="auto"/>
          </w:divBdr>
        </w:div>
        <w:div w:id="2069180535">
          <w:marLeft w:val="0"/>
          <w:marRight w:val="0"/>
          <w:marTop w:val="0"/>
          <w:marBottom w:val="0"/>
          <w:divBdr>
            <w:top w:val="none" w:sz="0" w:space="0" w:color="auto"/>
            <w:left w:val="none" w:sz="0" w:space="0" w:color="auto"/>
            <w:bottom w:val="none" w:sz="0" w:space="0" w:color="auto"/>
            <w:right w:val="none" w:sz="0" w:space="0" w:color="auto"/>
          </w:divBdr>
        </w:div>
        <w:div w:id="1592347149">
          <w:marLeft w:val="0"/>
          <w:marRight w:val="0"/>
          <w:marTop w:val="0"/>
          <w:marBottom w:val="0"/>
          <w:divBdr>
            <w:top w:val="none" w:sz="0" w:space="0" w:color="auto"/>
            <w:left w:val="none" w:sz="0" w:space="0" w:color="auto"/>
            <w:bottom w:val="none" w:sz="0" w:space="0" w:color="auto"/>
            <w:right w:val="none" w:sz="0" w:space="0" w:color="auto"/>
          </w:divBdr>
        </w:div>
        <w:div w:id="1760329123">
          <w:marLeft w:val="0"/>
          <w:marRight w:val="0"/>
          <w:marTop w:val="0"/>
          <w:marBottom w:val="0"/>
          <w:divBdr>
            <w:top w:val="none" w:sz="0" w:space="0" w:color="auto"/>
            <w:left w:val="none" w:sz="0" w:space="0" w:color="auto"/>
            <w:bottom w:val="none" w:sz="0" w:space="0" w:color="auto"/>
            <w:right w:val="none" w:sz="0" w:space="0" w:color="auto"/>
          </w:divBdr>
        </w:div>
        <w:div w:id="248855842">
          <w:marLeft w:val="0"/>
          <w:marRight w:val="0"/>
          <w:marTop w:val="0"/>
          <w:marBottom w:val="0"/>
          <w:divBdr>
            <w:top w:val="none" w:sz="0" w:space="0" w:color="auto"/>
            <w:left w:val="none" w:sz="0" w:space="0" w:color="auto"/>
            <w:bottom w:val="none" w:sz="0" w:space="0" w:color="auto"/>
            <w:right w:val="none" w:sz="0" w:space="0" w:color="auto"/>
          </w:divBdr>
        </w:div>
        <w:div w:id="1764648982">
          <w:marLeft w:val="0"/>
          <w:marRight w:val="0"/>
          <w:marTop w:val="0"/>
          <w:marBottom w:val="0"/>
          <w:divBdr>
            <w:top w:val="none" w:sz="0" w:space="0" w:color="auto"/>
            <w:left w:val="none" w:sz="0" w:space="0" w:color="auto"/>
            <w:bottom w:val="none" w:sz="0" w:space="0" w:color="auto"/>
            <w:right w:val="none" w:sz="0" w:space="0" w:color="auto"/>
          </w:divBdr>
        </w:div>
        <w:div w:id="936062833">
          <w:marLeft w:val="0"/>
          <w:marRight w:val="0"/>
          <w:marTop w:val="0"/>
          <w:marBottom w:val="0"/>
          <w:divBdr>
            <w:top w:val="none" w:sz="0" w:space="0" w:color="auto"/>
            <w:left w:val="none" w:sz="0" w:space="0" w:color="auto"/>
            <w:bottom w:val="none" w:sz="0" w:space="0" w:color="auto"/>
            <w:right w:val="none" w:sz="0" w:space="0" w:color="auto"/>
          </w:divBdr>
        </w:div>
        <w:div w:id="137382279">
          <w:marLeft w:val="0"/>
          <w:marRight w:val="0"/>
          <w:marTop w:val="0"/>
          <w:marBottom w:val="0"/>
          <w:divBdr>
            <w:top w:val="none" w:sz="0" w:space="0" w:color="auto"/>
            <w:left w:val="none" w:sz="0" w:space="0" w:color="auto"/>
            <w:bottom w:val="none" w:sz="0" w:space="0" w:color="auto"/>
            <w:right w:val="none" w:sz="0" w:space="0" w:color="auto"/>
          </w:divBdr>
        </w:div>
        <w:div w:id="1863011778">
          <w:marLeft w:val="0"/>
          <w:marRight w:val="0"/>
          <w:marTop w:val="0"/>
          <w:marBottom w:val="0"/>
          <w:divBdr>
            <w:top w:val="none" w:sz="0" w:space="0" w:color="auto"/>
            <w:left w:val="none" w:sz="0" w:space="0" w:color="auto"/>
            <w:bottom w:val="none" w:sz="0" w:space="0" w:color="auto"/>
            <w:right w:val="none" w:sz="0" w:space="0" w:color="auto"/>
          </w:divBdr>
        </w:div>
        <w:div w:id="635643167">
          <w:marLeft w:val="0"/>
          <w:marRight w:val="0"/>
          <w:marTop w:val="0"/>
          <w:marBottom w:val="0"/>
          <w:divBdr>
            <w:top w:val="none" w:sz="0" w:space="0" w:color="auto"/>
            <w:left w:val="none" w:sz="0" w:space="0" w:color="auto"/>
            <w:bottom w:val="none" w:sz="0" w:space="0" w:color="auto"/>
            <w:right w:val="none" w:sz="0" w:space="0" w:color="auto"/>
          </w:divBdr>
        </w:div>
        <w:div w:id="826672803">
          <w:marLeft w:val="0"/>
          <w:marRight w:val="0"/>
          <w:marTop w:val="0"/>
          <w:marBottom w:val="0"/>
          <w:divBdr>
            <w:top w:val="none" w:sz="0" w:space="0" w:color="auto"/>
            <w:left w:val="none" w:sz="0" w:space="0" w:color="auto"/>
            <w:bottom w:val="none" w:sz="0" w:space="0" w:color="auto"/>
            <w:right w:val="none" w:sz="0" w:space="0" w:color="auto"/>
          </w:divBdr>
        </w:div>
        <w:div w:id="512114254">
          <w:marLeft w:val="0"/>
          <w:marRight w:val="0"/>
          <w:marTop w:val="0"/>
          <w:marBottom w:val="0"/>
          <w:divBdr>
            <w:top w:val="none" w:sz="0" w:space="0" w:color="auto"/>
            <w:left w:val="none" w:sz="0" w:space="0" w:color="auto"/>
            <w:bottom w:val="none" w:sz="0" w:space="0" w:color="auto"/>
            <w:right w:val="none" w:sz="0" w:space="0" w:color="auto"/>
          </w:divBdr>
        </w:div>
        <w:div w:id="1453549164">
          <w:marLeft w:val="0"/>
          <w:marRight w:val="0"/>
          <w:marTop w:val="0"/>
          <w:marBottom w:val="0"/>
          <w:divBdr>
            <w:top w:val="none" w:sz="0" w:space="0" w:color="auto"/>
            <w:left w:val="none" w:sz="0" w:space="0" w:color="auto"/>
            <w:bottom w:val="none" w:sz="0" w:space="0" w:color="auto"/>
            <w:right w:val="none" w:sz="0" w:space="0" w:color="auto"/>
          </w:divBdr>
        </w:div>
        <w:div w:id="1435057186">
          <w:marLeft w:val="0"/>
          <w:marRight w:val="0"/>
          <w:marTop w:val="0"/>
          <w:marBottom w:val="0"/>
          <w:divBdr>
            <w:top w:val="none" w:sz="0" w:space="0" w:color="auto"/>
            <w:left w:val="none" w:sz="0" w:space="0" w:color="auto"/>
            <w:bottom w:val="none" w:sz="0" w:space="0" w:color="auto"/>
            <w:right w:val="none" w:sz="0" w:space="0" w:color="auto"/>
          </w:divBdr>
        </w:div>
        <w:div w:id="266698196">
          <w:marLeft w:val="0"/>
          <w:marRight w:val="0"/>
          <w:marTop w:val="0"/>
          <w:marBottom w:val="0"/>
          <w:divBdr>
            <w:top w:val="none" w:sz="0" w:space="0" w:color="auto"/>
            <w:left w:val="none" w:sz="0" w:space="0" w:color="auto"/>
            <w:bottom w:val="none" w:sz="0" w:space="0" w:color="auto"/>
            <w:right w:val="none" w:sz="0" w:space="0" w:color="auto"/>
          </w:divBdr>
        </w:div>
        <w:div w:id="1280189132">
          <w:marLeft w:val="0"/>
          <w:marRight w:val="0"/>
          <w:marTop w:val="0"/>
          <w:marBottom w:val="0"/>
          <w:divBdr>
            <w:top w:val="none" w:sz="0" w:space="0" w:color="auto"/>
            <w:left w:val="none" w:sz="0" w:space="0" w:color="auto"/>
            <w:bottom w:val="none" w:sz="0" w:space="0" w:color="auto"/>
            <w:right w:val="none" w:sz="0" w:space="0" w:color="auto"/>
          </w:divBdr>
        </w:div>
        <w:div w:id="17241819">
          <w:marLeft w:val="0"/>
          <w:marRight w:val="0"/>
          <w:marTop w:val="0"/>
          <w:marBottom w:val="0"/>
          <w:divBdr>
            <w:top w:val="none" w:sz="0" w:space="0" w:color="auto"/>
            <w:left w:val="none" w:sz="0" w:space="0" w:color="auto"/>
            <w:bottom w:val="none" w:sz="0" w:space="0" w:color="auto"/>
            <w:right w:val="none" w:sz="0" w:space="0" w:color="auto"/>
          </w:divBdr>
        </w:div>
        <w:div w:id="1453211489">
          <w:marLeft w:val="0"/>
          <w:marRight w:val="0"/>
          <w:marTop w:val="0"/>
          <w:marBottom w:val="0"/>
          <w:divBdr>
            <w:top w:val="none" w:sz="0" w:space="0" w:color="auto"/>
            <w:left w:val="none" w:sz="0" w:space="0" w:color="auto"/>
            <w:bottom w:val="none" w:sz="0" w:space="0" w:color="auto"/>
            <w:right w:val="none" w:sz="0" w:space="0" w:color="auto"/>
          </w:divBdr>
        </w:div>
        <w:div w:id="357507500">
          <w:marLeft w:val="0"/>
          <w:marRight w:val="0"/>
          <w:marTop w:val="0"/>
          <w:marBottom w:val="0"/>
          <w:divBdr>
            <w:top w:val="none" w:sz="0" w:space="0" w:color="auto"/>
            <w:left w:val="none" w:sz="0" w:space="0" w:color="auto"/>
            <w:bottom w:val="none" w:sz="0" w:space="0" w:color="auto"/>
            <w:right w:val="none" w:sz="0" w:space="0" w:color="auto"/>
          </w:divBdr>
        </w:div>
        <w:div w:id="1727140027">
          <w:marLeft w:val="0"/>
          <w:marRight w:val="0"/>
          <w:marTop w:val="0"/>
          <w:marBottom w:val="0"/>
          <w:divBdr>
            <w:top w:val="none" w:sz="0" w:space="0" w:color="auto"/>
            <w:left w:val="none" w:sz="0" w:space="0" w:color="auto"/>
            <w:bottom w:val="none" w:sz="0" w:space="0" w:color="auto"/>
            <w:right w:val="none" w:sz="0" w:space="0" w:color="auto"/>
          </w:divBdr>
        </w:div>
        <w:div w:id="1612930197">
          <w:marLeft w:val="0"/>
          <w:marRight w:val="0"/>
          <w:marTop w:val="0"/>
          <w:marBottom w:val="0"/>
          <w:divBdr>
            <w:top w:val="none" w:sz="0" w:space="0" w:color="auto"/>
            <w:left w:val="none" w:sz="0" w:space="0" w:color="auto"/>
            <w:bottom w:val="none" w:sz="0" w:space="0" w:color="auto"/>
            <w:right w:val="none" w:sz="0" w:space="0" w:color="auto"/>
          </w:divBdr>
        </w:div>
        <w:div w:id="1941060932">
          <w:marLeft w:val="0"/>
          <w:marRight w:val="0"/>
          <w:marTop w:val="0"/>
          <w:marBottom w:val="0"/>
          <w:divBdr>
            <w:top w:val="none" w:sz="0" w:space="0" w:color="auto"/>
            <w:left w:val="none" w:sz="0" w:space="0" w:color="auto"/>
            <w:bottom w:val="none" w:sz="0" w:space="0" w:color="auto"/>
            <w:right w:val="none" w:sz="0" w:space="0" w:color="auto"/>
          </w:divBdr>
        </w:div>
        <w:div w:id="2365856">
          <w:marLeft w:val="0"/>
          <w:marRight w:val="0"/>
          <w:marTop w:val="0"/>
          <w:marBottom w:val="0"/>
          <w:divBdr>
            <w:top w:val="none" w:sz="0" w:space="0" w:color="auto"/>
            <w:left w:val="none" w:sz="0" w:space="0" w:color="auto"/>
            <w:bottom w:val="none" w:sz="0" w:space="0" w:color="auto"/>
            <w:right w:val="none" w:sz="0" w:space="0" w:color="auto"/>
          </w:divBdr>
        </w:div>
        <w:div w:id="668599612">
          <w:marLeft w:val="0"/>
          <w:marRight w:val="0"/>
          <w:marTop w:val="0"/>
          <w:marBottom w:val="0"/>
          <w:divBdr>
            <w:top w:val="none" w:sz="0" w:space="0" w:color="auto"/>
            <w:left w:val="none" w:sz="0" w:space="0" w:color="auto"/>
            <w:bottom w:val="none" w:sz="0" w:space="0" w:color="auto"/>
            <w:right w:val="none" w:sz="0" w:space="0" w:color="auto"/>
          </w:divBdr>
        </w:div>
        <w:div w:id="1284732121">
          <w:marLeft w:val="0"/>
          <w:marRight w:val="0"/>
          <w:marTop w:val="0"/>
          <w:marBottom w:val="0"/>
          <w:divBdr>
            <w:top w:val="none" w:sz="0" w:space="0" w:color="auto"/>
            <w:left w:val="none" w:sz="0" w:space="0" w:color="auto"/>
            <w:bottom w:val="none" w:sz="0" w:space="0" w:color="auto"/>
            <w:right w:val="none" w:sz="0" w:space="0" w:color="auto"/>
          </w:divBdr>
        </w:div>
        <w:div w:id="1717729365">
          <w:marLeft w:val="0"/>
          <w:marRight w:val="0"/>
          <w:marTop w:val="0"/>
          <w:marBottom w:val="0"/>
          <w:divBdr>
            <w:top w:val="none" w:sz="0" w:space="0" w:color="auto"/>
            <w:left w:val="none" w:sz="0" w:space="0" w:color="auto"/>
            <w:bottom w:val="none" w:sz="0" w:space="0" w:color="auto"/>
            <w:right w:val="none" w:sz="0" w:space="0" w:color="auto"/>
          </w:divBdr>
        </w:div>
        <w:div w:id="1924103824">
          <w:marLeft w:val="0"/>
          <w:marRight w:val="0"/>
          <w:marTop w:val="0"/>
          <w:marBottom w:val="0"/>
          <w:divBdr>
            <w:top w:val="none" w:sz="0" w:space="0" w:color="auto"/>
            <w:left w:val="none" w:sz="0" w:space="0" w:color="auto"/>
            <w:bottom w:val="none" w:sz="0" w:space="0" w:color="auto"/>
            <w:right w:val="none" w:sz="0" w:space="0" w:color="auto"/>
          </w:divBdr>
        </w:div>
        <w:div w:id="165556762">
          <w:marLeft w:val="0"/>
          <w:marRight w:val="0"/>
          <w:marTop w:val="0"/>
          <w:marBottom w:val="0"/>
          <w:divBdr>
            <w:top w:val="none" w:sz="0" w:space="0" w:color="auto"/>
            <w:left w:val="none" w:sz="0" w:space="0" w:color="auto"/>
            <w:bottom w:val="none" w:sz="0" w:space="0" w:color="auto"/>
            <w:right w:val="none" w:sz="0" w:space="0" w:color="auto"/>
          </w:divBdr>
        </w:div>
        <w:div w:id="398133288">
          <w:marLeft w:val="0"/>
          <w:marRight w:val="0"/>
          <w:marTop w:val="0"/>
          <w:marBottom w:val="0"/>
          <w:divBdr>
            <w:top w:val="none" w:sz="0" w:space="0" w:color="auto"/>
            <w:left w:val="none" w:sz="0" w:space="0" w:color="auto"/>
            <w:bottom w:val="none" w:sz="0" w:space="0" w:color="auto"/>
            <w:right w:val="none" w:sz="0" w:space="0" w:color="auto"/>
          </w:divBdr>
        </w:div>
        <w:div w:id="1608810399">
          <w:marLeft w:val="0"/>
          <w:marRight w:val="0"/>
          <w:marTop w:val="0"/>
          <w:marBottom w:val="0"/>
          <w:divBdr>
            <w:top w:val="none" w:sz="0" w:space="0" w:color="auto"/>
            <w:left w:val="none" w:sz="0" w:space="0" w:color="auto"/>
            <w:bottom w:val="none" w:sz="0" w:space="0" w:color="auto"/>
            <w:right w:val="none" w:sz="0" w:space="0" w:color="auto"/>
          </w:divBdr>
        </w:div>
        <w:div w:id="932398675">
          <w:marLeft w:val="0"/>
          <w:marRight w:val="0"/>
          <w:marTop w:val="0"/>
          <w:marBottom w:val="0"/>
          <w:divBdr>
            <w:top w:val="none" w:sz="0" w:space="0" w:color="auto"/>
            <w:left w:val="none" w:sz="0" w:space="0" w:color="auto"/>
            <w:bottom w:val="none" w:sz="0" w:space="0" w:color="auto"/>
            <w:right w:val="none" w:sz="0" w:space="0" w:color="auto"/>
          </w:divBdr>
        </w:div>
        <w:div w:id="177044169">
          <w:marLeft w:val="0"/>
          <w:marRight w:val="0"/>
          <w:marTop w:val="0"/>
          <w:marBottom w:val="0"/>
          <w:divBdr>
            <w:top w:val="none" w:sz="0" w:space="0" w:color="auto"/>
            <w:left w:val="none" w:sz="0" w:space="0" w:color="auto"/>
            <w:bottom w:val="none" w:sz="0" w:space="0" w:color="auto"/>
            <w:right w:val="none" w:sz="0" w:space="0" w:color="auto"/>
          </w:divBdr>
        </w:div>
        <w:div w:id="723678695">
          <w:marLeft w:val="0"/>
          <w:marRight w:val="0"/>
          <w:marTop w:val="0"/>
          <w:marBottom w:val="0"/>
          <w:divBdr>
            <w:top w:val="none" w:sz="0" w:space="0" w:color="auto"/>
            <w:left w:val="none" w:sz="0" w:space="0" w:color="auto"/>
            <w:bottom w:val="none" w:sz="0" w:space="0" w:color="auto"/>
            <w:right w:val="none" w:sz="0" w:space="0" w:color="auto"/>
          </w:divBdr>
        </w:div>
        <w:div w:id="1150095009">
          <w:marLeft w:val="0"/>
          <w:marRight w:val="0"/>
          <w:marTop w:val="0"/>
          <w:marBottom w:val="0"/>
          <w:divBdr>
            <w:top w:val="none" w:sz="0" w:space="0" w:color="auto"/>
            <w:left w:val="none" w:sz="0" w:space="0" w:color="auto"/>
            <w:bottom w:val="none" w:sz="0" w:space="0" w:color="auto"/>
            <w:right w:val="none" w:sz="0" w:space="0" w:color="auto"/>
          </w:divBdr>
        </w:div>
        <w:div w:id="1143306108">
          <w:marLeft w:val="0"/>
          <w:marRight w:val="0"/>
          <w:marTop w:val="0"/>
          <w:marBottom w:val="0"/>
          <w:divBdr>
            <w:top w:val="none" w:sz="0" w:space="0" w:color="auto"/>
            <w:left w:val="none" w:sz="0" w:space="0" w:color="auto"/>
            <w:bottom w:val="none" w:sz="0" w:space="0" w:color="auto"/>
            <w:right w:val="none" w:sz="0" w:space="0" w:color="auto"/>
          </w:divBdr>
        </w:div>
        <w:div w:id="49229228">
          <w:marLeft w:val="0"/>
          <w:marRight w:val="0"/>
          <w:marTop w:val="0"/>
          <w:marBottom w:val="0"/>
          <w:divBdr>
            <w:top w:val="none" w:sz="0" w:space="0" w:color="auto"/>
            <w:left w:val="none" w:sz="0" w:space="0" w:color="auto"/>
            <w:bottom w:val="none" w:sz="0" w:space="0" w:color="auto"/>
            <w:right w:val="none" w:sz="0" w:space="0" w:color="auto"/>
          </w:divBdr>
        </w:div>
        <w:div w:id="894312451">
          <w:marLeft w:val="0"/>
          <w:marRight w:val="0"/>
          <w:marTop w:val="0"/>
          <w:marBottom w:val="0"/>
          <w:divBdr>
            <w:top w:val="none" w:sz="0" w:space="0" w:color="auto"/>
            <w:left w:val="none" w:sz="0" w:space="0" w:color="auto"/>
            <w:bottom w:val="none" w:sz="0" w:space="0" w:color="auto"/>
            <w:right w:val="none" w:sz="0" w:space="0" w:color="auto"/>
          </w:divBdr>
        </w:div>
        <w:div w:id="1824810756">
          <w:marLeft w:val="0"/>
          <w:marRight w:val="0"/>
          <w:marTop w:val="0"/>
          <w:marBottom w:val="0"/>
          <w:divBdr>
            <w:top w:val="none" w:sz="0" w:space="0" w:color="auto"/>
            <w:left w:val="none" w:sz="0" w:space="0" w:color="auto"/>
            <w:bottom w:val="none" w:sz="0" w:space="0" w:color="auto"/>
            <w:right w:val="none" w:sz="0" w:space="0" w:color="auto"/>
          </w:divBdr>
        </w:div>
        <w:div w:id="404299632">
          <w:marLeft w:val="0"/>
          <w:marRight w:val="0"/>
          <w:marTop w:val="0"/>
          <w:marBottom w:val="0"/>
          <w:divBdr>
            <w:top w:val="none" w:sz="0" w:space="0" w:color="auto"/>
            <w:left w:val="none" w:sz="0" w:space="0" w:color="auto"/>
            <w:bottom w:val="none" w:sz="0" w:space="0" w:color="auto"/>
            <w:right w:val="none" w:sz="0" w:space="0" w:color="auto"/>
          </w:divBdr>
        </w:div>
        <w:div w:id="650794143">
          <w:marLeft w:val="0"/>
          <w:marRight w:val="0"/>
          <w:marTop w:val="0"/>
          <w:marBottom w:val="0"/>
          <w:divBdr>
            <w:top w:val="none" w:sz="0" w:space="0" w:color="auto"/>
            <w:left w:val="none" w:sz="0" w:space="0" w:color="auto"/>
            <w:bottom w:val="none" w:sz="0" w:space="0" w:color="auto"/>
            <w:right w:val="none" w:sz="0" w:space="0" w:color="auto"/>
          </w:divBdr>
        </w:div>
        <w:div w:id="1737513518">
          <w:marLeft w:val="0"/>
          <w:marRight w:val="0"/>
          <w:marTop w:val="0"/>
          <w:marBottom w:val="0"/>
          <w:divBdr>
            <w:top w:val="none" w:sz="0" w:space="0" w:color="auto"/>
            <w:left w:val="none" w:sz="0" w:space="0" w:color="auto"/>
            <w:bottom w:val="none" w:sz="0" w:space="0" w:color="auto"/>
            <w:right w:val="none" w:sz="0" w:space="0" w:color="auto"/>
          </w:divBdr>
        </w:div>
        <w:div w:id="1226254728">
          <w:marLeft w:val="0"/>
          <w:marRight w:val="0"/>
          <w:marTop w:val="0"/>
          <w:marBottom w:val="0"/>
          <w:divBdr>
            <w:top w:val="none" w:sz="0" w:space="0" w:color="auto"/>
            <w:left w:val="none" w:sz="0" w:space="0" w:color="auto"/>
            <w:bottom w:val="none" w:sz="0" w:space="0" w:color="auto"/>
            <w:right w:val="none" w:sz="0" w:space="0" w:color="auto"/>
          </w:divBdr>
        </w:div>
        <w:div w:id="1428044357">
          <w:marLeft w:val="0"/>
          <w:marRight w:val="0"/>
          <w:marTop w:val="0"/>
          <w:marBottom w:val="0"/>
          <w:divBdr>
            <w:top w:val="none" w:sz="0" w:space="0" w:color="auto"/>
            <w:left w:val="none" w:sz="0" w:space="0" w:color="auto"/>
            <w:bottom w:val="none" w:sz="0" w:space="0" w:color="auto"/>
            <w:right w:val="none" w:sz="0" w:space="0" w:color="auto"/>
          </w:divBdr>
        </w:div>
        <w:div w:id="2012642386">
          <w:marLeft w:val="0"/>
          <w:marRight w:val="0"/>
          <w:marTop w:val="0"/>
          <w:marBottom w:val="0"/>
          <w:divBdr>
            <w:top w:val="none" w:sz="0" w:space="0" w:color="auto"/>
            <w:left w:val="none" w:sz="0" w:space="0" w:color="auto"/>
            <w:bottom w:val="none" w:sz="0" w:space="0" w:color="auto"/>
            <w:right w:val="none" w:sz="0" w:space="0" w:color="auto"/>
          </w:divBdr>
        </w:div>
        <w:div w:id="312179431">
          <w:marLeft w:val="0"/>
          <w:marRight w:val="0"/>
          <w:marTop w:val="0"/>
          <w:marBottom w:val="0"/>
          <w:divBdr>
            <w:top w:val="none" w:sz="0" w:space="0" w:color="auto"/>
            <w:left w:val="none" w:sz="0" w:space="0" w:color="auto"/>
            <w:bottom w:val="none" w:sz="0" w:space="0" w:color="auto"/>
            <w:right w:val="none" w:sz="0" w:space="0" w:color="auto"/>
          </w:divBdr>
        </w:div>
        <w:div w:id="744182222">
          <w:marLeft w:val="0"/>
          <w:marRight w:val="0"/>
          <w:marTop w:val="0"/>
          <w:marBottom w:val="0"/>
          <w:divBdr>
            <w:top w:val="none" w:sz="0" w:space="0" w:color="auto"/>
            <w:left w:val="none" w:sz="0" w:space="0" w:color="auto"/>
            <w:bottom w:val="none" w:sz="0" w:space="0" w:color="auto"/>
            <w:right w:val="none" w:sz="0" w:space="0" w:color="auto"/>
          </w:divBdr>
        </w:div>
        <w:div w:id="2105615362">
          <w:marLeft w:val="0"/>
          <w:marRight w:val="0"/>
          <w:marTop w:val="0"/>
          <w:marBottom w:val="0"/>
          <w:divBdr>
            <w:top w:val="none" w:sz="0" w:space="0" w:color="auto"/>
            <w:left w:val="none" w:sz="0" w:space="0" w:color="auto"/>
            <w:bottom w:val="none" w:sz="0" w:space="0" w:color="auto"/>
            <w:right w:val="none" w:sz="0" w:space="0" w:color="auto"/>
          </w:divBdr>
        </w:div>
        <w:div w:id="1816877162">
          <w:marLeft w:val="0"/>
          <w:marRight w:val="0"/>
          <w:marTop w:val="0"/>
          <w:marBottom w:val="0"/>
          <w:divBdr>
            <w:top w:val="none" w:sz="0" w:space="0" w:color="auto"/>
            <w:left w:val="none" w:sz="0" w:space="0" w:color="auto"/>
            <w:bottom w:val="none" w:sz="0" w:space="0" w:color="auto"/>
            <w:right w:val="none" w:sz="0" w:space="0" w:color="auto"/>
          </w:divBdr>
        </w:div>
        <w:div w:id="1903826768">
          <w:marLeft w:val="0"/>
          <w:marRight w:val="0"/>
          <w:marTop w:val="0"/>
          <w:marBottom w:val="0"/>
          <w:divBdr>
            <w:top w:val="none" w:sz="0" w:space="0" w:color="auto"/>
            <w:left w:val="none" w:sz="0" w:space="0" w:color="auto"/>
            <w:bottom w:val="none" w:sz="0" w:space="0" w:color="auto"/>
            <w:right w:val="none" w:sz="0" w:space="0" w:color="auto"/>
          </w:divBdr>
        </w:div>
        <w:div w:id="1787042753">
          <w:marLeft w:val="0"/>
          <w:marRight w:val="0"/>
          <w:marTop w:val="0"/>
          <w:marBottom w:val="0"/>
          <w:divBdr>
            <w:top w:val="none" w:sz="0" w:space="0" w:color="auto"/>
            <w:left w:val="none" w:sz="0" w:space="0" w:color="auto"/>
            <w:bottom w:val="none" w:sz="0" w:space="0" w:color="auto"/>
            <w:right w:val="none" w:sz="0" w:space="0" w:color="auto"/>
          </w:divBdr>
        </w:div>
        <w:div w:id="1487554873">
          <w:marLeft w:val="0"/>
          <w:marRight w:val="0"/>
          <w:marTop w:val="0"/>
          <w:marBottom w:val="0"/>
          <w:divBdr>
            <w:top w:val="none" w:sz="0" w:space="0" w:color="auto"/>
            <w:left w:val="none" w:sz="0" w:space="0" w:color="auto"/>
            <w:bottom w:val="none" w:sz="0" w:space="0" w:color="auto"/>
            <w:right w:val="none" w:sz="0" w:space="0" w:color="auto"/>
          </w:divBdr>
        </w:div>
        <w:div w:id="722366252">
          <w:marLeft w:val="0"/>
          <w:marRight w:val="0"/>
          <w:marTop w:val="0"/>
          <w:marBottom w:val="0"/>
          <w:divBdr>
            <w:top w:val="none" w:sz="0" w:space="0" w:color="auto"/>
            <w:left w:val="none" w:sz="0" w:space="0" w:color="auto"/>
            <w:bottom w:val="none" w:sz="0" w:space="0" w:color="auto"/>
            <w:right w:val="none" w:sz="0" w:space="0" w:color="auto"/>
          </w:divBdr>
        </w:div>
        <w:div w:id="536166239">
          <w:marLeft w:val="0"/>
          <w:marRight w:val="0"/>
          <w:marTop w:val="0"/>
          <w:marBottom w:val="0"/>
          <w:divBdr>
            <w:top w:val="none" w:sz="0" w:space="0" w:color="auto"/>
            <w:left w:val="none" w:sz="0" w:space="0" w:color="auto"/>
            <w:bottom w:val="none" w:sz="0" w:space="0" w:color="auto"/>
            <w:right w:val="none" w:sz="0" w:space="0" w:color="auto"/>
          </w:divBdr>
        </w:div>
        <w:div w:id="1146167590">
          <w:marLeft w:val="0"/>
          <w:marRight w:val="0"/>
          <w:marTop w:val="0"/>
          <w:marBottom w:val="0"/>
          <w:divBdr>
            <w:top w:val="none" w:sz="0" w:space="0" w:color="auto"/>
            <w:left w:val="none" w:sz="0" w:space="0" w:color="auto"/>
            <w:bottom w:val="none" w:sz="0" w:space="0" w:color="auto"/>
            <w:right w:val="none" w:sz="0" w:space="0" w:color="auto"/>
          </w:divBdr>
        </w:div>
        <w:div w:id="1289119480">
          <w:marLeft w:val="0"/>
          <w:marRight w:val="0"/>
          <w:marTop w:val="0"/>
          <w:marBottom w:val="0"/>
          <w:divBdr>
            <w:top w:val="none" w:sz="0" w:space="0" w:color="auto"/>
            <w:left w:val="none" w:sz="0" w:space="0" w:color="auto"/>
            <w:bottom w:val="none" w:sz="0" w:space="0" w:color="auto"/>
            <w:right w:val="none" w:sz="0" w:space="0" w:color="auto"/>
          </w:divBdr>
        </w:div>
        <w:div w:id="1681741692">
          <w:marLeft w:val="0"/>
          <w:marRight w:val="0"/>
          <w:marTop w:val="0"/>
          <w:marBottom w:val="0"/>
          <w:divBdr>
            <w:top w:val="none" w:sz="0" w:space="0" w:color="auto"/>
            <w:left w:val="none" w:sz="0" w:space="0" w:color="auto"/>
            <w:bottom w:val="none" w:sz="0" w:space="0" w:color="auto"/>
            <w:right w:val="none" w:sz="0" w:space="0" w:color="auto"/>
          </w:divBdr>
        </w:div>
        <w:div w:id="1556350898">
          <w:marLeft w:val="0"/>
          <w:marRight w:val="0"/>
          <w:marTop w:val="0"/>
          <w:marBottom w:val="0"/>
          <w:divBdr>
            <w:top w:val="none" w:sz="0" w:space="0" w:color="auto"/>
            <w:left w:val="none" w:sz="0" w:space="0" w:color="auto"/>
            <w:bottom w:val="none" w:sz="0" w:space="0" w:color="auto"/>
            <w:right w:val="none" w:sz="0" w:space="0" w:color="auto"/>
          </w:divBdr>
        </w:div>
        <w:div w:id="1424063974">
          <w:marLeft w:val="0"/>
          <w:marRight w:val="0"/>
          <w:marTop w:val="0"/>
          <w:marBottom w:val="0"/>
          <w:divBdr>
            <w:top w:val="none" w:sz="0" w:space="0" w:color="auto"/>
            <w:left w:val="none" w:sz="0" w:space="0" w:color="auto"/>
            <w:bottom w:val="none" w:sz="0" w:space="0" w:color="auto"/>
            <w:right w:val="none" w:sz="0" w:space="0" w:color="auto"/>
          </w:divBdr>
        </w:div>
        <w:div w:id="2091000746">
          <w:marLeft w:val="0"/>
          <w:marRight w:val="0"/>
          <w:marTop w:val="0"/>
          <w:marBottom w:val="0"/>
          <w:divBdr>
            <w:top w:val="none" w:sz="0" w:space="0" w:color="auto"/>
            <w:left w:val="none" w:sz="0" w:space="0" w:color="auto"/>
            <w:bottom w:val="none" w:sz="0" w:space="0" w:color="auto"/>
            <w:right w:val="none" w:sz="0" w:space="0" w:color="auto"/>
          </w:divBdr>
        </w:div>
        <w:div w:id="874315797">
          <w:marLeft w:val="0"/>
          <w:marRight w:val="0"/>
          <w:marTop w:val="0"/>
          <w:marBottom w:val="0"/>
          <w:divBdr>
            <w:top w:val="none" w:sz="0" w:space="0" w:color="auto"/>
            <w:left w:val="none" w:sz="0" w:space="0" w:color="auto"/>
            <w:bottom w:val="none" w:sz="0" w:space="0" w:color="auto"/>
            <w:right w:val="none" w:sz="0" w:space="0" w:color="auto"/>
          </w:divBdr>
        </w:div>
        <w:div w:id="717358542">
          <w:marLeft w:val="0"/>
          <w:marRight w:val="0"/>
          <w:marTop w:val="0"/>
          <w:marBottom w:val="0"/>
          <w:divBdr>
            <w:top w:val="none" w:sz="0" w:space="0" w:color="auto"/>
            <w:left w:val="none" w:sz="0" w:space="0" w:color="auto"/>
            <w:bottom w:val="none" w:sz="0" w:space="0" w:color="auto"/>
            <w:right w:val="none" w:sz="0" w:space="0" w:color="auto"/>
          </w:divBdr>
        </w:div>
        <w:div w:id="867908214">
          <w:marLeft w:val="0"/>
          <w:marRight w:val="0"/>
          <w:marTop w:val="0"/>
          <w:marBottom w:val="0"/>
          <w:divBdr>
            <w:top w:val="none" w:sz="0" w:space="0" w:color="auto"/>
            <w:left w:val="none" w:sz="0" w:space="0" w:color="auto"/>
            <w:bottom w:val="none" w:sz="0" w:space="0" w:color="auto"/>
            <w:right w:val="none" w:sz="0" w:space="0" w:color="auto"/>
          </w:divBdr>
        </w:div>
        <w:div w:id="1530408326">
          <w:marLeft w:val="0"/>
          <w:marRight w:val="0"/>
          <w:marTop w:val="0"/>
          <w:marBottom w:val="0"/>
          <w:divBdr>
            <w:top w:val="none" w:sz="0" w:space="0" w:color="auto"/>
            <w:left w:val="none" w:sz="0" w:space="0" w:color="auto"/>
            <w:bottom w:val="none" w:sz="0" w:space="0" w:color="auto"/>
            <w:right w:val="none" w:sz="0" w:space="0" w:color="auto"/>
          </w:divBdr>
        </w:div>
        <w:div w:id="1917780901">
          <w:marLeft w:val="0"/>
          <w:marRight w:val="0"/>
          <w:marTop w:val="0"/>
          <w:marBottom w:val="0"/>
          <w:divBdr>
            <w:top w:val="none" w:sz="0" w:space="0" w:color="auto"/>
            <w:left w:val="none" w:sz="0" w:space="0" w:color="auto"/>
            <w:bottom w:val="none" w:sz="0" w:space="0" w:color="auto"/>
            <w:right w:val="none" w:sz="0" w:space="0" w:color="auto"/>
          </w:divBdr>
        </w:div>
        <w:div w:id="1188256341">
          <w:marLeft w:val="0"/>
          <w:marRight w:val="0"/>
          <w:marTop w:val="0"/>
          <w:marBottom w:val="0"/>
          <w:divBdr>
            <w:top w:val="none" w:sz="0" w:space="0" w:color="auto"/>
            <w:left w:val="none" w:sz="0" w:space="0" w:color="auto"/>
            <w:bottom w:val="none" w:sz="0" w:space="0" w:color="auto"/>
            <w:right w:val="none" w:sz="0" w:space="0" w:color="auto"/>
          </w:divBdr>
        </w:div>
        <w:div w:id="121848551">
          <w:marLeft w:val="0"/>
          <w:marRight w:val="0"/>
          <w:marTop w:val="0"/>
          <w:marBottom w:val="0"/>
          <w:divBdr>
            <w:top w:val="none" w:sz="0" w:space="0" w:color="auto"/>
            <w:left w:val="none" w:sz="0" w:space="0" w:color="auto"/>
            <w:bottom w:val="none" w:sz="0" w:space="0" w:color="auto"/>
            <w:right w:val="none" w:sz="0" w:space="0" w:color="auto"/>
          </w:divBdr>
        </w:div>
        <w:div w:id="941840548">
          <w:marLeft w:val="0"/>
          <w:marRight w:val="0"/>
          <w:marTop w:val="0"/>
          <w:marBottom w:val="0"/>
          <w:divBdr>
            <w:top w:val="none" w:sz="0" w:space="0" w:color="auto"/>
            <w:left w:val="none" w:sz="0" w:space="0" w:color="auto"/>
            <w:bottom w:val="none" w:sz="0" w:space="0" w:color="auto"/>
            <w:right w:val="none" w:sz="0" w:space="0" w:color="auto"/>
          </w:divBdr>
        </w:div>
        <w:div w:id="1048340560">
          <w:marLeft w:val="0"/>
          <w:marRight w:val="0"/>
          <w:marTop w:val="0"/>
          <w:marBottom w:val="0"/>
          <w:divBdr>
            <w:top w:val="none" w:sz="0" w:space="0" w:color="auto"/>
            <w:left w:val="none" w:sz="0" w:space="0" w:color="auto"/>
            <w:bottom w:val="none" w:sz="0" w:space="0" w:color="auto"/>
            <w:right w:val="none" w:sz="0" w:space="0" w:color="auto"/>
          </w:divBdr>
        </w:div>
        <w:div w:id="2063092558">
          <w:marLeft w:val="0"/>
          <w:marRight w:val="0"/>
          <w:marTop w:val="0"/>
          <w:marBottom w:val="0"/>
          <w:divBdr>
            <w:top w:val="none" w:sz="0" w:space="0" w:color="auto"/>
            <w:left w:val="none" w:sz="0" w:space="0" w:color="auto"/>
            <w:bottom w:val="none" w:sz="0" w:space="0" w:color="auto"/>
            <w:right w:val="none" w:sz="0" w:space="0" w:color="auto"/>
          </w:divBdr>
        </w:div>
        <w:div w:id="44523606">
          <w:marLeft w:val="0"/>
          <w:marRight w:val="0"/>
          <w:marTop w:val="0"/>
          <w:marBottom w:val="0"/>
          <w:divBdr>
            <w:top w:val="none" w:sz="0" w:space="0" w:color="auto"/>
            <w:left w:val="none" w:sz="0" w:space="0" w:color="auto"/>
            <w:bottom w:val="none" w:sz="0" w:space="0" w:color="auto"/>
            <w:right w:val="none" w:sz="0" w:space="0" w:color="auto"/>
          </w:divBdr>
        </w:div>
        <w:div w:id="1823808446">
          <w:marLeft w:val="0"/>
          <w:marRight w:val="0"/>
          <w:marTop w:val="0"/>
          <w:marBottom w:val="0"/>
          <w:divBdr>
            <w:top w:val="none" w:sz="0" w:space="0" w:color="auto"/>
            <w:left w:val="none" w:sz="0" w:space="0" w:color="auto"/>
            <w:bottom w:val="none" w:sz="0" w:space="0" w:color="auto"/>
            <w:right w:val="none" w:sz="0" w:space="0" w:color="auto"/>
          </w:divBdr>
        </w:div>
        <w:div w:id="1255554179">
          <w:marLeft w:val="0"/>
          <w:marRight w:val="0"/>
          <w:marTop w:val="0"/>
          <w:marBottom w:val="0"/>
          <w:divBdr>
            <w:top w:val="none" w:sz="0" w:space="0" w:color="auto"/>
            <w:left w:val="none" w:sz="0" w:space="0" w:color="auto"/>
            <w:bottom w:val="none" w:sz="0" w:space="0" w:color="auto"/>
            <w:right w:val="none" w:sz="0" w:space="0" w:color="auto"/>
          </w:divBdr>
        </w:div>
        <w:div w:id="374621578">
          <w:marLeft w:val="0"/>
          <w:marRight w:val="0"/>
          <w:marTop w:val="0"/>
          <w:marBottom w:val="0"/>
          <w:divBdr>
            <w:top w:val="none" w:sz="0" w:space="0" w:color="auto"/>
            <w:left w:val="none" w:sz="0" w:space="0" w:color="auto"/>
            <w:bottom w:val="none" w:sz="0" w:space="0" w:color="auto"/>
            <w:right w:val="none" w:sz="0" w:space="0" w:color="auto"/>
          </w:divBdr>
        </w:div>
        <w:div w:id="1826165382">
          <w:marLeft w:val="0"/>
          <w:marRight w:val="0"/>
          <w:marTop w:val="0"/>
          <w:marBottom w:val="0"/>
          <w:divBdr>
            <w:top w:val="none" w:sz="0" w:space="0" w:color="auto"/>
            <w:left w:val="none" w:sz="0" w:space="0" w:color="auto"/>
            <w:bottom w:val="none" w:sz="0" w:space="0" w:color="auto"/>
            <w:right w:val="none" w:sz="0" w:space="0" w:color="auto"/>
          </w:divBdr>
        </w:div>
        <w:div w:id="871305382">
          <w:marLeft w:val="0"/>
          <w:marRight w:val="0"/>
          <w:marTop w:val="0"/>
          <w:marBottom w:val="0"/>
          <w:divBdr>
            <w:top w:val="none" w:sz="0" w:space="0" w:color="auto"/>
            <w:left w:val="none" w:sz="0" w:space="0" w:color="auto"/>
            <w:bottom w:val="none" w:sz="0" w:space="0" w:color="auto"/>
            <w:right w:val="none" w:sz="0" w:space="0" w:color="auto"/>
          </w:divBdr>
        </w:div>
        <w:div w:id="1200124558">
          <w:marLeft w:val="0"/>
          <w:marRight w:val="0"/>
          <w:marTop w:val="0"/>
          <w:marBottom w:val="0"/>
          <w:divBdr>
            <w:top w:val="none" w:sz="0" w:space="0" w:color="auto"/>
            <w:left w:val="none" w:sz="0" w:space="0" w:color="auto"/>
            <w:bottom w:val="none" w:sz="0" w:space="0" w:color="auto"/>
            <w:right w:val="none" w:sz="0" w:space="0" w:color="auto"/>
          </w:divBdr>
        </w:div>
        <w:div w:id="1558055200">
          <w:marLeft w:val="0"/>
          <w:marRight w:val="0"/>
          <w:marTop w:val="0"/>
          <w:marBottom w:val="0"/>
          <w:divBdr>
            <w:top w:val="none" w:sz="0" w:space="0" w:color="auto"/>
            <w:left w:val="none" w:sz="0" w:space="0" w:color="auto"/>
            <w:bottom w:val="none" w:sz="0" w:space="0" w:color="auto"/>
            <w:right w:val="none" w:sz="0" w:space="0" w:color="auto"/>
          </w:divBdr>
        </w:div>
        <w:div w:id="146552174">
          <w:marLeft w:val="0"/>
          <w:marRight w:val="0"/>
          <w:marTop w:val="0"/>
          <w:marBottom w:val="0"/>
          <w:divBdr>
            <w:top w:val="none" w:sz="0" w:space="0" w:color="auto"/>
            <w:left w:val="none" w:sz="0" w:space="0" w:color="auto"/>
            <w:bottom w:val="none" w:sz="0" w:space="0" w:color="auto"/>
            <w:right w:val="none" w:sz="0" w:space="0" w:color="auto"/>
          </w:divBdr>
        </w:div>
        <w:div w:id="1632511960">
          <w:marLeft w:val="0"/>
          <w:marRight w:val="0"/>
          <w:marTop w:val="0"/>
          <w:marBottom w:val="0"/>
          <w:divBdr>
            <w:top w:val="none" w:sz="0" w:space="0" w:color="auto"/>
            <w:left w:val="none" w:sz="0" w:space="0" w:color="auto"/>
            <w:bottom w:val="none" w:sz="0" w:space="0" w:color="auto"/>
            <w:right w:val="none" w:sz="0" w:space="0" w:color="auto"/>
          </w:divBdr>
        </w:div>
        <w:div w:id="406610708">
          <w:marLeft w:val="0"/>
          <w:marRight w:val="0"/>
          <w:marTop w:val="0"/>
          <w:marBottom w:val="0"/>
          <w:divBdr>
            <w:top w:val="none" w:sz="0" w:space="0" w:color="auto"/>
            <w:left w:val="none" w:sz="0" w:space="0" w:color="auto"/>
            <w:bottom w:val="none" w:sz="0" w:space="0" w:color="auto"/>
            <w:right w:val="none" w:sz="0" w:space="0" w:color="auto"/>
          </w:divBdr>
        </w:div>
        <w:div w:id="562646126">
          <w:marLeft w:val="0"/>
          <w:marRight w:val="0"/>
          <w:marTop w:val="0"/>
          <w:marBottom w:val="0"/>
          <w:divBdr>
            <w:top w:val="none" w:sz="0" w:space="0" w:color="auto"/>
            <w:left w:val="none" w:sz="0" w:space="0" w:color="auto"/>
            <w:bottom w:val="none" w:sz="0" w:space="0" w:color="auto"/>
            <w:right w:val="none" w:sz="0" w:space="0" w:color="auto"/>
          </w:divBdr>
        </w:div>
        <w:div w:id="1112094666">
          <w:marLeft w:val="0"/>
          <w:marRight w:val="0"/>
          <w:marTop w:val="0"/>
          <w:marBottom w:val="0"/>
          <w:divBdr>
            <w:top w:val="none" w:sz="0" w:space="0" w:color="auto"/>
            <w:left w:val="none" w:sz="0" w:space="0" w:color="auto"/>
            <w:bottom w:val="none" w:sz="0" w:space="0" w:color="auto"/>
            <w:right w:val="none" w:sz="0" w:space="0" w:color="auto"/>
          </w:divBdr>
        </w:div>
        <w:div w:id="1268077021">
          <w:marLeft w:val="0"/>
          <w:marRight w:val="0"/>
          <w:marTop w:val="0"/>
          <w:marBottom w:val="0"/>
          <w:divBdr>
            <w:top w:val="none" w:sz="0" w:space="0" w:color="auto"/>
            <w:left w:val="none" w:sz="0" w:space="0" w:color="auto"/>
            <w:bottom w:val="none" w:sz="0" w:space="0" w:color="auto"/>
            <w:right w:val="none" w:sz="0" w:space="0" w:color="auto"/>
          </w:divBdr>
        </w:div>
        <w:div w:id="463891449">
          <w:marLeft w:val="0"/>
          <w:marRight w:val="0"/>
          <w:marTop w:val="0"/>
          <w:marBottom w:val="0"/>
          <w:divBdr>
            <w:top w:val="none" w:sz="0" w:space="0" w:color="auto"/>
            <w:left w:val="none" w:sz="0" w:space="0" w:color="auto"/>
            <w:bottom w:val="none" w:sz="0" w:space="0" w:color="auto"/>
            <w:right w:val="none" w:sz="0" w:space="0" w:color="auto"/>
          </w:divBdr>
        </w:div>
        <w:div w:id="1763843632">
          <w:marLeft w:val="0"/>
          <w:marRight w:val="0"/>
          <w:marTop w:val="0"/>
          <w:marBottom w:val="0"/>
          <w:divBdr>
            <w:top w:val="none" w:sz="0" w:space="0" w:color="auto"/>
            <w:left w:val="none" w:sz="0" w:space="0" w:color="auto"/>
            <w:bottom w:val="none" w:sz="0" w:space="0" w:color="auto"/>
            <w:right w:val="none" w:sz="0" w:space="0" w:color="auto"/>
          </w:divBdr>
        </w:div>
        <w:div w:id="1018700889">
          <w:marLeft w:val="0"/>
          <w:marRight w:val="0"/>
          <w:marTop w:val="0"/>
          <w:marBottom w:val="0"/>
          <w:divBdr>
            <w:top w:val="none" w:sz="0" w:space="0" w:color="auto"/>
            <w:left w:val="none" w:sz="0" w:space="0" w:color="auto"/>
            <w:bottom w:val="none" w:sz="0" w:space="0" w:color="auto"/>
            <w:right w:val="none" w:sz="0" w:space="0" w:color="auto"/>
          </w:divBdr>
        </w:div>
        <w:div w:id="6101026">
          <w:marLeft w:val="0"/>
          <w:marRight w:val="0"/>
          <w:marTop w:val="0"/>
          <w:marBottom w:val="0"/>
          <w:divBdr>
            <w:top w:val="none" w:sz="0" w:space="0" w:color="auto"/>
            <w:left w:val="none" w:sz="0" w:space="0" w:color="auto"/>
            <w:bottom w:val="none" w:sz="0" w:space="0" w:color="auto"/>
            <w:right w:val="none" w:sz="0" w:space="0" w:color="auto"/>
          </w:divBdr>
        </w:div>
        <w:div w:id="1588613574">
          <w:marLeft w:val="0"/>
          <w:marRight w:val="0"/>
          <w:marTop w:val="0"/>
          <w:marBottom w:val="0"/>
          <w:divBdr>
            <w:top w:val="none" w:sz="0" w:space="0" w:color="auto"/>
            <w:left w:val="none" w:sz="0" w:space="0" w:color="auto"/>
            <w:bottom w:val="none" w:sz="0" w:space="0" w:color="auto"/>
            <w:right w:val="none" w:sz="0" w:space="0" w:color="auto"/>
          </w:divBdr>
        </w:div>
        <w:div w:id="929238768">
          <w:marLeft w:val="0"/>
          <w:marRight w:val="0"/>
          <w:marTop w:val="0"/>
          <w:marBottom w:val="0"/>
          <w:divBdr>
            <w:top w:val="none" w:sz="0" w:space="0" w:color="auto"/>
            <w:left w:val="none" w:sz="0" w:space="0" w:color="auto"/>
            <w:bottom w:val="none" w:sz="0" w:space="0" w:color="auto"/>
            <w:right w:val="none" w:sz="0" w:space="0" w:color="auto"/>
          </w:divBdr>
        </w:div>
        <w:div w:id="738602722">
          <w:marLeft w:val="0"/>
          <w:marRight w:val="0"/>
          <w:marTop w:val="0"/>
          <w:marBottom w:val="0"/>
          <w:divBdr>
            <w:top w:val="none" w:sz="0" w:space="0" w:color="auto"/>
            <w:left w:val="none" w:sz="0" w:space="0" w:color="auto"/>
            <w:bottom w:val="none" w:sz="0" w:space="0" w:color="auto"/>
            <w:right w:val="none" w:sz="0" w:space="0" w:color="auto"/>
          </w:divBdr>
        </w:div>
        <w:div w:id="639502899">
          <w:marLeft w:val="0"/>
          <w:marRight w:val="0"/>
          <w:marTop w:val="0"/>
          <w:marBottom w:val="0"/>
          <w:divBdr>
            <w:top w:val="none" w:sz="0" w:space="0" w:color="auto"/>
            <w:left w:val="none" w:sz="0" w:space="0" w:color="auto"/>
            <w:bottom w:val="none" w:sz="0" w:space="0" w:color="auto"/>
            <w:right w:val="none" w:sz="0" w:space="0" w:color="auto"/>
          </w:divBdr>
        </w:div>
        <w:div w:id="1588223975">
          <w:marLeft w:val="0"/>
          <w:marRight w:val="0"/>
          <w:marTop w:val="0"/>
          <w:marBottom w:val="0"/>
          <w:divBdr>
            <w:top w:val="none" w:sz="0" w:space="0" w:color="auto"/>
            <w:left w:val="none" w:sz="0" w:space="0" w:color="auto"/>
            <w:bottom w:val="none" w:sz="0" w:space="0" w:color="auto"/>
            <w:right w:val="none" w:sz="0" w:space="0" w:color="auto"/>
          </w:divBdr>
        </w:div>
        <w:div w:id="949093035">
          <w:marLeft w:val="0"/>
          <w:marRight w:val="0"/>
          <w:marTop w:val="0"/>
          <w:marBottom w:val="0"/>
          <w:divBdr>
            <w:top w:val="none" w:sz="0" w:space="0" w:color="auto"/>
            <w:left w:val="none" w:sz="0" w:space="0" w:color="auto"/>
            <w:bottom w:val="none" w:sz="0" w:space="0" w:color="auto"/>
            <w:right w:val="none" w:sz="0" w:space="0" w:color="auto"/>
          </w:divBdr>
        </w:div>
        <w:div w:id="1488401478">
          <w:marLeft w:val="0"/>
          <w:marRight w:val="0"/>
          <w:marTop w:val="0"/>
          <w:marBottom w:val="0"/>
          <w:divBdr>
            <w:top w:val="none" w:sz="0" w:space="0" w:color="auto"/>
            <w:left w:val="none" w:sz="0" w:space="0" w:color="auto"/>
            <w:bottom w:val="none" w:sz="0" w:space="0" w:color="auto"/>
            <w:right w:val="none" w:sz="0" w:space="0" w:color="auto"/>
          </w:divBdr>
        </w:div>
        <w:div w:id="2082481585">
          <w:marLeft w:val="0"/>
          <w:marRight w:val="0"/>
          <w:marTop w:val="0"/>
          <w:marBottom w:val="0"/>
          <w:divBdr>
            <w:top w:val="none" w:sz="0" w:space="0" w:color="auto"/>
            <w:left w:val="none" w:sz="0" w:space="0" w:color="auto"/>
            <w:bottom w:val="none" w:sz="0" w:space="0" w:color="auto"/>
            <w:right w:val="none" w:sz="0" w:space="0" w:color="auto"/>
          </w:divBdr>
        </w:div>
        <w:div w:id="71856401">
          <w:marLeft w:val="0"/>
          <w:marRight w:val="0"/>
          <w:marTop w:val="0"/>
          <w:marBottom w:val="0"/>
          <w:divBdr>
            <w:top w:val="none" w:sz="0" w:space="0" w:color="auto"/>
            <w:left w:val="none" w:sz="0" w:space="0" w:color="auto"/>
            <w:bottom w:val="none" w:sz="0" w:space="0" w:color="auto"/>
            <w:right w:val="none" w:sz="0" w:space="0" w:color="auto"/>
          </w:divBdr>
        </w:div>
        <w:div w:id="1245915303">
          <w:marLeft w:val="0"/>
          <w:marRight w:val="0"/>
          <w:marTop w:val="0"/>
          <w:marBottom w:val="0"/>
          <w:divBdr>
            <w:top w:val="none" w:sz="0" w:space="0" w:color="auto"/>
            <w:left w:val="none" w:sz="0" w:space="0" w:color="auto"/>
            <w:bottom w:val="none" w:sz="0" w:space="0" w:color="auto"/>
            <w:right w:val="none" w:sz="0" w:space="0" w:color="auto"/>
          </w:divBdr>
        </w:div>
        <w:div w:id="395592605">
          <w:marLeft w:val="0"/>
          <w:marRight w:val="0"/>
          <w:marTop w:val="0"/>
          <w:marBottom w:val="0"/>
          <w:divBdr>
            <w:top w:val="none" w:sz="0" w:space="0" w:color="auto"/>
            <w:left w:val="none" w:sz="0" w:space="0" w:color="auto"/>
            <w:bottom w:val="none" w:sz="0" w:space="0" w:color="auto"/>
            <w:right w:val="none" w:sz="0" w:space="0" w:color="auto"/>
          </w:divBdr>
        </w:div>
        <w:div w:id="1760835152">
          <w:marLeft w:val="0"/>
          <w:marRight w:val="0"/>
          <w:marTop w:val="0"/>
          <w:marBottom w:val="0"/>
          <w:divBdr>
            <w:top w:val="none" w:sz="0" w:space="0" w:color="auto"/>
            <w:left w:val="none" w:sz="0" w:space="0" w:color="auto"/>
            <w:bottom w:val="none" w:sz="0" w:space="0" w:color="auto"/>
            <w:right w:val="none" w:sz="0" w:space="0" w:color="auto"/>
          </w:divBdr>
        </w:div>
        <w:div w:id="651182768">
          <w:marLeft w:val="0"/>
          <w:marRight w:val="0"/>
          <w:marTop w:val="0"/>
          <w:marBottom w:val="0"/>
          <w:divBdr>
            <w:top w:val="none" w:sz="0" w:space="0" w:color="auto"/>
            <w:left w:val="none" w:sz="0" w:space="0" w:color="auto"/>
            <w:bottom w:val="none" w:sz="0" w:space="0" w:color="auto"/>
            <w:right w:val="none" w:sz="0" w:space="0" w:color="auto"/>
          </w:divBdr>
        </w:div>
        <w:div w:id="1730111879">
          <w:marLeft w:val="0"/>
          <w:marRight w:val="0"/>
          <w:marTop w:val="0"/>
          <w:marBottom w:val="0"/>
          <w:divBdr>
            <w:top w:val="none" w:sz="0" w:space="0" w:color="auto"/>
            <w:left w:val="none" w:sz="0" w:space="0" w:color="auto"/>
            <w:bottom w:val="none" w:sz="0" w:space="0" w:color="auto"/>
            <w:right w:val="none" w:sz="0" w:space="0" w:color="auto"/>
          </w:divBdr>
        </w:div>
        <w:div w:id="60640836">
          <w:marLeft w:val="0"/>
          <w:marRight w:val="0"/>
          <w:marTop w:val="0"/>
          <w:marBottom w:val="0"/>
          <w:divBdr>
            <w:top w:val="none" w:sz="0" w:space="0" w:color="auto"/>
            <w:left w:val="none" w:sz="0" w:space="0" w:color="auto"/>
            <w:bottom w:val="none" w:sz="0" w:space="0" w:color="auto"/>
            <w:right w:val="none" w:sz="0" w:space="0" w:color="auto"/>
          </w:divBdr>
        </w:div>
        <w:div w:id="655843269">
          <w:marLeft w:val="0"/>
          <w:marRight w:val="0"/>
          <w:marTop w:val="0"/>
          <w:marBottom w:val="0"/>
          <w:divBdr>
            <w:top w:val="none" w:sz="0" w:space="0" w:color="auto"/>
            <w:left w:val="none" w:sz="0" w:space="0" w:color="auto"/>
            <w:bottom w:val="none" w:sz="0" w:space="0" w:color="auto"/>
            <w:right w:val="none" w:sz="0" w:space="0" w:color="auto"/>
          </w:divBdr>
        </w:div>
        <w:div w:id="441344242">
          <w:marLeft w:val="0"/>
          <w:marRight w:val="0"/>
          <w:marTop w:val="0"/>
          <w:marBottom w:val="0"/>
          <w:divBdr>
            <w:top w:val="none" w:sz="0" w:space="0" w:color="auto"/>
            <w:left w:val="none" w:sz="0" w:space="0" w:color="auto"/>
            <w:bottom w:val="none" w:sz="0" w:space="0" w:color="auto"/>
            <w:right w:val="none" w:sz="0" w:space="0" w:color="auto"/>
          </w:divBdr>
        </w:div>
        <w:div w:id="1159884440">
          <w:marLeft w:val="0"/>
          <w:marRight w:val="0"/>
          <w:marTop w:val="0"/>
          <w:marBottom w:val="0"/>
          <w:divBdr>
            <w:top w:val="none" w:sz="0" w:space="0" w:color="auto"/>
            <w:left w:val="none" w:sz="0" w:space="0" w:color="auto"/>
            <w:bottom w:val="none" w:sz="0" w:space="0" w:color="auto"/>
            <w:right w:val="none" w:sz="0" w:space="0" w:color="auto"/>
          </w:divBdr>
        </w:div>
        <w:div w:id="1798140761">
          <w:marLeft w:val="0"/>
          <w:marRight w:val="0"/>
          <w:marTop w:val="0"/>
          <w:marBottom w:val="0"/>
          <w:divBdr>
            <w:top w:val="none" w:sz="0" w:space="0" w:color="auto"/>
            <w:left w:val="none" w:sz="0" w:space="0" w:color="auto"/>
            <w:bottom w:val="none" w:sz="0" w:space="0" w:color="auto"/>
            <w:right w:val="none" w:sz="0" w:space="0" w:color="auto"/>
          </w:divBdr>
        </w:div>
        <w:div w:id="957756040">
          <w:marLeft w:val="0"/>
          <w:marRight w:val="0"/>
          <w:marTop w:val="0"/>
          <w:marBottom w:val="0"/>
          <w:divBdr>
            <w:top w:val="none" w:sz="0" w:space="0" w:color="auto"/>
            <w:left w:val="none" w:sz="0" w:space="0" w:color="auto"/>
            <w:bottom w:val="none" w:sz="0" w:space="0" w:color="auto"/>
            <w:right w:val="none" w:sz="0" w:space="0" w:color="auto"/>
          </w:divBdr>
        </w:div>
        <w:div w:id="273371332">
          <w:marLeft w:val="0"/>
          <w:marRight w:val="0"/>
          <w:marTop w:val="0"/>
          <w:marBottom w:val="0"/>
          <w:divBdr>
            <w:top w:val="none" w:sz="0" w:space="0" w:color="auto"/>
            <w:left w:val="none" w:sz="0" w:space="0" w:color="auto"/>
            <w:bottom w:val="none" w:sz="0" w:space="0" w:color="auto"/>
            <w:right w:val="none" w:sz="0" w:space="0" w:color="auto"/>
          </w:divBdr>
        </w:div>
        <w:div w:id="2135753537">
          <w:marLeft w:val="0"/>
          <w:marRight w:val="0"/>
          <w:marTop w:val="0"/>
          <w:marBottom w:val="0"/>
          <w:divBdr>
            <w:top w:val="none" w:sz="0" w:space="0" w:color="auto"/>
            <w:left w:val="none" w:sz="0" w:space="0" w:color="auto"/>
            <w:bottom w:val="none" w:sz="0" w:space="0" w:color="auto"/>
            <w:right w:val="none" w:sz="0" w:space="0" w:color="auto"/>
          </w:divBdr>
        </w:div>
        <w:div w:id="1882286273">
          <w:marLeft w:val="0"/>
          <w:marRight w:val="0"/>
          <w:marTop w:val="0"/>
          <w:marBottom w:val="0"/>
          <w:divBdr>
            <w:top w:val="none" w:sz="0" w:space="0" w:color="auto"/>
            <w:left w:val="none" w:sz="0" w:space="0" w:color="auto"/>
            <w:bottom w:val="none" w:sz="0" w:space="0" w:color="auto"/>
            <w:right w:val="none" w:sz="0" w:space="0" w:color="auto"/>
          </w:divBdr>
        </w:div>
        <w:div w:id="1623220584">
          <w:marLeft w:val="0"/>
          <w:marRight w:val="0"/>
          <w:marTop w:val="0"/>
          <w:marBottom w:val="0"/>
          <w:divBdr>
            <w:top w:val="none" w:sz="0" w:space="0" w:color="auto"/>
            <w:left w:val="none" w:sz="0" w:space="0" w:color="auto"/>
            <w:bottom w:val="none" w:sz="0" w:space="0" w:color="auto"/>
            <w:right w:val="none" w:sz="0" w:space="0" w:color="auto"/>
          </w:divBdr>
        </w:div>
        <w:div w:id="1980959458">
          <w:marLeft w:val="0"/>
          <w:marRight w:val="0"/>
          <w:marTop w:val="0"/>
          <w:marBottom w:val="0"/>
          <w:divBdr>
            <w:top w:val="none" w:sz="0" w:space="0" w:color="auto"/>
            <w:left w:val="none" w:sz="0" w:space="0" w:color="auto"/>
            <w:bottom w:val="none" w:sz="0" w:space="0" w:color="auto"/>
            <w:right w:val="none" w:sz="0" w:space="0" w:color="auto"/>
          </w:divBdr>
        </w:div>
        <w:div w:id="102504730">
          <w:marLeft w:val="0"/>
          <w:marRight w:val="0"/>
          <w:marTop w:val="0"/>
          <w:marBottom w:val="0"/>
          <w:divBdr>
            <w:top w:val="none" w:sz="0" w:space="0" w:color="auto"/>
            <w:left w:val="none" w:sz="0" w:space="0" w:color="auto"/>
            <w:bottom w:val="none" w:sz="0" w:space="0" w:color="auto"/>
            <w:right w:val="none" w:sz="0" w:space="0" w:color="auto"/>
          </w:divBdr>
        </w:div>
        <w:div w:id="1996685715">
          <w:marLeft w:val="0"/>
          <w:marRight w:val="0"/>
          <w:marTop w:val="0"/>
          <w:marBottom w:val="0"/>
          <w:divBdr>
            <w:top w:val="none" w:sz="0" w:space="0" w:color="auto"/>
            <w:left w:val="none" w:sz="0" w:space="0" w:color="auto"/>
            <w:bottom w:val="none" w:sz="0" w:space="0" w:color="auto"/>
            <w:right w:val="none" w:sz="0" w:space="0" w:color="auto"/>
          </w:divBdr>
        </w:div>
        <w:div w:id="1810900834">
          <w:marLeft w:val="0"/>
          <w:marRight w:val="0"/>
          <w:marTop w:val="0"/>
          <w:marBottom w:val="0"/>
          <w:divBdr>
            <w:top w:val="none" w:sz="0" w:space="0" w:color="auto"/>
            <w:left w:val="none" w:sz="0" w:space="0" w:color="auto"/>
            <w:bottom w:val="none" w:sz="0" w:space="0" w:color="auto"/>
            <w:right w:val="none" w:sz="0" w:space="0" w:color="auto"/>
          </w:divBdr>
        </w:div>
        <w:div w:id="1812595840">
          <w:marLeft w:val="0"/>
          <w:marRight w:val="0"/>
          <w:marTop w:val="0"/>
          <w:marBottom w:val="0"/>
          <w:divBdr>
            <w:top w:val="none" w:sz="0" w:space="0" w:color="auto"/>
            <w:left w:val="none" w:sz="0" w:space="0" w:color="auto"/>
            <w:bottom w:val="none" w:sz="0" w:space="0" w:color="auto"/>
            <w:right w:val="none" w:sz="0" w:space="0" w:color="auto"/>
          </w:divBdr>
        </w:div>
        <w:div w:id="534579892">
          <w:marLeft w:val="0"/>
          <w:marRight w:val="0"/>
          <w:marTop w:val="0"/>
          <w:marBottom w:val="0"/>
          <w:divBdr>
            <w:top w:val="none" w:sz="0" w:space="0" w:color="auto"/>
            <w:left w:val="none" w:sz="0" w:space="0" w:color="auto"/>
            <w:bottom w:val="none" w:sz="0" w:space="0" w:color="auto"/>
            <w:right w:val="none" w:sz="0" w:space="0" w:color="auto"/>
          </w:divBdr>
        </w:div>
        <w:div w:id="450561451">
          <w:marLeft w:val="0"/>
          <w:marRight w:val="0"/>
          <w:marTop w:val="0"/>
          <w:marBottom w:val="0"/>
          <w:divBdr>
            <w:top w:val="none" w:sz="0" w:space="0" w:color="auto"/>
            <w:left w:val="none" w:sz="0" w:space="0" w:color="auto"/>
            <w:bottom w:val="none" w:sz="0" w:space="0" w:color="auto"/>
            <w:right w:val="none" w:sz="0" w:space="0" w:color="auto"/>
          </w:divBdr>
        </w:div>
        <w:div w:id="1923373127">
          <w:marLeft w:val="0"/>
          <w:marRight w:val="0"/>
          <w:marTop w:val="0"/>
          <w:marBottom w:val="0"/>
          <w:divBdr>
            <w:top w:val="none" w:sz="0" w:space="0" w:color="auto"/>
            <w:left w:val="none" w:sz="0" w:space="0" w:color="auto"/>
            <w:bottom w:val="none" w:sz="0" w:space="0" w:color="auto"/>
            <w:right w:val="none" w:sz="0" w:space="0" w:color="auto"/>
          </w:divBdr>
        </w:div>
        <w:div w:id="987439784">
          <w:marLeft w:val="0"/>
          <w:marRight w:val="0"/>
          <w:marTop w:val="0"/>
          <w:marBottom w:val="0"/>
          <w:divBdr>
            <w:top w:val="none" w:sz="0" w:space="0" w:color="auto"/>
            <w:left w:val="none" w:sz="0" w:space="0" w:color="auto"/>
            <w:bottom w:val="none" w:sz="0" w:space="0" w:color="auto"/>
            <w:right w:val="none" w:sz="0" w:space="0" w:color="auto"/>
          </w:divBdr>
        </w:div>
        <w:div w:id="181749525">
          <w:marLeft w:val="0"/>
          <w:marRight w:val="0"/>
          <w:marTop w:val="0"/>
          <w:marBottom w:val="0"/>
          <w:divBdr>
            <w:top w:val="none" w:sz="0" w:space="0" w:color="auto"/>
            <w:left w:val="none" w:sz="0" w:space="0" w:color="auto"/>
            <w:bottom w:val="none" w:sz="0" w:space="0" w:color="auto"/>
            <w:right w:val="none" w:sz="0" w:space="0" w:color="auto"/>
          </w:divBdr>
        </w:div>
        <w:div w:id="265356066">
          <w:marLeft w:val="0"/>
          <w:marRight w:val="0"/>
          <w:marTop w:val="0"/>
          <w:marBottom w:val="0"/>
          <w:divBdr>
            <w:top w:val="none" w:sz="0" w:space="0" w:color="auto"/>
            <w:left w:val="none" w:sz="0" w:space="0" w:color="auto"/>
            <w:bottom w:val="none" w:sz="0" w:space="0" w:color="auto"/>
            <w:right w:val="none" w:sz="0" w:space="0" w:color="auto"/>
          </w:divBdr>
        </w:div>
        <w:div w:id="1056514855">
          <w:marLeft w:val="0"/>
          <w:marRight w:val="0"/>
          <w:marTop w:val="0"/>
          <w:marBottom w:val="0"/>
          <w:divBdr>
            <w:top w:val="none" w:sz="0" w:space="0" w:color="auto"/>
            <w:left w:val="none" w:sz="0" w:space="0" w:color="auto"/>
            <w:bottom w:val="none" w:sz="0" w:space="0" w:color="auto"/>
            <w:right w:val="none" w:sz="0" w:space="0" w:color="auto"/>
          </w:divBdr>
        </w:div>
        <w:div w:id="638538323">
          <w:marLeft w:val="0"/>
          <w:marRight w:val="0"/>
          <w:marTop w:val="0"/>
          <w:marBottom w:val="0"/>
          <w:divBdr>
            <w:top w:val="none" w:sz="0" w:space="0" w:color="auto"/>
            <w:left w:val="none" w:sz="0" w:space="0" w:color="auto"/>
            <w:bottom w:val="none" w:sz="0" w:space="0" w:color="auto"/>
            <w:right w:val="none" w:sz="0" w:space="0" w:color="auto"/>
          </w:divBdr>
        </w:div>
        <w:div w:id="1777673467">
          <w:marLeft w:val="0"/>
          <w:marRight w:val="0"/>
          <w:marTop w:val="0"/>
          <w:marBottom w:val="0"/>
          <w:divBdr>
            <w:top w:val="none" w:sz="0" w:space="0" w:color="auto"/>
            <w:left w:val="none" w:sz="0" w:space="0" w:color="auto"/>
            <w:bottom w:val="none" w:sz="0" w:space="0" w:color="auto"/>
            <w:right w:val="none" w:sz="0" w:space="0" w:color="auto"/>
          </w:divBdr>
        </w:div>
        <w:div w:id="1091392652">
          <w:marLeft w:val="0"/>
          <w:marRight w:val="0"/>
          <w:marTop w:val="0"/>
          <w:marBottom w:val="0"/>
          <w:divBdr>
            <w:top w:val="none" w:sz="0" w:space="0" w:color="auto"/>
            <w:left w:val="none" w:sz="0" w:space="0" w:color="auto"/>
            <w:bottom w:val="none" w:sz="0" w:space="0" w:color="auto"/>
            <w:right w:val="none" w:sz="0" w:space="0" w:color="auto"/>
          </w:divBdr>
        </w:div>
        <w:div w:id="681199269">
          <w:marLeft w:val="0"/>
          <w:marRight w:val="0"/>
          <w:marTop w:val="0"/>
          <w:marBottom w:val="0"/>
          <w:divBdr>
            <w:top w:val="none" w:sz="0" w:space="0" w:color="auto"/>
            <w:left w:val="none" w:sz="0" w:space="0" w:color="auto"/>
            <w:bottom w:val="none" w:sz="0" w:space="0" w:color="auto"/>
            <w:right w:val="none" w:sz="0" w:space="0" w:color="auto"/>
          </w:divBdr>
        </w:div>
        <w:div w:id="1326931061">
          <w:marLeft w:val="0"/>
          <w:marRight w:val="0"/>
          <w:marTop w:val="0"/>
          <w:marBottom w:val="0"/>
          <w:divBdr>
            <w:top w:val="none" w:sz="0" w:space="0" w:color="auto"/>
            <w:left w:val="none" w:sz="0" w:space="0" w:color="auto"/>
            <w:bottom w:val="none" w:sz="0" w:space="0" w:color="auto"/>
            <w:right w:val="none" w:sz="0" w:space="0" w:color="auto"/>
          </w:divBdr>
        </w:div>
        <w:div w:id="626667387">
          <w:marLeft w:val="0"/>
          <w:marRight w:val="0"/>
          <w:marTop w:val="0"/>
          <w:marBottom w:val="0"/>
          <w:divBdr>
            <w:top w:val="none" w:sz="0" w:space="0" w:color="auto"/>
            <w:left w:val="none" w:sz="0" w:space="0" w:color="auto"/>
            <w:bottom w:val="none" w:sz="0" w:space="0" w:color="auto"/>
            <w:right w:val="none" w:sz="0" w:space="0" w:color="auto"/>
          </w:divBdr>
        </w:div>
        <w:div w:id="605159625">
          <w:marLeft w:val="0"/>
          <w:marRight w:val="0"/>
          <w:marTop w:val="0"/>
          <w:marBottom w:val="0"/>
          <w:divBdr>
            <w:top w:val="none" w:sz="0" w:space="0" w:color="auto"/>
            <w:left w:val="none" w:sz="0" w:space="0" w:color="auto"/>
            <w:bottom w:val="none" w:sz="0" w:space="0" w:color="auto"/>
            <w:right w:val="none" w:sz="0" w:space="0" w:color="auto"/>
          </w:divBdr>
        </w:div>
        <w:div w:id="919606031">
          <w:marLeft w:val="0"/>
          <w:marRight w:val="0"/>
          <w:marTop w:val="0"/>
          <w:marBottom w:val="0"/>
          <w:divBdr>
            <w:top w:val="none" w:sz="0" w:space="0" w:color="auto"/>
            <w:left w:val="none" w:sz="0" w:space="0" w:color="auto"/>
            <w:bottom w:val="none" w:sz="0" w:space="0" w:color="auto"/>
            <w:right w:val="none" w:sz="0" w:space="0" w:color="auto"/>
          </w:divBdr>
        </w:div>
        <w:div w:id="1020620922">
          <w:marLeft w:val="0"/>
          <w:marRight w:val="0"/>
          <w:marTop w:val="0"/>
          <w:marBottom w:val="0"/>
          <w:divBdr>
            <w:top w:val="none" w:sz="0" w:space="0" w:color="auto"/>
            <w:left w:val="none" w:sz="0" w:space="0" w:color="auto"/>
            <w:bottom w:val="none" w:sz="0" w:space="0" w:color="auto"/>
            <w:right w:val="none" w:sz="0" w:space="0" w:color="auto"/>
          </w:divBdr>
        </w:div>
        <w:div w:id="534390967">
          <w:marLeft w:val="0"/>
          <w:marRight w:val="0"/>
          <w:marTop w:val="0"/>
          <w:marBottom w:val="0"/>
          <w:divBdr>
            <w:top w:val="none" w:sz="0" w:space="0" w:color="auto"/>
            <w:left w:val="none" w:sz="0" w:space="0" w:color="auto"/>
            <w:bottom w:val="none" w:sz="0" w:space="0" w:color="auto"/>
            <w:right w:val="none" w:sz="0" w:space="0" w:color="auto"/>
          </w:divBdr>
        </w:div>
        <w:div w:id="191235789">
          <w:marLeft w:val="0"/>
          <w:marRight w:val="0"/>
          <w:marTop w:val="0"/>
          <w:marBottom w:val="0"/>
          <w:divBdr>
            <w:top w:val="none" w:sz="0" w:space="0" w:color="auto"/>
            <w:left w:val="none" w:sz="0" w:space="0" w:color="auto"/>
            <w:bottom w:val="none" w:sz="0" w:space="0" w:color="auto"/>
            <w:right w:val="none" w:sz="0" w:space="0" w:color="auto"/>
          </w:divBdr>
        </w:div>
        <w:div w:id="1841509404">
          <w:marLeft w:val="0"/>
          <w:marRight w:val="0"/>
          <w:marTop w:val="0"/>
          <w:marBottom w:val="0"/>
          <w:divBdr>
            <w:top w:val="none" w:sz="0" w:space="0" w:color="auto"/>
            <w:left w:val="none" w:sz="0" w:space="0" w:color="auto"/>
            <w:bottom w:val="none" w:sz="0" w:space="0" w:color="auto"/>
            <w:right w:val="none" w:sz="0" w:space="0" w:color="auto"/>
          </w:divBdr>
        </w:div>
        <w:div w:id="1047144183">
          <w:marLeft w:val="0"/>
          <w:marRight w:val="0"/>
          <w:marTop w:val="0"/>
          <w:marBottom w:val="0"/>
          <w:divBdr>
            <w:top w:val="none" w:sz="0" w:space="0" w:color="auto"/>
            <w:left w:val="none" w:sz="0" w:space="0" w:color="auto"/>
            <w:bottom w:val="none" w:sz="0" w:space="0" w:color="auto"/>
            <w:right w:val="none" w:sz="0" w:space="0" w:color="auto"/>
          </w:divBdr>
        </w:div>
        <w:div w:id="1878855298">
          <w:marLeft w:val="0"/>
          <w:marRight w:val="0"/>
          <w:marTop w:val="0"/>
          <w:marBottom w:val="0"/>
          <w:divBdr>
            <w:top w:val="none" w:sz="0" w:space="0" w:color="auto"/>
            <w:left w:val="none" w:sz="0" w:space="0" w:color="auto"/>
            <w:bottom w:val="none" w:sz="0" w:space="0" w:color="auto"/>
            <w:right w:val="none" w:sz="0" w:space="0" w:color="auto"/>
          </w:divBdr>
        </w:div>
        <w:div w:id="496114724">
          <w:marLeft w:val="0"/>
          <w:marRight w:val="0"/>
          <w:marTop w:val="0"/>
          <w:marBottom w:val="0"/>
          <w:divBdr>
            <w:top w:val="none" w:sz="0" w:space="0" w:color="auto"/>
            <w:left w:val="none" w:sz="0" w:space="0" w:color="auto"/>
            <w:bottom w:val="none" w:sz="0" w:space="0" w:color="auto"/>
            <w:right w:val="none" w:sz="0" w:space="0" w:color="auto"/>
          </w:divBdr>
        </w:div>
        <w:div w:id="867838415">
          <w:marLeft w:val="0"/>
          <w:marRight w:val="0"/>
          <w:marTop w:val="0"/>
          <w:marBottom w:val="0"/>
          <w:divBdr>
            <w:top w:val="none" w:sz="0" w:space="0" w:color="auto"/>
            <w:left w:val="none" w:sz="0" w:space="0" w:color="auto"/>
            <w:bottom w:val="none" w:sz="0" w:space="0" w:color="auto"/>
            <w:right w:val="none" w:sz="0" w:space="0" w:color="auto"/>
          </w:divBdr>
        </w:div>
        <w:div w:id="2070689843">
          <w:marLeft w:val="0"/>
          <w:marRight w:val="0"/>
          <w:marTop w:val="0"/>
          <w:marBottom w:val="0"/>
          <w:divBdr>
            <w:top w:val="none" w:sz="0" w:space="0" w:color="auto"/>
            <w:left w:val="none" w:sz="0" w:space="0" w:color="auto"/>
            <w:bottom w:val="none" w:sz="0" w:space="0" w:color="auto"/>
            <w:right w:val="none" w:sz="0" w:space="0" w:color="auto"/>
          </w:divBdr>
        </w:div>
        <w:div w:id="483398670">
          <w:marLeft w:val="0"/>
          <w:marRight w:val="0"/>
          <w:marTop w:val="0"/>
          <w:marBottom w:val="0"/>
          <w:divBdr>
            <w:top w:val="none" w:sz="0" w:space="0" w:color="auto"/>
            <w:left w:val="none" w:sz="0" w:space="0" w:color="auto"/>
            <w:bottom w:val="none" w:sz="0" w:space="0" w:color="auto"/>
            <w:right w:val="none" w:sz="0" w:space="0" w:color="auto"/>
          </w:divBdr>
        </w:div>
        <w:div w:id="1870482242">
          <w:marLeft w:val="0"/>
          <w:marRight w:val="0"/>
          <w:marTop w:val="0"/>
          <w:marBottom w:val="0"/>
          <w:divBdr>
            <w:top w:val="none" w:sz="0" w:space="0" w:color="auto"/>
            <w:left w:val="none" w:sz="0" w:space="0" w:color="auto"/>
            <w:bottom w:val="none" w:sz="0" w:space="0" w:color="auto"/>
            <w:right w:val="none" w:sz="0" w:space="0" w:color="auto"/>
          </w:divBdr>
        </w:div>
        <w:div w:id="844976059">
          <w:marLeft w:val="0"/>
          <w:marRight w:val="0"/>
          <w:marTop w:val="0"/>
          <w:marBottom w:val="0"/>
          <w:divBdr>
            <w:top w:val="none" w:sz="0" w:space="0" w:color="auto"/>
            <w:left w:val="none" w:sz="0" w:space="0" w:color="auto"/>
            <w:bottom w:val="none" w:sz="0" w:space="0" w:color="auto"/>
            <w:right w:val="none" w:sz="0" w:space="0" w:color="auto"/>
          </w:divBdr>
        </w:div>
        <w:div w:id="1553692158">
          <w:marLeft w:val="0"/>
          <w:marRight w:val="0"/>
          <w:marTop w:val="0"/>
          <w:marBottom w:val="0"/>
          <w:divBdr>
            <w:top w:val="none" w:sz="0" w:space="0" w:color="auto"/>
            <w:left w:val="none" w:sz="0" w:space="0" w:color="auto"/>
            <w:bottom w:val="none" w:sz="0" w:space="0" w:color="auto"/>
            <w:right w:val="none" w:sz="0" w:space="0" w:color="auto"/>
          </w:divBdr>
        </w:div>
        <w:div w:id="1209025257">
          <w:marLeft w:val="0"/>
          <w:marRight w:val="0"/>
          <w:marTop w:val="0"/>
          <w:marBottom w:val="0"/>
          <w:divBdr>
            <w:top w:val="none" w:sz="0" w:space="0" w:color="auto"/>
            <w:left w:val="none" w:sz="0" w:space="0" w:color="auto"/>
            <w:bottom w:val="none" w:sz="0" w:space="0" w:color="auto"/>
            <w:right w:val="none" w:sz="0" w:space="0" w:color="auto"/>
          </w:divBdr>
        </w:div>
        <w:div w:id="1916161503">
          <w:marLeft w:val="0"/>
          <w:marRight w:val="0"/>
          <w:marTop w:val="0"/>
          <w:marBottom w:val="0"/>
          <w:divBdr>
            <w:top w:val="none" w:sz="0" w:space="0" w:color="auto"/>
            <w:left w:val="none" w:sz="0" w:space="0" w:color="auto"/>
            <w:bottom w:val="none" w:sz="0" w:space="0" w:color="auto"/>
            <w:right w:val="none" w:sz="0" w:space="0" w:color="auto"/>
          </w:divBdr>
        </w:div>
        <w:div w:id="87237080">
          <w:marLeft w:val="0"/>
          <w:marRight w:val="0"/>
          <w:marTop w:val="0"/>
          <w:marBottom w:val="0"/>
          <w:divBdr>
            <w:top w:val="none" w:sz="0" w:space="0" w:color="auto"/>
            <w:left w:val="none" w:sz="0" w:space="0" w:color="auto"/>
            <w:bottom w:val="none" w:sz="0" w:space="0" w:color="auto"/>
            <w:right w:val="none" w:sz="0" w:space="0" w:color="auto"/>
          </w:divBdr>
        </w:div>
        <w:div w:id="1697152799">
          <w:marLeft w:val="0"/>
          <w:marRight w:val="0"/>
          <w:marTop w:val="0"/>
          <w:marBottom w:val="0"/>
          <w:divBdr>
            <w:top w:val="none" w:sz="0" w:space="0" w:color="auto"/>
            <w:left w:val="none" w:sz="0" w:space="0" w:color="auto"/>
            <w:bottom w:val="none" w:sz="0" w:space="0" w:color="auto"/>
            <w:right w:val="none" w:sz="0" w:space="0" w:color="auto"/>
          </w:divBdr>
        </w:div>
        <w:div w:id="1858076792">
          <w:marLeft w:val="0"/>
          <w:marRight w:val="0"/>
          <w:marTop w:val="0"/>
          <w:marBottom w:val="0"/>
          <w:divBdr>
            <w:top w:val="none" w:sz="0" w:space="0" w:color="auto"/>
            <w:left w:val="none" w:sz="0" w:space="0" w:color="auto"/>
            <w:bottom w:val="none" w:sz="0" w:space="0" w:color="auto"/>
            <w:right w:val="none" w:sz="0" w:space="0" w:color="auto"/>
          </w:divBdr>
        </w:div>
        <w:div w:id="234559982">
          <w:marLeft w:val="0"/>
          <w:marRight w:val="0"/>
          <w:marTop w:val="0"/>
          <w:marBottom w:val="0"/>
          <w:divBdr>
            <w:top w:val="none" w:sz="0" w:space="0" w:color="auto"/>
            <w:left w:val="none" w:sz="0" w:space="0" w:color="auto"/>
            <w:bottom w:val="none" w:sz="0" w:space="0" w:color="auto"/>
            <w:right w:val="none" w:sz="0" w:space="0" w:color="auto"/>
          </w:divBdr>
        </w:div>
        <w:div w:id="1383093045">
          <w:marLeft w:val="0"/>
          <w:marRight w:val="0"/>
          <w:marTop w:val="0"/>
          <w:marBottom w:val="0"/>
          <w:divBdr>
            <w:top w:val="none" w:sz="0" w:space="0" w:color="auto"/>
            <w:left w:val="none" w:sz="0" w:space="0" w:color="auto"/>
            <w:bottom w:val="none" w:sz="0" w:space="0" w:color="auto"/>
            <w:right w:val="none" w:sz="0" w:space="0" w:color="auto"/>
          </w:divBdr>
        </w:div>
        <w:div w:id="1100032225">
          <w:marLeft w:val="0"/>
          <w:marRight w:val="0"/>
          <w:marTop w:val="0"/>
          <w:marBottom w:val="0"/>
          <w:divBdr>
            <w:top w:val="none" w:sz="0" w:space="0" w:color="auto"/>
            <w:left w:val="none" w:sz="0" w:space="0" w:color="auto"/>
            <w:bottom w:val="none" w:sz="0" w:space="0" w:color="auto"/>
            <w:right w:val="none" w:sz="0" w:space="0" w:color="auto"/>
          </w:divBdr>
        </w:div>
        <w:div w:id="1566644566">
          <w:marLeft w:val="0"/>
          <w:marRight w:val="0"/>
          <w:marTop w:val="0"/>
          <w:marBottom w:val="0"/>
          <w:divBdr>
            <w:top w:val="none" w:sz="0" w:space="0" w:color="auto"/>
            <w:left w:val="none" w:sz="0" w:space="0" w:color="auto"/>
            <w:bottom w:val="none" w:sz="0" w:space="0" w:color="auto"/>
            <w:right w:val="none" w:sz="0" w:space="0" w:color="auto"/>
          </w:divBdr>
        </w:div>
        <w:div w:id="31662303">
          <w:marLeft w:val="0"/>
          <w:marRight w:val="0"/>
          <w:marTop w:val="0"/>
          <w:marBottom w:val="0"/>
          <w:divBdr>
            <w:top w:val="none" w:sz="0" w:space="0" w:color="auto"/>
            <w:left w:val="none" w:sz="0" w:space="0" w:color="auto"/>
            <w:bottom w:val="none" w:sz="0" w:space="0" w:color="auto"/>
            <w:right w:val="none" w:sz="0" w:space="0" w:color="auto"/>
          </w:divBdr>
        </w:div>
        <w:div w:id="646545235">
          <w:marLeft w:val="0"/>
          <w:marRight w:val="0"/>
          <w:marTop w:val="0"/>
          <w:marBottom w:val="0"/>
          <w:divBdr>
            <w:top w:val="none" w:sz="0" w:space="0" w:color="auto"/>
            <w:left w:val="none" w:sz="0" w:space="0" w:color="auto"/>
            <w:bottom w:val="none" w:sz="0" w:space="0" w:color="auto"/>
            <w:right w:val="none" w:sz="0" w:space="0" w:color="auto"/>
          </w:divBdr>
        </w:div>
        <w:div w:id="1389498605">
          <w:marLeft w:val="0"/>
          <w:marRight w:val="0"/>
          <w:marTop w:val="0"/>
          <w:marBottom w:val="0"/>
          <w:divBdr>
            <w:top w:val="none" w:sz="0" w:space="0" w:color="auto"/>
            <w:left w:val="none" w:sz="0" w:space="0" w:color="auto"/>
            <w:bottom w:val="none" w:sz="0" w:space="0" w:color="auto"/>
            <w:right w:val="none" w:sz="0" w:space="0" w:color="auto"/>
          </w:divBdr>
        </w:div>
        <w:div w:id="1502350120">
          <w:marLeft w:val="0"/>
          <w:marRight w:val="0"/>
          <w:marTop w:val="0"/>
          <w:marBottom w:val="0"/>
          <w:divBdr>
            <w:top w:val="none" w:sz="0" w:space="0" w:color="auto"/>
            <w:left w:val="none" w:sz="0" w:space="0" w:color="auto"/>
            <w:bottom w:val="none" w:sz="0" w:space="0" w:color="auto"/>
            <w:right w:val="none" w:sz="0" w:space="0" w:color="auto"/>
          </w:divBdr>
        </w:div>
        <w:div w:id="2103717921">
          <w:marLeft w:val="0"/>
          <w:marRight w:val="0"/>
          <w:marTop w:val="0"/>
          <w:marBottom w:val="0"/>
          <w:divBdr>
            <w:top w:val="none" w:sz="0" w:space="0" w:color="auto"/>
            <w:left w:val="none" w:sz="0" w:space="0" w:color="auto"/>
            <w:bottom w:val="none" w:sz="0" w:space="0" w:color="auto"/>
            <w:right w:val="none" w:sz="0" w:space="0" w:color="auto"/>
          </w:divBdr>
        </w:div>
        <w:div w:id="106630595">
          <w:marLeft w:val="0"/>
          <w:marRight w:val="0"/>
          <w:marTop w:val="0"/>
          <w:marBottom w:val="0"/>
          <w:divBdr>
            <w:top w:val="none" w:sz="0" w:space="0" w:color="auto"/>
            <w:left w:val="none" w:sz="0" w:space="0" w:color="auto"/>
            <w:bottom w:val="none" w:sz="0" w:space="0" w:color="auto"/>
            <w:right w:val="none" w:sz="0" w:space="0" w:color="auto"/>
          </w:divBdr>
        </w:div>
        <w:div w:id="1945383519">
          <w:marLeft w:val="0"/>
          <w:marRight w:val="0"/>
          <w:marTop w:val="0"/>
          <w:marBottom w:val="0"/>
          <w:divBdr>
            <w:top w:val="none" w:sz="0" w:space="0" w:color="auto"/>
            <w:left w:val="none" w:sz="0" w:space="0" w:color="auto"/>
            <w:bottom w:val="none" w:sz="0" w:space="0" w:color="auto"/>
            <w:right w:val="none" w:sz="0" w:space="0" w:color="auto"/>
          </w:divBdr>
        </w:div>
        <w:div w:id="27490996">
          <w:marLeft w:val="0"/>
          <w:marRight w:val="0"/>
          <w:marTop w:val="0"/>
          <w:marBottom w:val="0"/>
          <w:divBdr>
            <w:top w:val="none" w:sz="0" w:space="0" w:color="auto"/>
            <w:left w:val="none" w:sz="0" w:space="0" w:color="auto"/>
            <w:bottom w:val="none" w:sz="0" w:space="0" w:color="auto"/>
            <w:right w:val="none" w:sz="0" w:space="0" w:color="auto"/>
          </w:divBdr>
        </w:div>
        <w:div w:id="1785879185">
          <w:marLeft w:val="0"/>
          <w:marRight w:val="0"/>
          <w:marTop w:val="0"/>
          <w:marBottom w:val="0"/>
          <w:divBdr>
            <w:top w:val="none" w:sz="0" w:space="0" w:color="auto"/>
            <w:left w:val="none" w:sz="0" w:space="0" w:color="auto"/>
            <w:bottom w:val="none" w:sz="0" w:space="0" w:color="auto"/>
            <w:right w:val="none" w:sz="0" w:space="0" w:color="auto"/>
          </w:divBdr>
        </w:div>
        <w:div w:id="2089305052">
          <w:marLeft w:val="0"/>
          <w:marRight w:val="0"/>
          <w:marTop w:val="0"/>
          <w:marBottom w:val="0"/>
          <w:divBdr>
            <w:top w:val="none" w:sz="0" w:space="0" w:color="auto"/>
            <w:left w:val="none" w:sz="0" w:space="0" w:color="auto"/>
            <w:bottom w:val="none" w:sz="0" w:space="0" w:color="auto"/>
            <w:right w:val="none" w:sz="0" w:space="0" w:color="auto"/>
          </w:divBdr>
        </w:div>
        <w:div w:id="1628507295">
          <w:marLeft w:val="0"/>
          <w:marRight w:val="0"/>
          <w:marTop w:val="0"/>
          <w:marBottom w:val="0"/>
          <w:divBdr>
            <w:top w:val="none" w:sz="0" w:space="0" w:color="auto"/>
            <w:left w:val="none" w:sz="0" w:space="0" w:color="auto"/>
            <w:bottom w:val="none" w:sz="0" w:space="0" w:color="auto"/>
            <w:right w:val="none" w:sz="0" w:space="0" w:color="auto"/>
          </w:divBdr>
        </w:div>
        <w:div w:id="1135947803">
          <w:marLeft w:val="0"/>
          <w:marRight w:val="0"/>
          <w:marTop w:val="0"/>
          <w:marBottom w:val="0"/>
          <w:divBdr>
            <w:top w:val="none" w:sz="0" w:space="0" w:color="auto"/>
            <w:left w:val="none" w:sz="0" w:space="0" w:color="auto"/>
            <w:bottom w:val="none" w:sz="0" w:space="0" w:color="auto"/>
            <w:right w:val="none" w:sz="0" w:space="0" w:color="auto"/>
          </w:divBdr>
        </w:div>
        <w:div w:id="599142328">
          <w:marLeft w:val="0"/>
          <w:marRight w:val="0"/>
          <w:marTop w:val="0"/>
          <w:marBottom w:val="0"/>
          <w:divBdr>
            <w:top w:val="none" w:sz="0" w:space="0" w:color="auto"/>
            <w:left w:val="none" w:sz="0" w:space="0" w:color="auto"/>
            <w:bottom w:val="none" w:sz="0" w:space="0" w:color="auto"/>
            <w:right w:val="none" w:sz="0" w:space="0" w:color="auto"/>
          </w:divBdr>
        </w:div>
        <w:div w:id="1268077521">
          <w:marLeft w:val="0"/>
          <w:marRight w:val="0"/>
          <w:marTop w:val="0"/>
          <w:marBottom w:val="0"/>
          <w:divBdr>
            <w:top w:val="none" w:sz="0" w:space="0" w:color="auto"/>
            <w:left w:val="none" w:sz="0" w:space="0" w:color="auto"/>
            <w:bottom w:val="none" w:sz="0" w:space="0" w:color="auto"/>
            <w:right w:val="none" w:sz="0" w:space="0" w:color="auto"/>
          </w:divBdr>
        </w:div>
        <w:div w:id="718868890">
          <w:marLeft w:val="0"/>
          <w:marRight w:val="0"/>
          <w:marTop w:val="0"/>
          <w:marBottom w:val="0"/>
          <w:divBdr>
            <w:top w:val="none" w:sz="0" w:space="0" w:color="auto"/>
            <w:left w:val="none" w:sz="0" w:space="0" w:color="auto"/>
            <w:bottom w:val="none" w:sz="0" w:space="0" w:color="auto"/>
            <w:right w:val="none" w:sz="0" w:space="0" w:color="auto"/>
          </w:divBdr>
        </w:div>
        <w:div w:id="1230266258">
          <w:marLeft w:val="0"/>
          <w:marRight w:val="0"/>
          <w:marTop w:val="0"/>
          <w:marBottom w:val="0"/>
          <w:divBdr>
            <w:top w:val="none" w:sz="0" w:space="0" w:color="auto"/>
            <w:left w:val="none" w:sz="0" w:space="0" w:color="auto"/>
            <w:bottom w:val="none" w:sz="0" w:space="0" w:color="auto"/>
            <w:right w:val="none" w:sz="0" w:space="0" w:color="auto"/>
          </w:divBdr>
        </w:div>
        <w:div w:id="2003269568">
          <w:marLeft w:val="0"/>
          <w:marRight w:val="0"/>
          <w:marTop w:val="0"/>
          <w:marBottom w:val="0"/>
          <w:divBdr>
            <w:top w:val="none" w:sz="0" w:space="0" w:color="auto"/>
            <w:left w:val="none" w:sz="0" w:space="0" w:color="auto"/>
            <w:bottom w:val="none" w:sz="0" w:space="0" w:color="auto"/>
            <w:right w:val="none" w:sz="0" w:space="0" w:color="auto"/>
          </w:divBdr>
        </w:div>
        <w:div w:id="697703264">
          <w:marLeft w:val="0"/>
          <w:marRight w:val="0"/>
          <w:marTop w:val="0"/>
          <w:marBottom w:val="0"/>
          <w:divBdr>
            <w:top w:val="none" w:sz="0" w:space="0" w:color="auto"/>
            <w:left w:val="none" w:sz="0" w:space="0" w:color="auto"/>
            <w:bottom w:val="none" w:sz="0" w:space="0" w:color="auto"/>
            <w:right w:val="none" w:sz="0" w:space="0" w:color="auto"/>
          </w:divBdr>
        </w:div>
        <w:div w:id="1353992440">
          <w:marLeft w:val="0"/>
          <w:marRight w:val="0"/>
          <w:marTop w:val="0"/>
          <w:marBottom w:val="0"/>
          <w:divBdr>
            <w:top w:val="none" w:sz="0" w:space="0" w:color="auto"/>
            <w:left w:val="none" w:sz="0" w:space="0" w:color="auto"/>
            <w:bottom w:val="none" w:sz="0" w:space="0" w:color="auto"/>
            <w:right w:val="none" w:sz="0" w:space="0" w:color="auto"/>
          </w:divBdr>
        </w:div>
        <w:div w:id="1867786816">
          <w:marLeft w:val="0"/>
          <w:marRight w:val="0"/>
          <w:marTop w:val="0"/>
          <w:marBottom w:val="0"/>
          <w:divBdr>
            <w:top w:val="none" w:sz="0" w:space="0" w:color="auto"/>
            <w:left w:val="none" w:sz="0" w:space="0" w:color="auto"/>
            <w:bottom w:val="none" w:sz="0" w:space="0" w:color="auto"/>
            <w:right w:val="none" w:sz="0" w:space="0" w:color="auto"/>
          </w:divBdr>
        </w:div>
        <w:div w:id="1926105699">
          <w:marLeft w:val="0"/>
          <w:marRight w:val="0"/>
          <w:marTop w:val="0"/>
          <w:marBottom w:val="0"/>
          <w:divBdr>
            <w:top w:val="none" w:sz="0" w:space="0" w:color="auto"/>
            <w:left w:val="none" w:sz="0" w:space="0" w:color="auto"/>
            <w:bottom w:val="none" w:sz="0" w:space="0" w:color="auto"/>
            <w:right w:val="none" w:sz="0" w:space="0" w:color="auto"/>
          </w:divBdr>
        </w:div>
        <w:div w:id="2104105068">
          <w:marLeft w:val="0"/>
          <w:marRight w:val="0"/>
          <w:marTop w:val="0"/>
          <w:marBottom w:val="0"/>
          <w:divBdr>
            <w:top w:val="none" w:sz="0" w:space="0" w:color="auto"/>
            <w:left w:val="none" w:sz="0" w:space="0" w:color="auto"/>
            <w:bottom w:val="none" w:sz="0" w:space="0" w:color="auto"/>
            <w:right w:val="none" w:sz="0" w:space="0" w:color="auto"/>
          </w:divBdr>
        </w:div>
        <w:div w:id="1782647343">
          <w:marLeft w:val="0"/>
          <w:marRight w:val="0"/>
          <w:marTop w:val="0"/>
          <w:marBottom w:val="0"/>
          <w:divBdr>
            <w:top w:val="none" w:sz="0" w:space="0" w:color="auto"/>
            <w:left w:val="none" w:sz="0" w:space="0" w:color="auto"/>
            <w:bottom w:val="none" w:sz="0" w:space="0" w:color="auto"/>
            <w:right w:val="none" w:sz="0" w:space="0" w:color="auto"/>
          </w:divBdr>
        </w:div>
        <w:div w:id="1080100102">
          <w:marLeft w:val="0"/>
          <w:marRight w:val="0"/>
          <w:marTop w:val="0"/>
          <w:marBottom w:val="0"/>
          <w:divBdr>
            <w:top w:val="none" w:sz="0" w:space="0" w:color="auto"/>
            <w:left w:val="none" w:sz="0" w:space="0" w:color="auto"/>
            <w:bottom w:val="none" w:sz="0" w:space="0" w:color="auto"/>
            <w:right w:val="none" w:sz="0" w:space="0" w:color="auto"/>
          </w:divBdr>
        </w:div>
        <w:div w:id="1082797404">
          <w:marLeft w:val="0"/>
          <w:marRight w:val="0"/>
          <w:marTop w:val="0"/>
          <w:marBottom w:val="0"/>
          <w:divBdr>
            <w:top w:val="none" w:sz="0" w:space="0" w:color="auto"/>
            <w:left w:val="none" w:sz="0" w:space="0" w:color="auto"/>
            <w:bottom w:val="none" w:sz="0" w:space="0" w:color="auto"/>
            <w:right w:val="none" w:sz="0" w:space="0" w:color="auto"/>
          </w:divBdr>
        </w:div>
        <w:div w:id="721177556">
          <w:marLeft w:val="0"/>
          <w:marRight w:val="0"/>
          <w:marTop w:val="0"/>
          <w:marBottom w:val="0"/>
          <w:divBdr>
            <w:top w:val="none" w:sz="0" w:space="0" w:color="auto"/>
            <w:left w:val="none" w:sz="0" w:space="0" w:color="auto"/>
            <w:bottom w:val="none" w:sz="0" w:space="0" w:color="auto"/>
            <w:right w:val="none" w:sz="0" w:space="0" w:color="auto"/>
          </w:divBdr>
        </w:div>
        <w:div w:id="555745935">
          <w:marLeft w:val="0"/>
          <w:marRight w:val="0"/>
          <w:marTop w:val="0"/>
          <w:marBottom w:val="0"/>
          <w:divBdr>
            <w:top w:val="none" w:sz="0" w:space="0" w:color="auto"/>
            <w:left w:val="none" w:sz="0" w:space="0" w:color="auto"/>
            <w:bottom w:val="none" w:sz="0" w:space="0" w:color="auto"/>
            <w:right w:val="none" w:sz="0" w:space="0" w:color="auto"/>
          </w:divBdr>
        </w:div>
        <w:div w:id="881986790">
          <w:marLeft w:val="0"/>
          <w:marRight w:val="0"/>
          <w:marTop w:val="0"/>
          <w:marBottom w:val="0"/>
          <w:divBdr>
            <w:top w:val="none" w:sz="0" w:space="0" w:color="auto"/>
            <w:left w:val="none" w:sz="0" w:space="0" w:color="auto"/>
            <w:bottom w:val="none" w:sz="0" w:space="0" w:color="auto"/>
            <w:right w:val="none" w:sz="0" w:space="0" w:color="auto"/>
          </w:divBdr>
        </w:div>
        <w:div w:id="1323781323">
          <w:marLeft w:val="0"/>
          <w:marRight w:val="0"/>
          <w:marTop w:val="0"/>
          <w:marBottom w:val="0"/>
          <w:divBdr>
            <w:top w:val="none" w:sz="0" w:space="0" w:color="auto"/>
            <w:left w:val="none" w:sz="0" w:space="0" w:color="auto"/>
            <w:bottom w:val="none" w:sz="0" w:space="0" w:color="auto"/>
            <w:right w:val="none" w:sz="0" w:space="0" w:color="auto"/>
          </w:divBdr>
        </w:div>
        <w:div w:id="670186485">
          <w:marLeft w:val="0"/>
          <w:marRight w:val="0"/>
          <w:marTop w:val="0"/>
          <w:marBottom w:val="0"/>
          <w:divBdr>
            <w:top w:val="none" w:sz="0" w:space="0" w:color="auto"/>
            <w:left w:val="none" w:sz="0" w:space="0" w:color="auto"/>
            <w:bottom w:val="none" w:sz="0" w:space="0" w:color="auto"/>
            <w:right w:val="none" w:sz="0" w:space="0" w:color="auto"/>
          </w:divBdr>
        </w:div>
        <w:div w:id="1333945127">
          <w:marLeft w:val="0"/>
          <w:marRight w:val="0"/>
          <w:marTop w:val="0"/>
          <w:marBottom w:val="0"/>
          <w:divBdr>
            <w:top w:val="none" w:sz="0" w:space="0" w:color="auto"/>
            <w:left w:val="none" w:sz="0" w:space="0" w:color="auto"/>
            <w:bottom w:val="none" w:sz="0" w:space="0" w:color="auto"/>
            <w:right w:val="none" w:sz="0" w:space="0" w:color="auto"/>
          </w:divBdr>
        </w:div>
        <w:div w:id="1711881750">
          <w:marLeft w:val="0"/>
          <w:marRight w:val="0"/>
          <w:marTop w:val="0"/>
          <w:marBottom w:val="0"/>
          <w:divBdr>
            <w:top w:val="none" w:sz="0" w:space="0" w:color="auto"/>
            <w:left w:val="none" w:sz="0" w:space="0" w:color="auto"/>
            <w:bottom w:val="none" w:sz="0" w:space="0" w:color="auto"/>
            <w:right w:val="none" w:sz="0" w:space="0" w:color="auto"/>
          </w:divBdr>
        </w:div>
        <w:div w:id="1726373969">
          <w:marLeft w:val="0"/>
          <w:marRight w:val="0"/>
          <w:marTop w:val="0"/>
          <w:marBottom w:val="0"/>
          <w:divBdr>
            <w:top w:val="none" w:sz="0" w:space="0" w:color="auto"/>
            <w:left w:val="none" w:sz="0" w:space="0" w:color="auto"/>
            <w:bottom w:val="none" w:sz="0" w:space="0" w:color="auto"/>
            <w:right w:val="none" w:sz="0" w:space="0" w:color="auto"/>
          </w:divBdr>
        </w:div>
        <w:div w:id="422536700">
          <w:marLeft w:val="0"/>
          <w:marRight w:val="0"/>
          <w:marTop w:val="0"/>
          <w:marBottom w:val="0"/>
          <w:divBdr>
            <w:top w:val="none" w:sz="0" w:space="0" w:color="auto"/>
            <w:left w:val="none" w:sz="0" w:space="0" w:color="auto"/>
            <w:bottom w:val="none" w:sz="0" w:space="0" w:color="auto"/>
            <w:right w:val="none" w:sz="0" w:space="0" w:color="auto"/>
          </w:divBdr>
        </w:div>
        <w:div w:id="443961147">
          <w:marLeft w:val="0"/>
          <w:marRight w:val="0"/>
          <w:marTop w:val="0"/>
          <w:marBottom w:val="0"/>
          <w:divBdr>
            <w:top w:val="none" w:sz="0" w:space="0" w:color="auto"/>
            <w:left w:val="none" w:sz="0" w:space="0" w:color="auto"/>
            <w:bottom w:val="none" w:sz="0" w:space="0" w:color="auto"/>
            <w:right w:val="none" w:sz="0" w:space="0" w:color="auto"/>
          </w:divBdr>
        </w:div>
        <w:div w:id="870806890">
          <w:marLeft w:val="0"/>
          <w:marRight w:val="0"/>
          <w:marTop w:val="0"/>
          <w:marBottom w:val="0"/>
          <w:divBdr>
            <w:top w:val="none" w:sz="0" w:space="0" w:color="auto"/>
            <w:left w:val="none" w:sz="0" w:space="0" w:color="auto"/>
            <w:bottom w:val="none" w:sz="0" w:space="0" w:color="auto"/>
            <w:right w:val="none" w:sz="0" w:space="0" w:color="auto"/>
          </w:divBdr>
        </w:div>
        <w:div w:id="2081169364">
          <w:marLeft w:val="0"/>
          <w:marRight w:val="0"/>
          <w:marTop w:val="0"/>
          <w:marBottom w:val="0"/>
          <w:divBdr>
            <w:top w:val="none" w:sz="0" w:space="0" w:color="auto"/>
            <w:left w:val="none" w:sz="0" w:space="0" w:color="auto"/>
            <w:bottom w:val="none" w:sz="0" w:space="0" w:color="auto"/>
            <w:right w:val="none" w:sz="0" w:space="0" w:color="auto"/>
          </w:divBdr>
        </w:div>
        <w:div w:id="301616099">
          <w:marLeft w:val="0"/>
          <w:marRight w:val="0"/>
          <w:marTop w:val="0"/>
          <w:marBottom w:val="0"/>
          <w:divBdr>
            <w:top w:val="none" w:sz="0" w:space="0" w:color="auto"/>
            <w:left w:val="none" w:sz="0" w:space="0" w:color="auto"/>
            <w:bottom w:val="none" w:sz="0" w:space="0" w:color="auto"/>
            <w:right w:val="none" w:sz="0" w:space="0" w:color="auto"/>
          </w:divBdr>
        </w:div>
        <w:div w:id="1590038989">
          <w:marLeft w:val="0"/>
          <w:marRight w:val="0"/>
          <w:marTop w:val="0"/>
          <w:marBottom w:val="0"/>
          <w:divBdr>
            <w:top w:val="none" w:sz="0" w:space="0" w:color="auto"/>
            <w:left w:val="none" w:sz="0" w:space="0" w:color="auto"/>
            <w:bottom w:val="none" w:sz="0" w:space="0" w:color="auto"/>
            <w:right w:val="none" w:sz="0" w:space="0" w:color="auto"/>
          </w:divBdr>
        </w:div>
        <w:div w:id="1860581998">
          <w:marLeft w:val="0"/>
          <w:marRight w:val="0"/>
          <w:marTop w:val="0"/>
          <w:marBottom w:val="0"/>
          <w:divBdr>
            <w:top w:val="none" w:sz="0" w:space="0" w:color="auto"/>
            <w:left w:val="none" w:sz="0" w:space="0" w:color="auto"/>
            <w:bottom w:val="none" w:sz="0" w:space="0" w:color="auto"/>
            <w:right w:val="none" w:sz="0" w:space="0" w:color="auto"/>
          </w:divBdr>
        </w:div>
        <w:div w:id="888880629">
          <w:marLeft w:val="0"/>
          <w:marRight w:val="0"/>
          <w:marTop w:val="0"/>
          <w:marBottom w:val="0"/>
          <w:divBdr>
            <w:top w:val="none" w:sz="0" w:space="0" w:color="auto"/>
            <w:left w:val="none" w:sz="0" w:space="0" w:color="auto"/>
            <w:bottom w:val="none" w:sz="0" w:space="0" w:color="auto"/>
            <w:right w:val="none" w:sz="0" w:space="0" w:color="auto"/>
          </w:divBdr>
        </w:div>
        <w:div w:id="1836648724">
          <w:marLeft w:val="0"/>
          <w:marRight w:val="0"/>
          <w:marTop w:val="0"/>
          <w:marBottom w:val="0"/>
          <w:divBdr>
            <w:top w:val="none" w:sz="0" w:space="0" w:color="auto"/>
            <w:left w:val="none" w:sz="0" w:space="0" w:color="auto"/>
            <w:bottom w:val="none" w:sz="0" w:space="0" w:color="auto"/>
            <w:right w:val="none" w:sz="0" w:space="0" w:color="auto"/>
          </w:divBdr>
        </w:div>
        <w:div w:id="1181360897">
          <w:marLeft w:val="0"/>
          <w:marRight w:val="0"/>
          <w:marTop w:val="0"/>
          <w:marBottom w:val="0"/>
          <w:divBdr>
            <w:top w:val="none" w:sz="0" w:space="0" w:color="auto"/>
            <w:left w:val="none" w:sz="0" w:space="0" w:color="auto"/>
            <w:bottom w:val="none" w:sz="0" w:space="0" w:color="auto"/>
            <w:right w:val="none" w:sz="0" w:space="0" w:color="auto"/>
          </w:divBdr>
        </w:div>
        <w:div w:id="1916236432">
          <w:marLeft w:val="0"/>
          <w:marRight w:val="0"/>
          <w:marTop w:val="0"/>
          <w:marBottom w:val="0"/>
          <w:divBdr>
            <w:top w:val="none" w:sz="0" w:space="0" w:color="auto"/>
            <w:left w:val="none" w:sz="0" w:space="0" w:color="auto"/>
            <w:bottom w:val="none" w:sz="0" w:space="0" w:color="auto"/>
            <w:right w:val="none" w:sz="0" w:space="0" w:color="auto"/>
          </w:divBdr>
        </w:div>
        <w:div w:id="991103903">
          <w:marLeft w:val="0"/>
          <w:marRight w:val="0"/>
          <w:marTop w:val="0"/>
          <w:marBottom w:val="0"/>
          <w:divBdr>
            <w:top w:val="none" w:sz="0" w:space="0" w:color="auto"/>
            <w:left w:val="none" w:sz="0" w:space="0" w:color="auto"/>
            <w:bottom w:val="none" w:sz="0" w:space="0" w:color="auto"/>
            <w:right w:val="none" w:sz="0" w:space="0" w:color="auto"/>
          </w:divBdr>
        </w:div>
        <w:div w:id="1484463601">
          <w:marLeft w:val="0"/>
          <w:marRight w:val="0"/>
          <w:marTop w:val="0"/>
          <w:marBottom w:val="0"/>
          <w:divBdr>
            <w:top w:val="none" w:sz="0" w:space="0" w:color="auto"/>
            <w:left w:val="none" w:sz="0" w:space="0" w:color="auto"/>
            <w:bottom w:val="none" w:sz="0" w:space="0" w:color="auto"/>
            <w:right w:val="none" w:sz="0" w:space="0" w:color="auto"/>
          </w:divBdr>
        </w:div>
        <w:div w:id="1183743931">
          <w:marLeft w:val="0"/>
          <w:marRight w:val="0"/>
          <w:marTop w:val="0"/>
          <w:marBottom w:val="0"/>
          <w:divBdr>
            <w:top w:val="none" w:sz="0" w:space="0" w:color="auto"/>
            <w:left w:val="none" w:sz="0" w:space="0" w:color="auto"/>
            <w:bottom w:val="none" w:sz="0" w:space="0" w:color="auto"/>
            <w:right w:val="none" w:sz="0" w:space="0" w:color="auto"/>
          </w:divBdr>
        </w:div>
        <w:div w:id="1659847692">
          <w:marLeft w:val="0"/>
          <w:marRight w:val="0"/>
          <w:marTop w:val="0"/>
          <w:marBottom w:val="0"/>
          <w:divBdr>
            <w:top w:val="none" w:sz="0" w:space="0" w:color="auto"/>
            <w:left w:val="none" w:sz="0" w:space="0" w:color="auto"/>
            <w:bottom w:val="none" w:sz="0" w:space="0" w:color="auto"/>
            <w:right w:val="none" w:sz="0" w:space="0" w:color="auto"/>
          </w:divBdr>
        </w:div>
        <w:div w:id="704255042">
          <w:marLeft w:val="0"/>
          <w:marRight w:val="0"/>
          <w:marTop w:val="0"/>
          <w:marBottom w:val="0"/>
          <w:divBdr>
            <w:top w:val="none" w:sz="0" w:space="0" w:color="auto"/>
            <w:left w:val="none" w:sz="0" w:space="0" w:color="auto"/>
            <w:bottom w:val="none" w:sz="0" w:space="0" w:color="auto"/>
            <w:right w:val="none" w:sz="0" w:space="0" w:color="auto"/>
          </w:divBdr>
        </w:div>
        <w:div w:id="757210392">
          <w:marLeft w:val="0"/>
          <w:marRight w:val="0"/>
          <w:marTop w:val="0"/>
          <w:marBottom w:val="0"/>
          <w:divBdr>
            <w:top w:val="none" w:sz="0" w:space="0" w:color="auto"/>
            <w:left w:val="none" w:sz="0" w:space="0" w:color="auto"/>
            <w:bottom w:val="none" w:sz="0" w:space="0" w:color="auto"/>
            <w:right w:val="none" w:sz="0" w:space="0" w:color="auto"/>
          </w:divBdr>
        </w:div>
        <w:div w:id="1142162005">
          <w:marLeft w:val="0"/>
          <w:marRight w:val="0"/>
          <w:marTop w:val="0"/>
          <w:marBottom w:val="0"/>
          <w:divBdr>
            <w:top w:val="none" w:sz="0" w:space="0" w:color="auto"/>
            <w:left w:val="none" w:sz="0" w:space="0" w:color="auto"/>
            <w:bottom w:val="none" w:sz="0" w:space="0" w:color="auto"/>
            <w:right w:val="none" w:sz="0" w:space="0" w:color="auto"/>
          </w:divBdr>
        </w:div>
        <w:div w:id="178782357">
          <w:marLeft w:val="0"/>
          <w:marRight w:val="0"/>
          <w:marTop w:val="0"/>
          <w:marBottom w:val="0"/>
          <w:divBdr>
            <w:top w:val="none" w:sz="0" w:space="0" w:color="auto"/>
            <w:left w:val="none" w:sz="0" w:space="0" w:color="auto"/>
            <w:bottom w:val="none" w:sz="0" w:space="0" w:color="auto"/>
            <w:right w:val="none" w:sz="0" w:space="0" w:color="auto"/>
          </w:divBdr>
        </w:div>
        <w:div w:id="1240291759">
          <w:marLeft w:val="0"/>
          <w:marRight w:val="0"/>
          <w:marTop w:val="0"/>
          <w:marBottom w:val="0"/>
          <w:divBdr>
            <w:top w:val="none" w:sz="0" w:space="0" w:color="auto"/>
            <w:left w:val="none" w:sz="0" w:space="0" w:color="auto"/>
            <w:bottom w:val="none" w:sz="0" w:space="0" w:color="auto"/>
            <w:right w:val="none" w:sz="0" w:space="0" w:color="auto"/>
          </w:divBdr>
        </w:div>
        <w:div w:id="1124498626">
          <w:marLeft w:val="0"/>
          <w:marRight w:val="0"/>
          <w:marTop w:val="0"/>
          <w:marBottom w:val="0"/>
          <w:divBdr>
            <w:top w:val="none" w:sz="0" w:space="0" w:color="auto"/>
            <w:left w:val="none" w:sz="0" w:space="0" w:color="auto"/>
            <w:bottom w:val="none" w:sz="0" w:space="0" w:color="auto"/>
            <w:right w:val="none" w:sz="0" w:space="0" w:color="auto"/>
          </w:divBdr>
        </w:div>
        <w:div w:id="1156872760">
          <w:marLeft w:val="0"/>
          <w:marRight w:val="0"/>
          <w:marTop w:val="0"/>
          <w:marBottom w:val="0"/>
          <w:divBdr>
            <w:top w:val="none" w:sz="0" w:space="0" w:color="auto"/>
            <w:left w:val="none" w:sz="0" w:space="0" w:color="auto"/>
            <w:bottom w:val="none" w:sz="0" w:space="0" w:color="auto"/>
            <w:right w:val="none" w:sz="0" w:space="0" w:color="auto"/>
          </w:divBdr>
        </w:div>
        <w:div w:id="1612207524">
          <w:marLeft w:val="0"/>
          <w:marRight w:val="0"/>
          <w:marTop w:val="0"/>
          <w:marBottom w:val="0"/>
          <w:divBdr>
            <w:top w:val="none" w:sz="0" w:space="0" w:color="auto"/>
            <w:left w:val="none" w:sz="0" w:space="0" w:color="auto"/>
            <w:bottom w:val="none" w:sz="0" w:space="0" w:color="auto"/>
            <w:right w:val="none" w:sz="0" w:space="0" w:color="auto"/>
          </w:divBdr>
        </w:div>
        <w:div w:id="489978415">
          <w:marLeft w:val="0"/>
          <w:marRight w:val="0"/>
          <w:marTop w:val="0"/>
          <w:marBottom w:val="0"/>
          <w:divBdr>
            <w:top w:val="none" w:sz="0" w:space="0" w:color="auto"/>
            <w:left w:val="none" w:sz="0" w:space="0" w:color="auto"/>
            <w:bottom w:val="none" w:sz="0" w:space="0" w:color="auto"/>
            <w:right w:val="none" w:sz="0" w:space="0" w:color="auto"/>
          </w:divBdr>
        </w:div>
        <w:div w:id="285086094">
          <w:marLeft w:val="0"/>
          <w:marRight w:val="0"/>
          <w:marTop w:val="0"/>
          <w:marBottom w:val="0"/>
          <w:divBdr>
            <w:top w:val="none" w:sz="0" w:space="0" w:color="auto"/>
            <w:left w:val="none" w:sz="0" w:space="0" w:color="auto"/>
            <w:bottom w:val="none" w:sz="0" w:space="0" w:color="auto"/>
            <w:right w:val="none" w:sz="0" w:space="0" w:color="auto"/>
          </w:divBdr>
        </w:div>
        <w:div w:id="295457856">
          <w:marLeft w:val="0"/>
          <w:marRight w:val="0"/>
          <w:marTop w:val="0"/>
          <w:marBottom w:val="0"/>
          <w:divBdr>
            <w:top w:val="none" w:sz="0" w:space="0" w:color="auto"/>
            <w:left w:val="none" w:sz="0" w:space="0" w:color="auto"/>
            <w:bottom w:val="none" w:sz="0" w:space="0" w:color="auto"/>
            <w:right w:val="none" w:sz="0" w:space="0" w:color="auto"/>
          </w:divBdr>
        </w:div>
        <w:div w:id="847868879">
          <w:marLeft w:val="0"/>
          <w:marRight w:val="0"/>
          <w:marTop w:val="0"/>
          <w:marBottom w:val="0"/>
          <w:divBdr>
            <w:top w:val="none" w:sz="0" w:space="0" w:color="auto"/>
            <w:left w:val="none" w:sz="0" w:space="0" w:color="auto"/>
            <w:bottom w:val="none" w:sz="0" w:space="0" w:color="auto"/>
            <w:right w:val="none" w:sz="0" w:space="0" w:color="auto"/>
          </w:divBdr>
        </w:div>
        <w:div w:id="1953052930">
          <w:marLeft w:val="0"/>
          <w:marRight w:val="0"/>
          <w:marTop w:val="0"/>
          <w:marBottom w:val="0"/>
          <w:divBdr>
            <w:top w:val="none" w:sz="0" w:space="0" w:color="auto"/>
            <w:left w:val="none" w:sz="0" w:space="0" w:color="auto"/>
            <w:bottom w:val="none" w:sz="0" w:space="0" w:color="auto"/>
            <w:right w:val="none" w:sz="0" w:space="0" w:color="auto"/>
          </w:divBdr>
        </w:div>
        <w:div w:id="1054354264">
          <w:marLeft w:val="0"/>
          <w:marRight w:val="0"/>
          <w:marTop w:val="0"/>
          <w:marBottom w:val="0"/>
          <w:divBdr>
            <w:top w:val="none" w:sz="0" w:space="0" w:color="auto"/>
            <w:left w:val="none" w:sz="0" w:space="0" w:color="auto"/>
            <w:bottom w:val="none" w:sz="0" w:space="0" w:color="auto"/>
            <w:right w:val="none" w:sz="0" w:space="0" w:color="auto"/>
          </w:divBdr>
        </w:div>
        <w:div w:id="1695232296">
          <w:marLeft w:val="0"/>
          <w:marRight w:val="0"/>
          <w:marTop w:val="0"/>
          <w:marBottom w:val="0"/>
          <w:divBdr>
            <w:top w:val="none" w:sz="0" w:space="0" w:color="auto"/>
            <w:left w:val="none" w:sz="0" w:space="0" w:color="auto"/>
            <w:bottom w:val="none" w:sz="0" w:space="0" w:color="auto"/>
            <w:right w:val="none" w:sz="0" w:space="0" w:color="auto"/>
          </w:divBdr>
        </w:div>
        <w:div w:id="1763801029">
          <w:marLeft w:val="0"/>
          <w:marRight w:val="0"/>
          <w:marTop w:val="0"/>
          <w:marBottom w:val="0"/>
          <w:divBdr>
            <w:top w:val="none" w:sz="0" w:space="0" w:color="auto"/>
            <w:left w:val="none" w:sz="0" w:space="0" w:color="auto"/>
            <w:bottom w:val="none" w:sz="0" w:space="0" w:color="auto"/>
            <w:right w:val="none" w:sz="0" w:space="0" w:color="auto"/>
          </w:divBdr>
        </w:div>
        <w:div w:id="1698970992">
          <w:marLeft w:val="0"/>
          <w:marRight w:val="0"/>
          <w:marTop w:val="0"/>
          <w:marBottom w:val="0"/>
          <w:divBdr>
            <w:top w:val="none" w:sz="0" w:space="0" w:color="auto"/>
            <w:left w:val="none" w:sz="0" w:space="0" w:color="auto"/>
            <w:bottom w:val="none" w:sz="0" w:space="0" w:color="auto"/>
            <w:right w:val="none" w:sz="0" w:space="0" w:color="auto"/>
          </w:divBdr>
        </w:div>
        <w:div w:id="451359584">
          <w:marLeft w:val="0"/>
          <w:marRight w:val="0"/>
          <w:marTop w:val="0"/>
          <w:marBottom w:val="0"/>
          <w:divBdr>
            <w:top w:val="none" w:sz="0" w:space="0" w:color="auto"/>
            <w:left w:val="none" w:sz="0" w:space="0" w:color="auto"/>
            <w:bottom w:val="none" w:sz="0" w:space="0" w:color="auto"/>
            <w:right w:val="none" w:sz="0" w:space="0" w:color="auto"/>
          </w:divBdr>
        </w:div>
        <w:div w:id="340470001">
          <w:marLeft w:val="0"/>
          <w:marRight w:val="0"/>
          <w:marTop w:val="0"/>
          <w:marBottom w:val="0"/>
          <w:divBdr>
            <w:top w:val="none" w:sz="0" w:space="0" w:color="auto"/>
            <w:left w:val="none" w:sz="0" w:space="0" w:color="auto"/>
            <w:bottom w:val="none" w:sz="0" w:space="0" w:color="auto"/>
            <w:right w:val="none" w:sz="0" w:space="0" w:color="auto"/>
          </w:divBdr>
        </w:div>
        <w:div w:id="667682176">
          <w:marLeft w:val="0"/>
          <w:marRight w:val="0"/>
          <w:marTop w:val="0"/>
          <w:marBottom w:val="0"/>
          <w:divBdr>
            <w:top w:val="none" w:sz="0" w:space="0" w:color="auto"/>
            <w:left w:val="none" w:sz="0" w:space="0" w:color="auto"/>
            <w:bottom w:val="none" w:sz="0" w:space="0" w:color="auto"/>
            <w:right w:val="none" w:sz="0" w:space="0" w:color="auto"/>
          </w:divBdr>
        </w:div>
        <w:div w:id="296301520">
          <w:marLeft w:val="0"/>
          <w:marRight w:val="0"/>
          <w:marTop w:val="0"/>
          <w:marBottom w:val="0"/>
          <w:divBdr>
            <w:top w:val="none" w:sz="0" w:space="0" w:color="auto"/>
            <w:left w:val="none" w:sz="0" w:space="0" w:color="auto"/>
            <w:bottom w:val="none" w:sz="0" w:space="0" w:color="auto"/>
            <w:right w:val="none" w:sz="0" w:space="0" w:color="auto"/>
          </w:divBdr>
        </w:div>
        <w:div w:id="1145663597">
          <w:marLeft w:val="0"/>
          <w:marRight w:val="0"/>
          <w:marTop w:val="0"/>
          <w:marBottom w:val="0"/>
          <w:divBdr>
            <w:top w:val="none" w:sz="0" w:space="0" w:color="auto"/>
            <w:left w:val="none" w:sz="0" w:space="0" w:color="auto"/>
            <w:bottom w:val="none" w:sz="0" w:space="0" w:color="auto"/>
            <w:right w:val="none" w:sz="0" w:space="0" w:color="auto"/>
          </w:divBdr>
        </w:div>
        <w:div w:id="1008871861">
          <w:marLeft w:val="0"/>
          <w:marRight w:val="0"/>
          <w:marTop w:val="0"/>
          <w:marBottom w:val="0"/>
          <w:divBdr>
            <w:top w:val="none" w:sz="0" w:space="0" w:color="auto"/>
            <w:left w:val="none" w:sz="0" w:space="0" w:color="auto"/>
            <w:bottom w:val="none" w:sz="0" w:space="0" w:color="auto"/>
            <w:right w:val="none" w:sz="0" w:space="0" w:color="auto"/>
          </w:divBdr>
        </w:div>
        <w:div w:id="521670242">
          <w:marLeft w:val="0"/>
          <w:marRight w:val="0"/>
          <w:marTop w:val="0"/>
          <w:marBottom w:val="0"/>
          <w:divBdr>
            <w:top w:val="none" w:sz="0" w:space="0" w:color="auto"/>
            <w:left w:val="none" w:sz="0" w:space="0" w:color="auto"/>
            <w:bottom w:val="none" w:sz="0" w:space="0" w:color="auto"/>
            <w:right w:val="none" w:sz="0" w:space="0" w:color="auto"/>
          </w:divBdr>
        </w:div>
        <w:div w:id="1497039651">
          <w:marLeft w:val="0"/>
          <w:marRight w:val="0"/>
          <w:marTop w:val="0"/>
          <w:marBottom w:val="0"/>
          <w:divBdr>
            <w:top w:val="none" w:sz="0" w:space="0" w:color="auto"/>
            <w:left w:val="none" w:sz="0" w:space="0" w:color="auto"/>
            <w:bottom w:val="none" w:sz="0" w:space="0" w:color="auto"/>
            <w:right w:val="none" w:sz="0" w:space="0" w:color="auto"/>
          </w:divBdr>
        </w:div>
        <w:div w:id="1373922764">
          <w:marLeft w:val="0"/>
          <w:marRight w:val="0"/>
          <w:marTop w:val="0"/>
          <w:marBottom w:val="0"/>
          <w:divBdr>
            <w:top w:val="none" w:sz="0" w:space="0" w:color="auto"/>
            <w:left w:val="none" w:sz="0" w:space="0" w:color="auto"/>
            <w:bottom w:val="none" w:sz="0" w:space="0" w:color="auto"/>
            <w:right w:val="none" w:sz="0" w:space="0" w:color="auto"/>
          </w:divBdr>
        </w:div>
        <w:div w:id="1717394272">
          <w:marLeft w:val="0"/>
          <w:marRight w:val="0"/>
          <w:marTop w:val="0"/>
          <w:marBottom w:val="0"/>
          <w:divBdr>
            <w:top w:val="none" w:sz="0" w:space="0" w:color="auto"/>
            <w:left w:val="none" w:sz="0" w:space="0" w:color="auto"/>
            <w:bottom w:val="none" w:sz="0" w:space="0" w:color="auto"/>
            <w:right w:val="none" w:sz="0" w:space="0" w:color="auto"/>
          </w:divBdr>
        </w:div>
        <w:div w:id="235554577">
          <w:marLeft w:val="0"/>
          <w:marRight w:val="0"/>
          <w:marTop w:val="0"/>
          <w:marBottom w:val="0"/>
          <w:divBdr>
            <w:top w:val="none" w:sz="0" w:space="0" w:color="auto"/>
            <w:left w:val="none" w:sz="0" w:space="0" w:color="auto"/>
            <w:bottom w:val="none" w:sz="0" w:space="0" w:color="auto"/>
            <w:right w:val="none" w:sz="0" w:space="0" w:color="auto"/>
          </w:divBdr>
        </w:div>
        <w:div w:id="56706401">
          <w:marLeft w:val="0"/>
          <w:marRight w:val="0"/>
          <w:marTop w:val="0"/>
          <w:marBottom w:val="0"/>
          <w:divBdr>
            <w:top w:val="none" w:sz="0" w:space="0" w:color="auto"/>
            <w:left w:val="none" w:sz="0" w:space="0" w:color="auto"/>
            <w:bottom w:val="none" w:sz="0" w:space="0" w:color="auto"/>
            <w:right w:val="none" w:sz="0" w:space="0" w:color="auto"/>
          </w:divBdr>
        </w:div>
        <w:div w:id="773982368">
          <w:marLeft w:val="0"/>
          <w:marRight w:val="0"/>
          <w:marTop w:val="0"/>
          <w:marBottom w:val="0"/>
          <w:divBdr>
            <w:top w:val="none" w:sz="0" w:space="0" w:color="auto"/>
            <w:left w:val="none" w:sz="0" w:space="0" w:color="auto"/>
            <w:bottom w:val="none" w:sz="0" w:space="0" w:color="auto"/>
            <w:right w:val="none" w:sz="0" w:space="0" w:color="auto"/>
          </w:divBdr>
        </w:div>
        <w:div w:id="1766418992">
          <w:marLeft w:val="0"/>
          <w:marRight w:val="0"/>
          <w:marTop w:val="0"/>
          <w:marBottom w:val="0"/>
          <w:divBdr>
            <w:top w:val="none" w:sz="0" w:space="0" w:color="auto"/>
            <w:left w:val="none" w:sz="0" w:space="0" w:color="auto"/>
            <w:bottom w:val="none" w:sz="0" w:space="0" w:color="auto"/>
            <w:right w:val="none" w:sz="0" w:space="0" w:color="auto"/>
          </w:divBdr>
        </w:div>
        <w:div w:id="1824350509">
          <w:marLeft w:val="0"/>
          <w:marRight w:val="0"/>
          <w:marTop w:val="0"/>
          <w:marBottom w:val="0"/>
          <w:divBdr>
            <w:top w:val="none" w:sz="0" w:space="0" w:color="auto"/>
            <w:left w:val="none" w:sz="0" w:space="0" w:color="auto"/>
            <w:bottom w:val="none" w:sz="0" w:space="0" w:color="auto"/>
            <w:right w:val="none" w:sz="0" w:space="0" w:color="auto"/>
          </w:divBdr>
        </w:div>
        <w:div w:id="221142767">
          <w:marLeft w:val="0"/>
          <w:marRight w:val="0"/>
          <w:marTop w:val="0"/>
          <w:marBottom w:val="0"/>
          <w:divBdr>
            <w:top w:val="none" w:sz="0" w:space="0" w:color="auto"/>
            <w:left w:val="none" w:sz="0" w:space="0" w:color="auto"/>
            <w:bottom w:val="none" w:sz="0" w:space="0" w:color="auto"/>
            <w:right w:val="none" w:sz="0" w:space="0" w:color="auto"/>
          </w:divBdr>
        </w:div>
        <w:div w:id="135418487">
          <w:marLeft w:val="0"/>
          <w:marRight w:val="0"/>
          <w:marTop w:val="0"/>
          <w:marBottom w:val="0"/>
          <w:divBdr>
            <w:top w:val="none" w:sz="0" w:space="0" w:color="auto"/>
            <w:left w:val="none" w:sz="0" w:space="0" w:color="auto"/>
            <w:bottom w:val="none" w:sz="0" w:space="0" w:color="auto"/>
            <w:right w:val="none" w:sz="0" w:space="0" w:color="auto"/>
          </w:divBdr>
        </w:div>
        <w:div w:id="856776286">
          <w:marLeft w:val="0"/>
          <w:marRight w:val="0"/>
          <w:marTop w:val="0"/>
          <w:marBottom w:val="0"/>
          <w:divBdr>
            <w:top w:val="none" w:sz="0" w:space="0" w:color="auto"/>
            <w:left w:val="none" w:sz="0" w:space="0" w:color="auto"/>
            <w:bottom w:val="none" w:sz="0" w:space="0" w:color="auto"/>
            <w:right w:val="none" w:sz="0" w:space="0" w:color="auto"/>
          </w:divBdr>
        </w:div>
        <w:div w:id="1694768415">
          <w:marLeft w:val="0"/>
          <w:marRight w:val="0"/>
          <w:marTop w:val="0"/>
          <w:marBottom w:val="0"/>
          <w:divBdr>
            <w:top w:val="none" w:sz="0" w:space="0" w:color="auto"/>
            <w:left w:val="none" w:sz="0" w:space="0" w:color="auto"/>
            <w:bottom w:val="none" w:sz="0" w:space="0" w:color="auto"/>
            <w:right w:val="none" w:sz="0" w:space="0" w:color="auto"/>
          </w:divBdr>
        </w:div>
        <w:div w:id="1239710326">
          <w:marLeft w:val="0"/>
          <w:marRight w:val="0"/>
          <w:marTop w:val="0"/>
          <w:marBottom w:val="0"/>
          <w:divBdr>
            <w:top w:val="none" w:sz="0" w:space="0" w:color="auto"/>
            <w:left w:val="none" w:sz="0" w:space="0" w:color="auto"/>
            <w:bottom w:val="none" w:sz="0" w:space="0" w:color="auto"/>
            <w:right w:val="none" w:sz="0" w:space="0" w:color="auto"/>
          </w:divBdr>
        </w:div>
        <w:div w:id="806119923">
          <w:marLeft w:val="0"/>
          <w:marRight w:val="0"/>
          <w:marTop w:val="0"/>
          <w:marBottom w:val="0"/>
          <w:divBdr>
            <w:top w:val="none" w:sz="0" w:space="0" w:color="auto"/>
            <w:left w:val="none" w:sz="0" w:space="0" w:color="auto"/>
            <w:bottom w:val="none" w:sz="0" w:space="0" w:color="auto"/>
            <w:right w:val="none" w:sz="0" w:space="0" w:color="auto"/>
          </w:divBdr>
        </w:div>
        <w:div w:id="694158039">
          <w:marLeft w:val="0"/>
          <w:marRight w:val="0"/>
          <w:marTop w:val="0"/>
          <w:marBottom w:val="0"/>
          <w:divBdr>
            <w:top w:val="none" w:sz="0" w:space="0" w:color="auto"/>
            <w:left w:val="none" w:sz="0" w:space="0" w:color="auto"/>
            <w:bottom w:val="none" w:sz="0" w:space="0" w:color="auto"/>
            <w:right w:val="none" w:sz="0" w:space="0" w:color="auto"/>
          </w:divBdr>
        </w:div>
        <w:div w:id="24405011">
          <w:marLeft w:val="0"/>
          <w:marRight w:val="0"/>
          <w:marTop w:val="0"/>
          <w:marBottom w:val="0"/>
          <w:divBdr>
            <w:top w:val="none" w:sz="0" w:space="0" w:color="auto"/>
            <w:left w:val="none" w:sz="0" w:space="0" w:color="auto"/>
            <w:bottom w:val="none" w:sz="0" w:space="0" w:color="auto"/>
            <w:right w:val="none" w:sz="0" w:space="0" w:color="auto"/>
          </w:divBdr>
        </w:div>
        <w:div w:id="1448549792">
          <w:marLeft w:val="0"/>
          <w:marRight w:val="0"/>
          <w:marTop w:val="0"/>
          <w:marBottom w:val="0"/>
          <w:divBdr>
            <w:top w:val="none" w:sz="0" w:space="0" w:color="auto"/>
            <w:left w:val="none" w:sz="0" w:space="0" w:color="auto"/>
            <w:bottom w:val="none" w:sz="0" w:space="0" w:color="auto"/>
            <w:right w:val="none" w:sz="0" w:space="0" w:color="auto"/>
          </w:divBdr>
        </w:div>
        <w:div w:id="116611823">
          <w:marLeft w:val="0"/>
          <w:marRight w:val="0"/>
          <w:marTop w:val="0"/>
          <w:marBottom w:val="0"/>
          <w:divBdr>
            <w:top w:val="none" w:sz="0" w:space="0" w:color="auto"/>
            <w:left w:val="none" w:sz="0" w:space="0" w:color="auto"/>
            <w:bottom w:val="none" w:sz="0" w:space="0" w:color="auto"/>
            <w:right w:val="none" w:sz="0" w:space="0" w:color="auto"/>
          </w:divBdr>
        </w:div>
        <w:div w:id="645402422">
          <w:marLeft w:val="0"/>
          <w:marRight w:val="0"/>
          <w:marTop w:val="0"/>
          <w:marBottom w:val="0"/>
          <w:divBdr>
            <w:top w:val="none" w:sz="0" w:space="0" w:color="auto"/>
            <w:left w:val="none" w:sz="0" w:space="0" w:color="auto"/>
            <w:bottom w:val="none" w:sz="0" w:space="0" w:color="auto"/>
            <w:right w:val="none" w:sz="0" w:space="0" w:color="auto"/>
          </w:divBdr>
        </w:div>
        <w:div w:id="556673187">
          <w:marLeft w:val="0"/>
          <w:marRight w:val="0"/>
          <w:marTop w:val="0"/>
          <w:marBottom w:val="0"/>
          <w:divBdr>
            <w:top w:val="none" w:sz="0" w:space="0" w:color="auto"/>
            <w:left w:val="none" w:sz="0" w:space="0" w:color="auto"/>
            <w:bottom w:val="none" w:sz="0" w:space="0" w:color="auto"/>
            <w:right w:val="none" w:sz="0" w:space="0" w:color="auto"/>
          </w:divBdr>
        </w:div>
        <w:div w:id="229464042">
          <w:marLeft w:val="0"/>
          <w:marRight w:val="0"/>
          <w:marTop w:val="0"/>
          <w:marBottom w:val="0"/>
          <w:divBdr>
            <w:top w:val="none" w:sz="0" w:space="0" w:color="auto"/>
            <w:left w:val="none" w:sz="0" w:space="0" w:color="auto"/>
            <w:bottom w:val="none" w:sz="0" w:space="0" w:color="auto"/>
            <w:right w:val="none" w:sz="0" w:space="0" w:color="auto"/>
          </w:divBdr>
        </w:div>
        <w:div w:id="1055205516">
          <w:marLeft w:val="0"/>
          <w:marRight w:val="0"/>
          <w:marTop w:val="0"/>
          <w:marBottom w:val="0"/>
          <w:divBdr>
            <w:top w:val="none" w:sz="0" w:space="0" w:color="auto"/>
            <w:left w:val="none" w:sz="0" w:space="0" w:color="auto"/>
            <w:bottom w:val="none" w:sz="0" w:space="0" w:color="auto"/>
            <w:right w:val="none" w:sz="0" w:space="0" w:color="auto"/>
          </w:divBdr>
        </w:div>
        <w:div w:id="582178280">
          <w:marLeft w:val="0"/>
          <w:marRight w:val="0"/>
          <w:marTop w:val="0"/>
          <w:marBottom w:val="0"/>
          <w:divBdr>
            <w:top w:val="none" w:sz="0" w:space="0" w:color="auto"/>
            <w:left w:val="none" w:sz="0" w:space="0" w:color="auto"/>
            <w:bottom w:val="none" w:sz="0" w:space="0" w:color="auto"/>
            <w:right w:val="none" w:sz="0" w:space="0" w:color="auto"/>
          </w:divBdr>
        </w:div>
        <w:div w:id="1269393930">
          <w:marLeft w:val="0"/>
          <w:marRight w:val="0"/>
          <w:marTop w:val="0"/>
          <w:marBottom w:val="0"/>
          <w:divBdr>
            <w:top w:val="none" w:sz="0" w:space="0" w:color="auto"/>
            <w:left w:val="none" w:sz="0" w:space="0" w:color="auto"/>
            <w:bottom w:val="none" w:sz="0" w:space="0" w:color="auto"/>
            <w:right w:val="none" w:sz="0" w:space="0" w:color="auto"/>
          </w:divBdr>
        </w:div>
        <w:div w:id="883565751">
          <w:marLeft w:val="0"/>
          <w:marRight w:val="0"/>
          <w:marTop w:val="0"/>
          <w:marBottom w:val="0"/>
          <w:divBdr>
            <w:top w:val="none" w:sz="0" w:space="0" w:color="auto"/>
            <w:left w:val="none" w:sz="0" w:space="0" w:color="auto"/>
            <w:bottom w:val="none" w:sz="0" w:space="0" w:color="auto"/>
            <w:right w:val="none" w:sz="0" w:space="0" w:color="auto"/>
          </w:divBdr>
        </w:div>
        <w:div w:id="221992060">
          <w:marLeft w:val="0"/>
          <w:marRight w:val="0"/>
          <w:marTop w:val="0"/>
          <w:marBottom w:val="0"/>
          <w:divBdr>
            <w:top w:val="none" w:sz="0" w:space="0" w:color="auto"/>
            <w:left w:val="none" w:sz="0" w:space="0" w:color="auto"/>
            <w:bottom w:val="none" w:sz="0" w:space="0" w:color="auto"/>
            <w:right w:val="none" w:sz="0" w:space="0" w:color="auto"/>
          </w:divBdr>
        </w:div>
        <w:div w:id="1042707453">
          <w:marLeft w:val="0"/>
          <w:marRight w:val="0"/>
          <w:marTop w:val="0"/>
          <w:marBottom w:val="0"/>
          <w:divBdr>
            <w:top w:val="none" w:sz="0" w:space="0" w:color="auto"/>
            <w:left w:val="none" w:sz="0" w:space="0" w:color="auto"/>
            <w:bottom w:val="none" w:sz="0" w:space="0" w:color="auto"/>
            <w:right w:val="none" w:sz="0" w:space="0" w:color="auto"/>
          </w:divBdr>
        </w:div>
        <w:div w:id="1603341330">
          <w:marLeft w:val="0"/>
          <w:marRight w:val="0"/>
          <w:marTop w:val="0"/>
          <w:marBottom w:val="0"/>
          <w:divBdr>
            <w:top w:val="none" w:sz="0" w:space="0" w:color="auto"/>
            <w:left w:val="none" w:sz="0" w:space="0" w:color="auto"/>
            <w:bottom w:val="none" w:sz="0" w:space="0" w:color="auto"/>
            <w:right w:val="none" w:sz="0" w:space="0" w:color="auto"/>
          </w:divBdr>
        </w:div>
        <w:div w:id="477233598">
          <w:marLeft w:val="0"/>
          <w:marRight w:val="0"/>
          <w:marTop w:val="0"/>
          <w:marBottom w:val="0"/>
          <w:divBdr>
            <w:top w:val="none" w:sz="0" w:space="0" w:color="auto"/>
            <w:left w:val="none" w:sz="0" w:space="0" w:color="auto"/>
            <w:bottom w:val="none" w:sz="0" w:space="0" w:color="auto"/>
            <w:right w:val="none" w:sz="0" w:space="0" w:color="auto"/>
          </w:divBdr>
        </w:div>
        <w:div w:id="1758601421">
          <w:marLeft w:val="0"/>
          <w:marRight w:val="0"/>
          <w:marTop w:val="0"/>
          <w:marBottom w:val="0"/>
          <w:divBdr>
            <w:top w:val="none" w:sz="0" w:space="0" w:color="auto"/>
            <w:left w:val="none" w:sz="0" w:space="0" w:color="auto"/>
            <w:bottom w:val="none" w:sz="0" w:space="0" w:color="auto"/>
            <w:right w:val="none" w:sz="0" w:space="0" w:color="auto"/>
          </w:divBdr>
        </w:div>
        <w:div w:id="2028752042">
          <w:marLeft w:val="0"/>
          <w:marRight w:val="0"/>
          <w:marTop w:val="0"/>
          <w:marBottom w:val="0"/>
          <w:divBdr>
            <w:top w:val="none" w:sz="0" w:space="0" w:color="auto"/>
            <w:left w:val="none" w:sz="0" w:space="0" w:color="auto"/>
            <w:bottom w:val="none" w:sz="0" w:space="0" w:color="auto"/>
            <w:right w:val="none" w:sz="0" w:space="0" w:color="auto"/>
          </w:divBdr>
        </w:div>
        <w:div w:id="1200632138">
          <w:marLeft w:val="0"/>
          <w:marRight w:val="0"/>
          <w:marTop w:val="0"/>
          <w:marBottom w:val="0"/>
          <w:divBdr>
            <w:top w:val="none" w:sz="0" w:space="0" w:color="auto"/>
            <w:left w:val="none" w:sz="0" w:space="0" w:color="auto"/>
            <w:bottom w:val="none" w:sz="0" w:space="0" w:color="auto"/>
            <w:right w:val="none" w:sz="0" w:space="0" w:color="auto"/>
          </w:divBdr>
        </w:div>
        <w:div w:id="2109545620">
          <w:marLeft w:val="0"/>
          <w:marRight w:val="0"/>
          <w:marTop w:val="0"/>
          <w:marBottom w:val="0"/>
          <w:divBdr>
            <w:top w:val="none" w:sz="0" w:space="0" w:color="auto"/>
            <w:left w:val="none" w:sz="0" w:space="0" w:color="auto"/>
            <w:bottom w:val="none" w:sz="0" w:space="0" w:color="auto"/>
            <w:right w:val="none" w:sz="0" w:space="0" w:color="auto"/>
          </w:divBdr>
        </w:div>
        <w:div w:id="2039621045">
          <w:marLeft w:val="0"/>
          <w:marRight w:val="0"/>
          <w:marTop w:val="0"/>
          <w:marBottom w:val="0"/>
          <w:divBdr>
            <w:top w:val="none" w:sz="0" w:space="0" w:color="auto"/>
            <w:left w:val="none" w:sz="0" w:space="0" w:color="auto"/>
            <w:bottom w:val="none" w:sz="0" w:space="0" w:color="auto"/>
            <w:right w:val="none" w:sz="0" w:space="0" w:color="auto"/>
          </w:divBdr>
        </w:div>
        <w:div w:id="708720375">
          <w:marLeft w:val="0"/>
          <w:marRight w:val="0"/>
          <w:marTop w:val="0"/>
          <w:marBottom w:val="0"/>
          <w:divBdr>
            <w:top w:val="none" w:sz="0" w:space="0" w:color="auto"/>
            <w:left w:val="none" w:sz="0" w:space="0" w:color="auto"/>
            <w:bottom w:val="none" w:sz="0" w:space="0" w:color="auto"/>
            <w:right w:val="none" w:sz="0" w:space="0" w:color="auto"/>
          </w:divBdr>
        </w:div>
        <w:div w:id="1224682055">
          <w:marLeft w:val="0"/>
          <w:marRight w:val="0"/>
          <w:marTop w:val="0"/>
          <w:marBottom w:val="0"/>
          <w:divBdr>
            <w:top w:val="none" w:sz="0" w:space="0" w:color="auto"/>
            <w:left w:val="none" w:sz="0" w:space="0" w:color="auto"/>
            <w:bottom w:val="none" w:sz="0" w:space="0" w:color="auto"/>
            <w:right w:val="none" w:sz="0" w:space="0" w:color="auto"/>
          </w:divBdr>
        </w:div>
        <w:div w:id="7369006">
          <w:marLeft w:val="0"/>
          <w:marRight w:val="0"/>
          <w:marTop w:val="0"/>
          <w:marBottom w:val="0"/>
          <w:divBdr>
            <w:top w:val="none" w:sz="0" w:space="0" w:color="auto"/>
            <w:left w:val="none" w:sz="0" w:space="0" w:color="auto"/>
            <w:bottom w:val="none" w:sz="0" w:space="0" w:color="auto"/>
            <w:right w:val="none" w:sz="0" w:space="0" w:color="auto"/>
          </w:divBdr>
        </w:div>
        <w:div w:id="221600535">
          <w:marLeft w:val="0"/>
          <w:marRight w:val="0"/>
          <w:marTop w:val="0"/>
          <w:marBottom w:val="0"/>
          <w:divBdr>
            <w:top w:val="none" w:sz="0" w:space="0" w:color="auto"/>
            <w:left w:val="none" w:sz="0" w:space="0" w:color="auto"/>
            <w:bottom w:val="none" w:sz="0" w:space="0" w:color="auto"/>
            <w:right w:val="none" w:sz="0" w:space="0" w:color="auto"/>
          </w:divBdr>
        </w:div>
        <w:div w:id="1340426193">
          <w:marLeft w:val="0"/>
          <w:marRight w:val="0"/>
          <w:marTop w:val="0"/>
          <w:marBottom w:val="0"/>
          <w:divBdr>
            <w:top w:val="none" w:sz="0" w:space="0" w:color="auto"/>
            <w:left w:val="none" w:sz="0" w:space="0" w:color="auto"/>
            <w:bottom w:val="none" w:sz="0" w:space="0" w:color="auto"/>
            <w:right w:val="none" w:sz="0" w:space="0" w:color="auto"/>
          </w:divBdr>
        </w:div>
        <w:div w:id="662928722">
          <w:marLeft w:val="0"/>
          <w:marRight w:val="0"/>
          <w:marTop w:val="0"/>
          <w:marBottom w:val="0"/>
          <w:divBdr>
            <w:top w:val="none" w:sz="0" w:space="0" w:color="auto"/>
            <w:left w:val="none" w:sz="0" w:space="0" w:color="auto"/>
            <w:bottom w:val="none" w:sz="0" w:space="0" w:color="auto"/>
            <w:right w:val="none" w:sz="0" w:space="0" w:color="auto"/>
          </w:divBdr>
        </w:div>
        <w:div w:id="1922179579">
          <w:marLeft w:val="0"/>
          <w:marRight w:val="0"/>
          <w:marTop w:val="0"/>
          <w:marBottom w:val="0"/>
          <w:divBdr>
            <w:top w:val="none" w:sz="0" w:space="0" w:color="auto"/>
            <w:left w:val="none" w:sz="0" w:space="0" w:color="auto"/>
            <w:bottom w:val="none" w:sz="0" w:space="0" w:color="auto"/>
            <w:right w:val="none" w:sz="0" w:space="0" w:color="auto"/>
          </w:divBdr>
        </w:div>
        <w:div w:id="497120036">
          <w:marLeft w:val="0"/>
          <w:marRight w:val="0"/>
          <w:marTop w:val="0"/>
          <w:marBottom w:val="0"/>
          <w:divBdr>
            <w:top w:val="none" w:sz="0" w:space="0" w:color="auto"/>
            <w:left w:val="none" w:sz="0" w:space="0" w:color="auto"/>
            <w:bottom w:val="none" w:sz="0" w:space="0" w:color="auto"/>
            <w:right w:val="none" w:sz="0" w:space="0" w:color="auto"/>
          </w:divBdr>
        </w:div>
        <w:div w:id="1647583820">
          <w:marLeft w:val="0"/>
          <w:marRight w:val="0"/>
          <w:marTop w:val="0"/>
          <w:marBottom w:val="0"/>
          <w:divBdr>
            <w:top w:val="none" w:sz="0" w:space="0" w:color="auto"/>
            <w:left w:val="none" w:sz="0" w:space="0" w:color="auto"/>
            <w:bottom w:val="none" w:sz="0" w:space="0" w:color="auto"/>
            <w:right w:val="none" w:sz="0" w:space="0" w:color="auto"/>
          </w:divBdr>
        </w:div>
        <w:div w:id="1451389990">
          <w:marLeft w:val="0"/>
          <w:marRight w:val="0"/>
          <w:marTop w:val="0"/>
          <w:marBottom w:val="0"/>
          <w:divBdr>
            <w:top w:val="none" w:sz="0" w:space="0" w:color="auto"/>
            <w:left w:val="none" w:sz="0" w:space="0" w:color="auto"/>
            <w:bottom w:val="none" w:sz="0" w:space="0" w:color="auto"/>
            <w:right w:val="none" w:sz="0" w:space="0" w:color="auto"/>
          </w:divBdr>
        </w:div>
        <w:div w:id="1943143401">
          <w:marLeft w:val="0"/>
          <w:marRight w:val="0"/>
          <w:marTop w:val="0"/>
          <w:marBottom w:val="0"/>
          <w:divBdr>
            <w:top w:val="none" w:sz="0" w:space="0" w:color="auto"/>
            <w:left w:val="none" w:sz="0" w:space="0" w:color="auto"/>
            <w:bottom w:val="none" w:sz="0" w:space="0" w:color="auto"/>
            <w:right w:val="none" w:sz="0" w:space="0" w:color="auto"/>
          </w:divBdr>
        </w:div>
        <w:div w:id="54860532">
          <w:marLeft w:val="0"/>
          <w:marRight w:val="0"/>
          <w:marTop w:val="0"/>
          <w:marBottom w:val="0"/>
          <w:divBdr>
            <w:top w:val="none" w:sz="0" w:space="0" w:color="auto"/>
            <w:left w:val="none" w:sz="0" w:space="0" w:color="auto"/>
            <w:bottom w:val="none" w:sz="0" w:space="0" w:color="auto"/>
            <w:right w:val="none" w:sz="0" w:space="0" w:color="auto"/>
          </w:divBdr>
        </w:div>
        <w:div w:id="217516044">
          <w:marLeft w:val="0"/>
          <w:marRight w:val="0"/>
          <w:marTop w:val="0"/>
          <w:marBottom w:val="0"/>
          <w:divBdr>
            <w:top w:val="none" w:sz="0" w:space="0" w:color="auto"/>
            <w:left w:val="none" w:sz="0" w:space="0" w:color="auto"/>
            <w:bottom w:val="none" w:sz="0" w:space="0" w:color="auto"/>
            <w:right w:val="none" w:sz="0" w:space="0" w:color="auto"/>
          </w:divBdr>
        </w:div>
        <w:div w:id="1215040775">
          <w:marLeft w:val="0"/>
          <w:marRight w:val="0"/>
          <w:marTop w:val="0"/>
          <w:marBottom w:val="0"/>
          <w:divBdr>
            <w:top w:val="none" w:sz="0" w:space="0" w:color="auto"/>
            <w:left w:val="none" w:sz="0" w:space="0" w:color="auto"/>
            <w:bottom w:val="none" w:sz="0" w:space="0" w:color="auto"/>
            <w:right w:val="none" w:sz="0" w:space="0" w:color="auto"/>
          </w:divBdr>
        </w:div>
        <w:div w:id="1678653886">
          <w:marLeft w:val="0"/>
          <w:marRight w:val="0"/>
          <w:marTop w:val="0"/>
          <w:marBottom w:val="0"/>
          <w:divBdr>
            <w:top w:val="none" w:sz="0" w:space="0" w:color="auto"/>
            <w:left w:val="none" w:sz="0" w:space="0" w:color="auto"/>
            <w:bottom w:val="none" w:sz="0" w:space="0" w:color="auto"/>
            <w:right w:val="none" w:sz="0" w:space="0" w:color="auto"/>
          </w:divBdr>
        </w:div>
        <w:div w:id="1080642182">
          <w:marLeft w:val="0"/>
          <w:marRight w:val="0"/>
          <w:marTop w:val="0"/>
          <w:marBottom w:val="0"/>
          <w:divBdr>
            <w:top w:val="none" w:sz="0" w:space="0" w:color="auto"/>
            <w:left w:val="none" w:sz="0" w:space="0" w:color="auto"/>
            <w:bottom w:val="none" w:sz="0" w:space="0" w:color="auto"/>
            <w:right w:val="none" w:sz="0" w:space="0" w:color="auto"/>
          </w:divBdr>
        </w:div>
        <w:div w:id="256405742">
          <w:marLeft w:val="0"/>
          <w:marRight w:val="0"/>
          <w:marTop w:val="0"/>
          <w:marBottom w:val="0"/>
          <w:divBdr>
            <w:top w:val="none" w:sz="0" w:space="0" w:color="auto"/>
            <w:left w:val="none" w:sz="0" w:space="0" w:color="auto"/>
            <w:bottom w:val="none" w:sz="0" w:space="0" w:color="auto"/>
            <w:right w:val="none" w:sz="0" w:space="0" w:color="auto"/>
          </w:divBdr>
        </w:div>
        <w:div w:id="354695357">
          <w:marLeft w:val="0"/>
          <w:marRight w:val="0"/>
          <w:marTop w:val="0"/>
          <w:marBottom w:val="0"/>
          <w:divBdr>
            <w:top w:val="none" w:sz="0" w:space="0" w:color="auto"/>
            <w:left w:val="none" w:sz="0" w:space="0" w:color="auto"/>
            <w:bottom w:val="none" w:sz="0" w:space="0" w:color="auto"/>
            <w:right w:val="none" w:sz="0" w:space="0" w:color="auto"/>
          </w:divBdr>
        </w:div>
        <w:div w:id="1196306017">
          <w:marLeft w:val="0"/>
          <w:marRight w:val="0"/>
          <w:marTop w:val="0"/>
          <w:marBottom w:val="0"/>
          <w:divBdr>
            <w:top w:val="none" w:sz="0" w:space="0" w:color="auto"/>
            <w:left w:val="none" w:sz="0" w:space="0" w:color="auto"/>
            <w:bottom w:val="none" w:sz="0" w:space="0" w:color="auto"/>
            <w:right w:val="none" w:sz="0" w:space="0" w:color="auto"/>
          </w:divBdr>
        </w:div>
        <w:div w:id="1484083345">
          <w:marLeft w:val="0"/>
          <w:marRight w:val="0"/>
          <w:marTop w:val="0"/>
          <w:marBottom w:val="0"/>
          <w:divBdr>
            <w:top w:val="none" w:sz="0" w:space="0" w:color="auto"/>
            <w:left w:val="none" w:sz="0" w:space="0" w:color="auto"/>
            <w:bottom w:val="none" w:sz="0" w:space="0" w:color="auto"/>
            <w:right w:val="none" w:sz="0" w:space="0" w:color="auto"/>
          </w:divBdr>
        </w:div>
        <w:div w:id="1767535879">
          <w:marLeft w:val="0"/>
          <w:marRight w:val="0"/>
          <w:marTop w:val="0"/>
          <w:marBottom w:val="0"/>
          <w:divBdr>
            <w:top w:val="none" w:sz="0" w:space="0" w:color="auto"/>
            <w:left w:val="none" w:sz="0" w:space="0" w:color="auto"/>
            <w:bottom w:val="none" w:sz="0" w:space="0" w:color="auto"/>
            <w:right w:val="none" w:sz="0" w:space="0" w:color="auto"/>
          </w:divBdr>
        </w:div>
        <w:div w:id="991252951">
          <w:marLeft w:val="0"/>
          <w:marRight w:val="0"/>
          <w:marTop w:val="0"/>
          <w:marBottom w:val="0"/>
          <w:divBdr>
            <w:top w:val="none" w:sz="0" w:space="0" w:color="auto"/>
            <w:left w:val="none" w:sz="0" w:space="0" w:color="auto"/>
            <w:bottom w:val="none" w:sz="0" w:space="0" w:color="auto"/>
            <w:right w:val="none" w:sz="0" w:space="0" w:color="auto"/>
          </w:divBdr>
        </w:div>
        <w:div w:id="957374507">
          <w:marLeft w:val="0"/>
          <w:marRight w:val="0"/>
          <w:marTop w:val="0"/>
          <w:marBottom w:val="0"/>
          <w:divBdr>
            <w:top w:val="none" w:sz="0" w:space="0" w:color="auto"/>
            <w:left w:val="none" w:sz="0" w:space="0" w:color="auto"/>
            <w:bottom w:val="none" w:sz="0" w:space="0" w:color="auto"/>
            <w:right w:val="none" w:sz="0" w:space="0" w:color="auto"/>
          </w:divBdr>
        </w:div>
        <w:div w:id="153226655">
          <w:marLeft w:val="0"/>
          <w:marRight w:val="0"/>
          <w:marTop w:val="0"/>
          <w:marBottom w:val="0"/>
          <w:divBdr>
            <w:top w:val="none" w:sz="0" w:space="0" w:color="auto"/>
            <w:left w:val="none" w:sz="0" w:space="0" w:color="auto"/>
            <w:bottom w:val="none" w:sz="0" w:space="0" w:color="auto"/>
            <w:right w:val="none" w:sz="0" w:space="0" w:color="auto"/>
          </w:divBdr>
        </w:div>
        <w:div w:id="302004162">
          <w:marLeft w:val="0"/>
          <w:marRight w:val="0"/>
          <w:marTop w:val="0"/>
          <w:marBottom w:val="0"/>
          <w:divBdr>
            <w:top w:val="none" w:sz="0" w:space="0" w:color="auto"/>
            <w:left w:val="none" w:sz="0" w:space="0" w:color="auto"/>
            <w:bottom w:val="none" w:sz="0" w:space="0" w:color="auto"/>
            <w:right w:val="none" w:sz="0" w:space="0" w:color="auto"/>
          </w:divBdr>
        </w:div>
        <w:div w:id="586034152">
          <w:marLeft w:val="0"/>
          <w:marRight w:val="0"/>
          <w:marTop w:val="0"/>
          <w:marBottom w:val="0"/>
          <w:divBdr>
            <w:top w:val="none" w:sz="0" w:space="0" w:color="auto"/>
            <w:left w:val="none" w:sz="0" w:space="0" w:color="auto"/>
            <w:bottom w:val="none" w:sz="0" w:space="0" w:color="auto"/>
            <w:right w:val="none" w:sz="0" w:space="0" w:color="auto"/>
          </w:divBdr>
        </w:div>
        <w:div w:id="153183975">
          <w:marLeft w:val="0"/>
          <w:marRight w:val="0"/>
          <w:marTop w:val="0"/>
          <w:marBottom w:val="0"/>
          <w:divBdr>
            <w:top w:val="none" w:sz="0" w:space="0" w:color="auto"/>
            <w:left w:val="none" w:sz="0" w:space="0" w:color="auto"/>
            <w:bottom w:val="none" w:sz="0" w:space="0" w:color="auto"/>
            <w:right w:val="none" w:sz="0" w:space="0" w:color="auto"/>
          </w:divBdr>
        </w:div>
        <w:div w:id="1607695884">
          <w:marLeft w:val="0"/>
          <w:marRight w:val="0"/>
          <w:marTop w:val="0"/>
          <w:marBottom w:val="0"/>
          <w:divBdr>
            <w:top w:val="none" w:sz="0" w:space="0" w:color="auto"/>
            <w:left w:val="none" w:sz="0" w:space="0" w:color="auto"/>
            <w:bottom w:val="none" w:sz="0" w:space="0" w:color="auto"/>
            <w:right w:val="none" w:sz="0" w:space="0" w:color="auto"/>
          </w:divBdr>
        </w:div>
        <w:div w:id="1109199272">
          <w:marLeft w:val="0"/>
          <w:marRight w:val="0"/>
          <w:marTop w:val="0"/>
          <w:marBottom w:val="0"/>
          <w:divBdr>
            <w:top w:val="none" w:sz="0" w:space="0" w:color="auto"/>
            <w:left w:val="none" w:sz="0" w:space="0" w:color="auto"/>
            <w:bottom w:val="none" w:sz="0" w:space="0" w:color="auto"/>
            <w:right w:val="none" w:sz="0" w:space="0" w:color="auto"/>
          </w:divBdr>
        </w:div>
        <w:div w:id="26296640">
          <w:marLeft w:val="0"/>
          <w:marRight w:val="0"/>
          <w:marTop w:val="0"/>
          <w:marBottom w:val="0"/>
          <w:divBdr>
            <w:top w:val="none" w:sz="0" w:space="0" w:color="auto"/>
            <w:left w:val="none" w:sz="0" w:space="0" w:color="auto"/>
            <w:bottom w:val="none" w:sz="0" w:space="0" w:color="auto"/>
            <w:right w:val="none" w:sz="0" w:space="0" w:color="auto"/>
          </w:divBdr>
        </w:div>
        <w:div w:id="1374577210">
          <w:marLeft w:val="0"/>
          <w:marRight w:val="0"/>
          <w:marTop w:val="0"/>
          <w:marBottom w:val="0"/>
          <w:divBdr>
            <w:top w:val="none" w:sz="0" w:space="0" w:color="auto"/>
            <w:left w:val="none" w:sz="0" w:space="0" w:color="auto"/>
            <w:bottom w:val="none" w:sz="0" w:space="0" w:color="auto"/>
            <w:right w:val="none" w:sz="0" w:space="0" w:color="auto"/>
          </w:divBdr>
        </w:div>
        <w:div w:id="2061437142">
          <w:marLeft w:val="0"/>
          <w:marRight w:val="0"/>
          <w:marTop w:val="0"/>
          <w:marBottom w:val="0"/>
          <w:divBdr>
            <w:top w:val="none" w:sz="0" w:space="0" w:color="auto"/>
            <w:left w:val="none" w:sz="0" w:space="0" w:color="auto"/>
            <w:bottom w:val="none" w:sz="0" w:space="0" w:color="auto"/>
            <w:right w:val="none" w:sz="0" w:space="0" w:color="auto"/>
          </w:divBdr>
        </w:div>
        <w:div w:id="143786305">
          <w:marLeft w:val="0"/>
          <w:marRight w:val="0"/>
          <w:marTop w:val="0"/>
          <w:marBottom w:val="0"/>
          <w:divBdr>
            <w:top w:val="none" w:sz="0" w:space="0" w:color="auto"/>
            <w:left w:val="none" w:sz="0" w:space="0" w:color="auto"/>
            <w:bottom w:val="none" w:sz="0" w:space="0" w:color="auto"/>
            <w:right w:val="none" w:sz="0" w:space="0" w:color="auto"/>
          </w:divBdr>
        </w:div>
        <w:div w:id="540048567">
          <w:marLeft w:val="0"/>
          <w:marRight w:val="0"/>
          <w:marTop w:val="0"/>
          <w:marBottom w:val="0"/>
          <w:divBdr>
            <w:top w:val="none" w:sz="0" w:space="0" w:color="auto"/>
            <w:left w:val="none" w:sz="0" w:space="0" w:color="auto"/>
            <w:bottom w:val="none" w:sz="0" w:space="0" w:color="auto"/>
            <w:right w:val="none" w:sz="0" w:space="0" w:color="auto"/>
          </w:divBdr>
        </w:div>
        <w:div w:id="749231048">
          <w:marLeft w:val="0"/>
          <w:marRight w:val="0"/>
          <w:marTop w:val="0"/>
          <w:marBottom w:val="0"/>
          <w:divBdr>
            <w:top w:val="none" w:sz="0" w:space="0" w:color="auto"/>
            <w:left w:val="none" w:sz="0" w:space="0" w:color="auto"/>
            <w:bottom w:val="none" w:sz="0" w:space="0" w:color="auto"/>
            <w:right w:val="none" w:sz="0" w:space="0" w:color="auto"/>
          </w:divBdr>
        </w:div>
        <w:div w:id="747729057">
          <w:marLeft w:val="0"/>
          <w:marRight w:val="0"/>
          <w:marTop w:val="0"/>
          <w:marBottom w:val="0"/>
          <w:divBdr>
            <w:top w:val="none" w:sz="0" w:space="0" w:color="auto"/>
            <w:left w:val="none" w:sz="0" w:space="0" w:color="auto"/>
            <w:bottom w:val="none" w:sz="0" w:space="0" w:color="auto"/>
            <w:right w:val="none" w:sz="0" w:space="0" w:color="auto"/>
          </w:divBdr>
        </w:div>
        <w:div w:id="97793070">
          <w:marLeft w:val="0"/>
          <w:marRight w:val="0"/>
          <w:marTop w:val="0"/>
          <w:marBottom w:val="0"/>
          <w:divBdr>
            <w:top w:val="none" w:sz="0" w:space="0" w:color="auto"/>
            <w:left w:val="none" w:sz="0" w:space="0" w:color="auto"/>
            <w:bottom w:val="none" w:sz="0" w:space="0" w:color="auto"/>
            <w:right w:val="none" w:sz="0" w:space="0" w:color="auto"/>
          </w:divBdr>
        </w:div>
        <w:div w:id="1769737764">
          <w:marLeft w:val="0"/>
          <w:marRight w:val="0"/>
          <w:marTop w:val="0"/>
          <w:marBottom w:val="0"/>
          <w:divBdr>
            <w:top w:val="none" w:sz="0" w:space="0" w:color="auto"/>
            <w:left w:val="none" w:sz="0" w:space="0" w:color="auto"/>
            <w:bottom w:val="none" w:sz="0" w:space="0" w:color="auto"/>
            <w:right w:val="none" w:sz="0" w:space="0" w:color="auto"/>
          </w:divBdr>
        </w:div>
        <w:div w:id="267201619">
          <w:marLeft w:val="0"/>
          <w:marRight w:val="0"/>
          <w:marTop w:val="0"/>
          <w:marBottom w:val="0"/>
          <w:divBdr>
            <w:top w:val="none" w:sz="0" w:space="0" w:color="auto"/>
            <w:left w:val="none" w:sz="0" w:space="0" w:color="auto"/>
            <w:bottom w:val="none" w:sz="0" w:space="0" w:color="auto"/>
            <w:right w:val="none" w:sz="0" w:space="0" w:color="auto"/>
          </w:divBdr>
        </w:div>
        <w:div w:id="1908412827">
          <w:marLeft w:val="0"/>
          <w:marRight w:val="0"/>
          <w:marTop w:val="0"/>
          <w:marBottom w:val="0"/>
          <w:divBdr>
            <w:top w:val="none" w:sz="0" w:space="0" w:color="auto"/>
            <w:left w:val="none" w:sz="0" w:space="0" w:color="auto"/>
            <w:bottom w:val="none" w:sz="0" w:space="0" w:color="auto"/>
            <w:right w:val="none" w:sz="0" w:space="0" w:color="auto"/>
          </w:divBdr>
        </w:div>
        <w:div w:id="67457376">
          <w:marLeft w:val="0"/>
          <w:marRight w:val="0"/>
          <w:marTop w:val="0"/>
          <w:marBottom w:val="0"/>
          <w:divBdr>
            <w:top w:val="none" w:sz="0" w:space="0" w:color="auto"/>
            <w:left w:val="none" w:sz="0" w:space="0" w:color="auto"/>
            <w:bottom w:val="none" w:sz="0" w:space="0" w:color="auto"/>
            <w:right w:val="none" w:sz="0" w:space="0" w:color="auto"/>
          </w:divBdr>
        </w:div>
        <w:div w:id="2084721336">
          <w:marLeft w:val="0"/>
          <w:marRight w:val="0"/>
          <w:marTop w:val="0"/>
          <w:marBottom w:val="0"/>
          <w:divBdr>
            <w:top w:val="none" w:sz="0" w:space="0" w:color="auto"/>
            <w:left w:val="none" w:sz="0" w:space="0" w:color="auto"/>
            <w:bottom w:val="none" w:sz="0" w:space="0" w:color="auto"/>
            <w:right w:val="none" w:sz="0" w:space="0" w:color="auto"/>
          </w:divBdr>
        </w:div>
        <w:div w:id="118960100">
          <w:marLeft w:val="0"/>
          <w:marRight w:val="0"/>
          <w:marTop w:val="0"/>
          <w:marBottom w:val="0"/>
          <w:divBdr>
            <w:top w:val="none" w:sz="0" w:space="0" w:color="auto"/>
            <w:left w:val="none" w:sz="0" w:space="0" w:color="auto"/>
            <w:bottom w:val="none" w:sz="0" w:space="0" w:color="auto"/>
            <w:right w:val="none" w:sz="0" w:space="0" w:color="auto"/>
          </w:divBdr>
        </w:div>
        <w:div w:id="1127233489">
          <w:marLeft w:val="0"/>
          <w:marRight w:val="0"/>
          <w:marTop w:val="0"/>
          <w:marBottom w:val="0"/>
          <w:divBdr>
            <w:top w:val="none" w:sz="0" w:space="0" w:color="auto"/>
            <w:left w:val="none" w:sz="0" w:space="0" w:color="auto"/>
            <w:bottom w:val="none" w:sz="0" w:space="0" w:color="auto"/>
            <w:right w:val="none" w:sz="0" w:space="0" w:color="auto"/>
          </w:divBdr>
        </w:div>
        <w:div w:id="1680230989">
          <w:marLeft w:val="0"/>
          <w:marRight w:val="0"/>
          <w:marTop w:val="0"/>
          <w:marBottom w:val="0"/>
          <w:divBdr>
            <w:top w:val="none" w:sz="0" w:space="0" w:color="auto"/>
            <w:left w:val="none" w:sz="0" w:space="0" w:color="auto"/>
            <w:bottom w:val="none" w:sz="0" w:space="0" w:color="auto"/>
            <w:right w:val="none" w:sz="0" w:space="0" w:color="auto"/>
          </w:divBdr>
        </w:div>
        <w:div w:id="2087413197">
          <w:marLeft w:val="0"/>
          <w:marRight w:val="0"/>
          <w:marTop w:val="0"/>
          <w:marBottom w:val="0"/>
          <w:divBdr>
            <w:top w:val="none" w:sz="0" w:space="0" w:color="auto"/>
            <w:left w:val="none" w:sz="0" w:space="0" w:color="auto"/>
            <w:bottom w:val="none" w:sz="0" w:space="0" w:color="auto"/>
            <w:right w:val="none" w:sz="0" w:space="0" w:color="auto"/>
          </w:divBdr>
        </w:div>
        <w:div w:id="407968432">
          <w:marLeft w:val="0"/>
          <w:marRight w:val="0"/>
          <w:marTop w:val="0"/>
          <w:marBottom w:val="0"/>
          <w:divBdr>
            <w:top w:val="none" w:sz="0" w:space="0" w:color="auto"/>
            <w:left w:val="none" w:sz="0" w:space="0" w:color="auto"/>
            <w:bottom w:val="none" w:sz="0" w:space="0" w:color="auto"/>
            <w:right w:val="none" w:sz="0" w:space="0" w:color="auto"/>
          </w:divBdr>
        </w:div>
        <w:div w:id="1420102919">
          <w:marLeft w:val="0"/>
          <w:marRight w:val="0"/>
          <w:marTop w:val="0"/>
          <w:marBottom w:val="0"/>
          <w:divBdr>
            <w:top w:val="none" w:sz="0" w:space="0" w:color="auto"/>
            <w:left w:val="none" w:sz="0" w:space="0" w:color="auto"/>
            <w:bottom w:val="none" w:sz="0" w:space="0" w:color="auto"/>
            <w:right w:val="none" w:sz="0" w:space="0" w:color="auto"/>
          </w:divBdr>
        </w:div>
        <w:div w:id="1250234784">
          <w:marLeft w:val="0"/>
          <w:marRight w:val="0"/>
          <w:marTop w:val="0"/>
          <w:marBottom w:val="0"/>
          <w:divBdr>
            <w:top w:val="none" w:sz="0" w:space="0" w:color="auto"/>
            <w:left w:val="none" w:sz="0" w:space="0" w:color="auto"/>
            <w:bottom w:val="none" w:sz="0" w:space="0" w:color="auto"/>
            <w:right w:val="none" w:sz="0" w:space="0" w:color="auto"/>
          </w:divBdr>
        </w:div>
        <w:div w:id="1104500585">
          <w:marLeft w:val="0"/>
          <w:marRight w:val="0"/>
          <w:marTop w:val="0"/>
          <w:marBottom w:val="0"/>
          <w:divBdr>
            <w:top w:val="none" w:sz="0" w:space="0" w:color="auto"/>
            <w:left w:val="none" w:sz="0" w:space="0" w:color="auto"/>
            <w:bottom w:val="none" w:sz="0" w:space="0" w:color="auto"/>
            <w:right w:val="none" w:sz="0" w:space="0" w:color="auto"/>
          </w:divBdr>
        </w:div>
        <w:div w:id="33359538">
          <w:marLeft w:val="0"/>
          <w:marRight w:val="0"/>
          <w:marTop w:val="0"/>
          <w:marBottom w:val="0"/>
          <w:divBdr>
            <w:top w:val="none" w:sz="0" w:space="0" w:color="auto"/>
            <w:left w:val="none" w:sz="0" w:space="0" w:color="auto"/>
            <w:bottom w:val="none" w:sz="0" w:space="0" w:color="auto"/>
            <w:right w:val="none" w:sz="0" w:space="0" w:color="auto"/>
          </w:divBdr>
        </w:div>
        <w:div w:id="1821116222">
          <w:marLeft w:val="0"/>
          <w:marRight w:val="0"/>
          <w:marTop w:val="0"/>
          <w:marBottom w:val="0"/>
          <w:divBdr>
            <w:top w:val="none" w:sz="0" w:space="0" w:color="auto"/>
            <w:left w:val="none" w:sz="0" w:space="0" w:color="auto"/>
            <w:bottom w:val="none" w:sz="0" w:space="0" w:color="auto"/>
            <w:right w:val="none" w:sz="0" w:space="0" w:color="auto"/>
          </w:divBdr>
        </w:div>
        <w:div w:id="1865630848">
          <w:marLeft w:val="0"/>
          <w:marRight w:val="0"/>
          <w:marTop w:val="0"/>
          <w:marBottom w:val="0"/>
          <w:divBdr>
            <w:top w:val="none" w:sz="0" w:space="0" w:color="auto"/>
            <w:left w:val="none" w:sz="0" w:space="0" w:color="auto"/>
            <w:bottom w:val="none" w:sz="0" w:space="0" w:color="auto"/>
            <w:right w:val="none" w:sz="0" w:space="0" w:color="auto"/>
          </w:divBdr>
        </w:div>
        <w:div w:id="2053068310">
          <w:marLeft w:val="0"/>
          <w:marRight w:val="0"/>
          <w:marTop w:val="0"/>
          <w:marBottom w:val="0"/>
          <w:divBdr>
            <w:top w:val="none" w:sz="0" w:space="0" w:color="auto"/>
            <w:left w:val="none" w:sz="0" w:space="0" w:color="auto"/>
            <w:bottom w:val="none" w:sz="0" w:space="0" w:color="auto"/>
            <w:right w:val="none" w:sz="0" w:space="0" w:color="auto"/>
          </w:divBdr>
        </w:div>
        <w:div w:id="827357663">
          <w:marLeft w:val="0"/>
          <w:marRight w:val="0"/>
          <w:marTop w:val="0"/>
          <w:marBottom w:val="0"/>
          <w:divBdr>
            <w:top w:val="none" w:sz="0" w:space="0" w:color="auto"/>
            <w:left w:val="none" w:sz="0" w:space="0" w:color="auto"/>
            <w:bottom w:val="none" w:sz="0" w:space="0" w:color="auto"/>
            <w:right w:val="none" w:sz="0" w:space="0" w:color="auto"/>
          </w:divBdr>
        </w:div>
        <w:div w:id="544566327">
          <w:marLeft w:val="0"/>
          <w:marRight w:val="0"/>
          <w:marTop w:val="0"/>
          <w:marBottom w:val="0"/>
          <w:divBdr>
            <w:top w:val="none" w:sz="0" w:space="0" w:color="auto"/>
            <w:left w:val="none" w:sz="0" w:space="0" w:color="auto"/>
            <w:bottom w:val="none" w:sz="0" w:space="0" w:color="auto"/>
            <w:right w:val="none" w:sz="0" w:space="0" w:color="auto"/>
          </w:divBdr>
        </w:div>
        <w:div w:id="409816341">
          <w:marLeft w:val="0"/>
          <w:marRight w:val="0"/>
          <w:marTop w:val="0"/>
          <w:marBottom w:val="0"/>
          <w:divBdr>
            <w:top w:val="none" w:sz="0" w:space="0" w:color="auto"/>
            <w:left w:val="none" w:sz="0" w:space="0" w:color="auto"/>
            <w:bottom w:val="none" w:sz="0" w:space="0" w:color="auto"/>
            <w:right w:val="none" w:sz="0" w:space="0" w:color="auto"/>
          </w:divBdr>
        </w:div>
        <w:div w:id="1343511076">
          <w:marLeft w:val="0"/>
          <w:marRight w:val="0"/>
          <w:marTop w:val="0"/>
          <w:marBottom w:val="0"/>
          <w:divBdr>
            <w:top w:val="none" w:sz="0" w:space="0" w:color="auto"/>
            <w:left w:val="none" w:sz="0" w:space="0" w:color="auto"/>
            <w:bottom w:val="none" w:sz="0" w:space="0" w:color="auto"/>
            <w:right w:val="none" w:sz="0" w:space="0" w:color="auto"/>
          </w:divBdr>
        </w:div>
        <w:div w:id="988435799">
          <w:marLeft w:val="0"/>
          <w:marRight w:val="0"/>
          <w:marTop w:val="0"/>
          <w:marBottom w:val="0"/>
          <w:divBdr>
            <w:top w:val="none" w:sz="0" w:space="0" w:color="auto"/>
            <w:left w:val="none" w:sz="0" w:space="0" w:color="auto"/>
            <w:bottom w:val="none" w:sz="0" w:space="0" w:color="auto"/>
            <w:right w:val="none" w:sz="0" w:space="0" w:color="auto"/>
          </w:divBdr>
        </w:div>
        <w:div w:id="208734128">
          <w:marLeft w:val="0"/>
          <w:marRight w:val="0"/>
          <w:marTop w:val="0"/>
          <w:marBottom w:val="0"/>
          <w:divBdr>
            <w:top w:val="none" w:sz="0" w:space="0" w:color="auto"/>
            <w:left w:val="none" w:sz="0" w:space="0" w:color="auto"/>
            <w:bottom w:val="none" w:sz="0" w:space="0" w:color="auto"/>
            <w:right w:val="none" w:sz="0" w:space="0" w:color="auto"/>
          </w:divBdr>
        </w:div>
        <w:div w:id="1715691712">
          <w:marLeft w:val="0"/>
          <w:marRight w:val="0"/>
          <w:marTop w:val="0"/>
          <w:marBottom w:val="0"/>
          <w:divBdr>
            <w:top w:val="none" w:sz="0" w:space="0" w:color="auto"/>
            <w:left w:val="none" w:sz="0" w:space="0" w:color="auto"/>
            <w:bottom w:val="none" w:sz="0" w:space="0" w:color="auto"/>
            <w:right w:val="none" w:sz="0" w:space="0" w:color="auto"/>
          </w:divBdr>
        </w:div>
        <w:div w:id="1074938582">
          <w:marLeft w:val="0"/>
          <w:marRight w:val="0"/>
          <w:marTop w:val="0"/>
          <w:marBottom w:val="0"/>
          <w:divBdr>
            <w:top w:val="none" w:sz="0" w:space="0" w:color="auto"/>
            <w:left w:val="none" w:sz="0" w:space="0" w:color="auto"/>
            <w:bottom w:val="none" w:sz="0" w:space="0" w:color="auto"/>
            <w:right w:val="none" w:sz="0" w:space="0" w:color="auto"/>
          </w:divBdr>
        </w:div>
        <w:div w:id="395594336">
          <w:marLeft w:val="0"/>
          <w:marRight w:val="0"/>
          <w:marTop w:val="0"/>
          <w:marBottom w:val="0"/>
          <w:divBdr>
            <w:top w:val="none" w:sz="0" w:space="0" w:color="auto"/>
            <w:left w:val="none" w:sz="0" w:space="0" w:color="auto"/>
            <w:bottom w:val="none" w:sz="0" w:space="0" w:color="auto"/>
            <w:right w:val="none" w:sz="0" w:space="0" w:color="auto"/>
          </w:divBdr>
        </w:div>
        <w:div w:id="1612467224">
          <w:marLeft w:val="0"/>
          <w:marRight w:val="0"/>
          <w:marTop w:val="0"/>
          <w:marBottom w:val="0"/>
          <w:divBdr>
            <w:top w:val="none" w:sz="0" w:space="0" w:color="auto"/>
            <w:left w:val="none" w:sz="0" w:space="0" w:color="auto"/>
            <w:bottom w:val="none" w:sz="0" w:space="0" w:color="auto"/>
            <w:right w:val="none" w:sz="0" w:space="0" w:color="auto"/>
          </w:divBdr>
        </w:div>
        <w:div w:id="1484465512">
          <w:marLeft w:val="0"/>
          <w:marRight w:val="0"/>
          <w:marTop w:val="0"/>
          <w:marBottom w:val="0"/>
          <w:divBdr>
            <w:top w:val="none" w:sz="0" w:space="0" w:color="auto"/>
            <w:left w:val="none" w:sz="0" w:space="0" w:color="auto"/>
            <w:bottom w:val="none" w:sz="0" w:space="0" w:color="auto"/>
            <w:right w:val="none" w:sz="0" w:space="0" w:color="auto"/>
          </w:divBdr>
        </w:div>
        <w:div w:id="511844764">
          <w:marLeft w:val="0"/>
          <w:marRight w:val="0"/>
          <w:marTop w:val="0"/>
          <w:marBottom w:val="0"/>
          <w:divBdr>
            <w:top w:val="none" w:sz="0" w:space="0" w:color="auto"/>
            <w:left w:val="none" w:sz="0" w:space="0" w:color="auto"/>
            <w:bottom w:val="none" w:sz="0" w:space="0" w:color="auto"/>
            <w:right w:val="none" w:sz="0" w:space="0" w:color="auto"/>
          </w:divBdr>
        </w:div>
        <w:div w:id="1626541911">
          <w:marLeft w:val="0"/>
          <w:marRight w:val="0"/>
          <w:marTop w:val="0"/>
          <w:marBottom w:val="0"/>
          <w:divBdr>
            <w:top w:val="none" w:sz="0" w:space="0" w:color="auto"/>
            <w:left w:val="none" w:sz="0" w:space="0" w:color="auto"/>
            <w:bottom w:val="none" w:sz="0" w:space="0" w:color="auto"/>
            <w:right w:val="none" w:sz="0" w:space="0" w:color="auto"/>
          </w:divBdr>
        </w:div>
        <w:div w:id="78454254">
          <w:marLeft w:val="0"/>
          <w:marRight w:val="0"/>
          <w:marTop w:val="0"/>
          <w:marBottom w:val="0"/>
          <w:divBdr>
            <w:top w:val="none" w:sz="0" w:space="0" w:color="auto"/>
            <w:left w:val="none" w:sz="0" w:space="0" w:color="auto"/>
            <w:bottom w:val="none" w:sz="0" w:space="0" w:color="auto"/>
            <w:right w:val="none" w:sz="0" w:space="0" w:color="auto"/>
          </w:divBdr>
        </w:div>
        <w:div w:id="1200050991">
          <w:marLeft w:val="0"/>
          <w:marRight w:val="0"/>
          <w:marTop w:val="0"/>
          <w:marBottom w:val="0"/>
          <w:divBdr>
            <w:top w:val="none" w:sz="0" w:space="0" w:color="auto"/>
            <w:left w:val="none" w:sz="0" w:space="0" w:color="auto"/>
            <w:bottom w:val="none" w:sz="0" w:space="0" w:color="auto"/>
            <w:right w:val="none" w:sz="0" w:space="0" w:color="auto"/>
          </w:divBdr>
        </w:div>
        <w:div w:id="1495880601">
          <w:marLeft w:val="0"/>
          <w:marRight w:val="0"/>
          <w:marTop w:val="0"/>
          <w:marBottom w:val="0"/>
          <w:divBdr>
            <w:top w:val="none" w:sz="0" w:space="0" w:color="auto"/>
            <w:left w:val="none" w:sz="0" w:space="0" w:color="auto"/>
            <w:bottom w:val="none" w:sz="0" w:space="0" w:color="auto"/>
            <w:right w:val="none" w:sz="0" w:space="0" w:color="auto"/>
          </w:divBdr>
        </w:div>
        <w:div w:id="1202938116">
          <w:marLeft w:val="0"/>
          <w:marRight w:val="0"/>
          <w:marTop w:val="0"/>
          <w:marBottom w:val="0"/>
          <w:divBdr>
            <w:top w:val="none" w:sz="0" w:space="0" w:color="auto"/>
            <w:left w:val="none" w:sz="0" w:space="0" w:color="auto"/>
            <w:bottom w:val="none" w:sz="0" w:space="0" w:color="auto"/>
            <w:right w:val="none" w:sz="0" w:space="0" w:color="auto"/>
          </w:divBdr>
        </w:div>
        <w:div w:id="2119064729">
          <w:marLeft w:val="0"/>
          <w:marRight w:val="0"/>
          <w:marTop w:val="0"/>
          <w:marBottom w:val="0"/>
          <w:divBdr>
            <w:top w:val="none" w:sz="0" w:space="0" w:color="auto"/>
            <w:left w:val="none" w:sz="0" w:space="0" w:color="auto"/>
            <w:bottom w:val="none" w:sz="0" w:space="0" w:color="auto"/>
            <w:right w:val="none" w:sz="0" w:space="0" w:color="auto"/>
          </w:divBdr>
        </w:div>
        <w:div w:id="2128809792">
          <w:marLeft w:val="0"/>
          <w:marRight w:val="0"/>
          <w:marTop w:val="0"/>
          <w:marBottom w:val="0"/>
          <w:divBdr>
            <w:top w:val="none" w:sz="0" w:space="0" w:color="auto"/>
            <w:left w:val="none" w:sz="0" w:space="0" w:color="auto"/>
            <w:bottom w:val="none" w:sz="0" w:space="0" w:color="auto"/>
            <w:right w:val="none" w:sz="0" w:space="0" w:color="auto"/>
          </w:divBdr>
        </w:div>
        <w:div w:id="463278903">
          <w:marLeft w:val="0"/>
          <w:marRight w:val="0"/>
          <w:marTop w:val="0"/>
          <w:marBottom w:val="0"/>
          <w:divBdr>
            <w:top w:val="none" w:sz="0" w:space="0" w:color="auto"/>
            <w:left w:val="none" w:sz="0" w:space="0" w:color="auto"/>
            <w:bottom w:val="none" w:sz="0" w:space="0" w:color="auto"/>
            <w:right w:val="none" w:sz="0" w:space="0" w:color="auto"/>
          </w:divBdr>
        </w:div>
        <w:div w:id="1103720329">
          <w:marLeft w:val="0"/>
          <w:marRight w:val="0"/>
          <w:marTop w:val="0"/>
          <w:marBottom w:val="0"/>
          <w:divBdr>
            <w:top w:val="none" w:sz="0" w:space="0" w:color="auto"/>
            <w:left w:val="none" w:sz="0" w:space="0" w:color="auto"/>
            <w:bottom w:val="none" w:sz="0" w:space="0" w:color="auto"/>
            <w:right w:val="none" w:sz="0" w:space="0" w:color="auto"/>
          </w:divBdr>
        </w:div>
        <w:div w:id="337805226">
          <w:marLeft w:val="0"/>
          <w:marRight w:val="0"/>
          <w:marTop w:val="0"/>
          <w:marBottom w:val="0"/>
          <w:divBdr>
            <w:top w:val="none" w:sz="0" w:space="0" w:color="auto"/>
            <w:left w:val="none" w:sz="0" w:space="0" w:color="auto"/>
            <w:bottom w:val="none" w:sz="0" w:space="0" w:color="auto"/>
            <w:right w:val="none" w:sz="0" w:space="0" w:color="auto"/>
          </w:divBdr>
        </w:div>
        <w:div w:id="1269503624">
          <w:marLeft w:val="0"/>
          <w:marRight w:val="0"/>
          <w:marTop w:val="0"/>
          <w:marBottom w:val="0"/>
          <w:divBdr>
            <w:top w:val="none" w:sz="0" w:space="0" w:color="auto"/>
            <w:left w:val="none" w:sz="0" w:space="0" w:color="auto"/>
            <w:bottom w:val="none" w:sz="0" w:space="0" w:color="auto"/>
            <w:right w:val="none" w:sz="0" w:space="0" w:color="auto"/>
          </w:divBdr>
        </w:div>
        <w:div w:id="1733844033">
          <w:marLeft w:val="0"/>
          <w:marRight w:val="0"/>
          <w:marTop w:val="0"/>
          <w:marBottom w:val="0"/>
          <w:divBdr>
            <w:top w:val="none" w:sz="0" w:space="0" w:color="auto"/>
            <w:left w:val="none" w:sz="0" w:space="0" w:color="auto"/>
            <w:bottom w:val="none" w:sz="0" w:space="0" w:color="auto"/>
            <w:right w:val="none" w:sz="0" w:space="0" w:color="auto"/>
          </w:divBdr>
        </w:div>
        <w:div w:id="1192307284">
          <w:marLeft w:val="0"/>
          <w:marRight w:val="0"/>
          <w:marTop w:val="0"/>
          <w:marBottom w:val="0"/>
          <w:divBdr>
            <w:top w:val="none" w:sz="0" w:space="0" w:color="auto"/>
            <w:left w:val="none" w:sz="0" w:space="0" w:color="auto"/>
            <w:bottom w:val="none" w:sz="0" w:space="0" w:color="auto"/>
            <w:right w:val="none" w:sz="0" w:space="0" w:color="auto"/>
          </w:divBdr>
        </w:div>
        <w:div w:id="2084715033">
          <w:marLeft w:val="0"/>
          <w:marRight w:val="0"/>
          <w:marTop w:val="0"/>
          <w:marBottom w:val="0"/>
          <w:divBdr>
            <w:top w:val="none" w:sz="0" w:space="0" w:color="auto"/>
            <w:left w:val="none" w:sz="0" w:space="0" w:color="auto"/>
            <w:bottom w:val="none" w:sz="0" w:space="0" w:color="auto"/>
            <w:right w:val="none" w:sz="0" w:space="0" w:color="auto"/>
          </w:divBdr>
        </w:div>
        <w:div w:id="1511994048">
          <w:marLeft w:val="0"/>
          <w:marRight w:val="0"/>
          <w:marTop w:val="0"/>
          <w:marBottom w:val="0"/>
          <w:divBdr>
            <w:top w:val="none" w:sz="0" w:space="0" w:color="auto"/>
            <w:left w:val="none" w:sz="0" w:space="0" w:color="auto"/>
            <w:bottom w:val="none" w:sz="0" w:space="0" w:color="auto"/>
            <w:right w:val="none" w:sz="0" w:space="0" w:color="auto"/>
          </w:divBdr>
        </w:div>
        <w:div w:id="360207359">
          <w:marLeft w:val="0"/>
          <w:marRight w:val="0"/>
          <w:marTop w:val="0"/>
          <w:marBottom w:val="0"/>
          <w:divBdr>
            <w:top w:val="none" w:sz="0" w:space="0" w:color="auto"/>
            <w:left w:val="none" w:sz="0" w:space="0" w:color="auto"/>
            <w:bottom w:val="none" w:sz="0" w:space="0" w:color="auto"/>
            <w:right w:val="none" w:sz="0" w:space="0" w:color="auto"/>
          </w:divBdr>
        </w:div>
        <w:div w:id="130876975">
          <w:marLeft w:val="0"/>
          <w:marRight w:val="0"/>
          <w:marTop w:val="0"/>
          <w:marBottom w:val="0"/>
          <w:divBdr>
            <w:top w:val="none" w:sz="0" w:space="0" w:color="auto"/>
            <w:left w:val="none" w:sz="0" w:space="0" w:color="auto"/>
            <w:bottom w:val="none" w:sz="0" w:space="0" w:color="auto"/>
            <w:right w:val="none" w:sz="0" w:space="0" w:color="auto"/>
          </w:divBdr>
        </w:div>
        <w:div w:id="1059129613">
          <w:marLeft w:val="0"/>
          <w:marRight w:val="0"/>
          <w:marTop w:val="0"/>
          <w:marBottom w:val="0"/>
          <w:divBdr>
            <w:top w:val="none" w:sz="0" w:space="0" w:color="auto"/>
            <w:left w:val="none" w:sz="0" w:space="0" w:color="auto"/>
            <w:bottom w:val="none" w:sz="0" w:space="0" w:color="auto"/>
            <w:right w:val="none" w:sz="0" w:space="0" w:color="auto"/>
          </w:divBdr>
        </w:div>
        <w:div w:id="1364477212">
          <w:marLeft w:val="0"/>
          <w:marRight w:val="0"/>
          <w:marTop w:val="0"/>
          <w:marBottom w:val="0"/>
          <w:divBdr>
            <w:top w:val="none" w:sz="0" w:space="0" w:color="auto"/>
            <w:left w:val="none" w:sz="0" w:space="0" w:color="auto"/>
            <w:bottom w:val="none" w:sz="0" w:space="0" w:color="auto"/>
            <w:right w:val="none" w:sz="0" w:space="0" w:color="auto"/>
          </w:divBdr>
        </w:div>
        <w:div w:id="1900625493">
          <w:marLeft w:val="0"/>
          <w:marRight w:val="0"/>
          <w:marTop w:val="0"/>
          <w:marBottom w:val="0"/>
          <w:divBdr>
            <w:top w:val="none" w:sz="0" w:space="0" w:color="auto"/>
            <w:left w:val="none" w:sz="0" w:space="0" w:color="auto"/>
            <w:bottom w:val="none" w:sz="0" w:space="0" w:color="auto"/>
            <w:right w:val="none" w:sz="0" w:space="0" w:color="auto"/>
          </w:divBdr>
        </w:div>
        <w:div w:id="1451510821">
          <w:marLeft w:val="0"/>
          <w:marRight w:val="0"/>
          <w:marTop w:val="0"/>
          <w:marBottom w:val="0"/>
          <w:divBdr>
            <w:top w:val="none" w:sz="0" w:space="0" w:color="auto"/>
            <w:left w:val="none" w:sz="0" w:space="0" w:color="auto"/>
            <w:bottom w:val="none" w:sz="0" w:space="0" w:color="auto"/>
            <w:right w:val="none" w:sz="0" w:space="0" w:color="auto"/>
          </w:divBdr>
        </w:div>
        <w:div w:id="1187014627">
          <w:marLeft w:val="0"/>
          <w:marRight w:val="0"/>
          <w:marTop w:val="0"/>
          <w:marBottom w:val="0"/>
          <w:divBdr>
            <w:top w:val="none" w:sz="0" w:space="0" w:color="auto"/>
            <w:left w:val="none" w:sz="0" w:space="0" w:color="auto"/>
            <w:bottom w:val="none" w:sz="0" w:space="0" w:color="auto"/>
            <w:right w:val="none" w:sz="0" w:space="0" w:color="auto"/>
          </w:divBdr>
        </w:div>
        <w:div w:id="433401076">
          <w:marLeft w:val="0"/>
          <w:marRight w:val="0"/>
          <w:marTop w:val="0"/>
          <w:marBottom w:val="0"/>
          <w:divBdr>
            <w:top w:val="none" w:sz="0" w:space="0" w:color="auto"/>
            <w:left w:val="none" w:sz="0" w:space="0" w:color="auto"/>
            <w:bottom w:val="none" w:sz="0" w:space="0" w:color="auto"/>
            <w:right w:val="none" w:sz="0" w:space="0" w:color="auto"/>
          </w:divBdr>
        </w:div>
        <w:div w:id="792558531">
          <w:marLeft w:val="0"/>
          <w:marRight w:val="0"/>
          <w:marTop w:val="0"/>
          <w:marBottom w:val="0"/>
          <w:divBdr>
            <w:top w:val="none" w:sz="0" w:space="0" w:color="auto"/>
            <w:left w:val="none" w:sz="0" w:space="0" w:color="auto"/>
            <w:bottom w:val="none" w:sz="0" w:space="0" w:color="auto"/>
            <w:right w:val="none" w:sz="0" w:space="0" w:color="auto"/>
          </w:divBdr>
        </w:div>
        <w:div w:id="608664582">
          <w:marLeft w:val="0"/>
          <w:marRight w:val="0"/>
          <w:marTop w:val="0"/>
          <w:marBottom w:val="0"/>
          <w:divBdr>
            <w:top w:val="none" w:sz="0" w:space="0" w:color="auto"/>
            <w:left w:val="none" w:sz="0" w:space="0" w:color="auto"/>
            <w:bottom w:val="none" w:sz="0" w:space="0" w:color="auto"/>
            <w:right w:val="none" w:sz="0" w:space="0" w:color="auto"/>
          </w:divBdr>
        </w:div>
        <w:div w:id="1493638019">
          <w:marLeft w:val="0"/>
          <w:marRight w:val="0"/>
          <w:marTop w:val="0"/>
          <w:marBottom w:val="0"/>
          <w:divBdr>
            <w:top w:val="none" w:sz="0" w:space="0" w:color="auto"/>
            <w:left w:val="none" w:sz="0" w:space="0" w:color="auto"/>
            <w:bottom w:val="none" w:sz="0" w:space="0" w:color="auto"/>
            <w:right w:val="none" w:sz="0" w:space="0" w:color="auto"/>
          </w:divBdr>
        </w:div>
        <w:div w:id="175658715">
          <w:marLeft w:val="0"/>
          <w:marRight w:val="0"/>
          <w:marTop w:val="0"/>
          <w:marBottom w:val="0"/>
          <w:divBdr>
            <w:top w:val="none" w:sz="0" w:space="0" w:color="auto"/>
            <w:left w:val="none" w:sz="0" w:space="0" w:color="auto"/>
            <w:bottom w:val="none" w:sz="0" w:space="0" w:color="auto"/>
            <w:right w:val="none" w:sz="0" w:space="0" w:color="auto"/>
          </w:divBdr>
        </w:div>
        <w:div w:id="1070229346">
          <w:marLeft w:val="0"/>
          <w:marRight w:val="0"/>
          <w:marTop w:val="0"/>
          <w:marBottom w:val="0"/>
          <w:divBdr>
            <w:top w:val="none" w:sz="0" w:space="0" w:color="auto"/>
            <w:left w:val="none" w:sz="0" w:space="0" w:color="auto"/>
            <w:bottom w:val="none" w:sz="0" w:space="0" w:color="auto"/>
            <w:right w:val="none" w:sz="0" w:space="0" w:color="auto"/>
          </w:divBdr>
        </w:div>
        <w:div w:id="835002507">
          <w:marLeft w:val="0"/>
          <w:marRight w:val="0"/>
          <w:marTop w:val="0"/>
          <w:marBottom w:val="0"/>
          <w:divBdr>
            <w:top w:val="none" w:sz="0" w:space="0" w:color="auto"/>
            <w:left w:val="none" w:sz="0" w:space="0" w:color="auto"/>
            <w:bottom w:val="none" w:sz="0" w:space="0" w:color="auto"/>
            <w:right w:val="none" w:sz="0" w:space="0" w:color="auto"/>
          </w:divBdr>
        </w:div>
        <w:div w:id="235747102">
          <w:marLeft w:val="0"/>
          <w:marRight w:val="0"/>
          <w:marTop w:val="0"/>
          <w:marBottom w:val="0"/>
          <w:divBdr>
            <w:top w:val="none" w:sz="0" w:space="0" w:color="auto"/>
            <w:left w:val="none" w:sz="0" w:space="0" w:color="auto"/>
            <w:bottom w:val="none" w:sz="0" w:space="0" w:color="auto"/>
            <w:right w:val="none" w:sz="0" w:space="0" w:color="auto"/>
          </w:divBdr>
        </w:div>
        <w:div w:id="61103640">
          <w:marLeft w:val="0"/>
          <w:marRight w:val="0"/>
          <w:marTop w:val="0"/>
          <w:marBottom w:val="0"/>
          <w:divBdr>
            <w:top w:val="none" w:sz="0" w:space="0" w:color="auto"/>
            <w:left w:val="none" w:sz="0" w:space="0" w:color="auto"/>
            <w:bottom w:val="none" w:sz="0" w:space="0" w:color="auto"/>
            <w:right w:val="none" w:sz="0" w:space="0" w:color="auto"/>
          </w:divBdr>
        </w:div>
        <w:div w:id="1440026120">
          <w:marLeft w:val="0"/>
          <w:marRight w:val="0"/>
          <w:marTop w:val="0"/>
          <w:marBottom w:val="0"/>
          <w:divBdr>
            <w:top w:val="none" w:sz="0" w:space="0" w:color="auto"/>
            <w:left w:val="none" w:sz="0" w:space="0" w:color="auto"/>
            <w:bottom w:val="none" w:sz="0" w:space="0" w:color="auto"/>
            <w:right w:val="none" w:sz="0" w:space="0" w:color="auto"/>
          </w:divBdr>
        </w:div>
        <w:div w:id="1631550394">
          <w:marLeft w:val="0"/>
          <w:marRight w:val="0"/>
          <w:marTop w:val="0"/>
          <w:marBottom w:val="0"/>
          <w:divBdr>
            <w:top w:val="none" w:sz="0" w:space="0" w:color="auto"/>
            <w:left w:val="none" w:sz="0" w:space="0" w:color="auto"/>
            <w:bottom w:val="none" w:sz="0" w:space="0" w:color="auto"/>
            <w:right w:val="none" w:sz="0" w:space="0" w:color="auto"/>
          </w:divBdr>
        </w:div>
        <w:div w:id="806775902">
          <w:marLeft w:val="0"/>
          <w:marRight w:val="0"/>
          <w:marTop w:val="0"/>
          <w:marBottom w:val="0"/>
          <w:divBdr>
            <w:top w:val="none" w:sz="0" w:space="0" w:color="auto"/>
            <w:left w:val="none" w:sz="0" w:space="0" w:color="auto"/>
            <w:bottom w:val="none" w:sz="0" w:space="0" w:color="auto"/>
            <w:right w:val="none" w:sz="0" w:space="0" w:color="auto"/>
          </w:divBdr>
        </w:div>
        <w:div w:id="1755777707">
          <w:marLeft w:val="0"/>
          <w:marRight w:val="0"/>
          <w:marTop w:val="0"/>
          <w:marBottom w:val="0"/>
          <w:divBdr>
            <w:top w:val="none" w:sz="0" w:space="0" w:color="auto"/>
            <w:left w:val="none" w:sz="0" w:space="0" w:color="auto"/>
            <w:bottom w:val="none" w:sz="0" w:space="0" w:color="auto"/>
            <w:right w:val="none" w:sz="0" w:space="0" w:color="auto"/>
          </w:divBdr>
        </w:div>
        <w:div w:id="1604269121">
          <w:marLeft w:val="0"/>
          <w:marRight w:val="0"/>
          <w:marTop w:val="0"/>
          <w:marBottom w:val="0"/>
          <w:divBdr>
            <w:top w:val="none" w:sz="0" w:space="0" w:color="auto"/>
            <w:left w:val="none" w:sz="0" w:space="0" w:color="auto"/>
            <w:bottom w:val="none" w:sz="0" w:space="0" w:color="auto"/>
            <w:right w:val="none" w:sz="0" w:space="0" w:color="auto"/>
          </w:divBdr>
        </w:div>
        <w:div w:id="1049646320">
          <w:marLeft w:val="0"/>
          <w:marRight w:val="0"/>
          <w:marTop w:val="0"/>
          <w:marBottom w:val="0"/>
          <w:divBdr>
            <w:top w:val="none" w:sz="0" w:space="0" w:color="auto"/>
            <w:left w:val="none" w:sz="0" w:space="0" w:color="auto"/>
            <w:bottom w:val="none" w:sz="0" w:space="0" w:color="auto"/>
            <w:right w:val="none" w:sz="0" w:space="0" w:color="auto"/>
          </w:divBdr>
        </w:div>
        <w:div w:id="201671779">
          <w:marLeft w:val="0"/>
          <w:marRight w:val="0"/>
          <w:marTop w:val="0"/>
          <w:marBottom w:val="0"/>
          <w:divBdr>
            <w:top w:val="none" w:sz="0" w:space="0" w:color="auto"/>
            <w:left w:val="none" w:sz="0" w:space="0" w:color="auto"/>
            <w:bottom w:val="none" w:sz="0" w:space="0" w:color="auto"/>
            <w:right w:val="none" w:sz="0" w:space="0" w:color="auto"/>
          </w:divBdr>
        </w:div>
        <w:div w:id="835532857">
          <w:marLeft w:val="0"/>
          <w:marRight w:val="0"/>
          <w:marTop w:val="0"/>
          <w:marBottom w:val="0"/>
          <w:divBdr>
            <w:top w:val="none" w:sz="0" w:space="0" w:color="auto"/>
            <w:left w:val="none" w:sz="0" w:space="0" w:color="auto"/>
            <w:bottom w:val="none" w:sz="0" w:space="0" w:color="auto"/>
            <w:right w:val="none" w:sz="0" w:space="0" w:color="auto"/>
          </w:divBdr>
        </w:div>
        <w:div w:id="116145485">
          <w:marLeft w:val="0"/>
          <w:marRight w:val="0"/>
          <w:marTop w:val="0"/>
          <w:marBottom w:val="0"/>
          <w:divBdr>
            <w:top w:val="none" w:sz="0" w:space="0" w:color="auto"/>
            <w:left w:val="none" w:sz="0" w:space="0" w:color="auto"/>
            <w:bottom w:val="none" w:sz="0" w:space="0" w:color="auto"/>
            <w:right w:val="none" w:sz="0" w:space="0" w:color="auto"/>
          </w:divBdr>
        </w:div>
        <w:div w:id="1334642811">
          <w:marLeft w:val="0"/>
          <w:marRight w:val="0"/>
          <w:marTop w:val="0"/>
          <w:marBottom w:val="0"/>
          <w:divBdr>
            <w:top w:val="none" w:sz="0" w:space="0" w:color="auto"/>
            <w:left w:val="none" w:sz="0" w:space="0" w:color="auto"/>
            <w:bottom w:val="none" w:sz="0" w:space="0" w:color="auto"/>
            <w:right w:val="none" w:sz="0" w:space="0" w:color="auto"/>
          </w:divBdr>
        </w:div>
        <w:div w:id="1901401639">
          <w:marLeft w:val="0"/>
          <w:marRight w:val="0"/>
          <w:marTop w:val="0"/>
          <w:marBottom w:val="0"/>
          <w:divBdr>
            <w:top w:val="none" w:sz="0" w:space="0" w:color="auto"/>
            <w:left w:val="none" w:sz="0" w:space="0" w:color="auto"/>
            <w:bottom w:val="none" w:sz="0" w:space="0" w:color="auto"/>
            <w:right w:val="none" w:sz="0" w:space="0" w:color="auto"/>
          </w:divBdr>
        </w:div>
        <w:div w:id="1449541863">
          <w:marLeft w:val="0"/>
          <w:marRight w:val="0"/>
          <w:marTop w:val="0"/>
          <w:marBottom w:val="0"/>
          <w:divBdr>
            <w:top w:val="none" w:sz="0" w:space="0" w:color="auto"/>
            <w:left w:val="none" w:sz="0" w:space="0" w:color="auto"/>
            <w:bottom w:val="none" w:sz="0" w:space="0" w:color="auto"/>
            <w:right w:val="none" w:sz="0" w:space="0" w:color="auto"/>
          </w:divBdr>
        </w:div>
        <w:div w:id="1811366865">
          <w:marLeft w:val="0"/>
          <w:marRight w:val="0"/>
          <w:marTop w:val="0"/>
          <w:marBottom w:val="0"/>
          <w:divBdr>
            <w:top w:val="none" w:sz="0" w:space="0" w:color="auto"/>
            <w:left w:val="none" w:sz="0" w:space="0" w:color="auto"/>
            <w:bottom w:val="none" w:sz="0" w:space="0" w:color="auto"/>
            <w:right w:val="none" w:sz="0" w:space="0" w:color="auto"/>
          </w:divBdr>
        </w:div>
        <w:div w:id="1011951055">
          <w:marLeft w:val="0"/>
          <w:marRight w:val="0"/>
          <w:marTop w:val="0"/>
          <w:marBottom w:val="0"/>
          <w:divBdr>
            <w:top w:val="none" w:sz="0" w:space="0" w:color="auto"/>
            <w:left w:val="none" w:sz="0" w:space="0" w:color="auto"/>
            <w:bottom w:val="none" w:sz="0" w:space="0" w:color="auto"/>
            <w:right w:val="none" w:sz="0" w:space="0" w:color="auto"/>
          </w:divBdr>
        </w:div>
        <w:div w:id="1992758228">
          <w:marLeft w:val="0"/>
          <w:marRight w:val="0"/>
          <w:marTop w:val="0"/>
          <w:marBottom w:val="0"/>
          <w:divBdr>
            <w:top w:val="none" w:sz="0" w:space="0" w:color="auto"/>
            <w:left w:val="none" w:sz="0" w:space="0" w:color="auto"/>
            <w:bottom w:val="none" w:sz="0" w:space="0" w:color="auto"/>
            <w:right w:val="none" w:sz="0" w:space="0" w:color="auto"/>
          </w:divBdr>
        </w:div>
        <w:div w:id="820344269">
          <w:marLeft w:val="0"/>
          <w:marRight w:val="0"/>
          <w:marTop w:val="0"/>
          <w:marBottom w:val="0"/>
          <w:divBdr>
            <w:top w:val="none" w:sz="0" w:space="0" w:color="auto"/>
            <w:left w:val="none" w:sz="0" w:space="0" w:color="auto"/>
            <w:bottom w:val="none" w:sz="0" w:space="0" w:color="auto"/>
            <w:right w:val="none" w:sz="0" w:space="0" w:color="auto"/>
          </w:divBdr>
        </w:div>
        <w:div w:id="1393844868">
          <w:marLeft w:val="0"/>
          <w:marRight w:val="0"/>
          <w:marTop w:val="0"/>
          <w:marBottom w:val="0"/>
          <w:divBdr>
            <w:top w:val="none" w:sz="0" w:space="0" w:color="auto"/>
            <w:left w:val="none" w:sz="0" w:space="0" w:color="auto"/>
            <w:bottom w:val="none" w:sz="0" w:space="0" w:color="auto"/>
            <w:right w:val="none" w:sz="0" w:space="0" w:color="auto"/>
          </w:divBdr>
        </w:div>
        <w:div w:id="102699894">
          <w:marLeft w:val="0"/>
          <w:marRight w:val="0"/>
          <w:marTop w:val="0"/>
          <w:marBottom w:val="0"/>
          <w:divBdr>
            <w:top w:val="none" w:sz="0" w:space="0" w:color="auto"/>
            <w:left w:val="none" w:sz="0" w:space="0" w:color="auto"/>
            <w:bottom w:val="none" w:sz="0" w:space="0" w:color="auto"/>
            <w:right w:val="none" w:sz="0" w:space="0" w:color="auto"/>
          </w:divBdr>
        </w:div>
        <w:div w:id="880825185">
          <w:marLeft w:val="0"/>
          <w:marRight w:val="0"/>
          <w:marTop w:val="0"/>
          <w:marBottom w:val="0"/>
          <w:divBdr>
            <w:top w:val="none" w:sz="0" w:space="0" w:color="auto"/>
            <w:left w:val="none" w:sz="0" w:space="0" w:color="auto"/>
            <w:bottom w:val="none" w:sz="0" w:space="0" w:color="auto"/>
            <w:right w:val="none" w:sz="0" w:space="0" w:color="auto"/>
          </w:divBdr>
        </w:div>
        <w:div w:id="1615869587">
          <w:marLeft w:val="0"/>
          <w:marRight w:val="0"/>
          <w:marTop w:val="0"/>
          <w:marBottom w:val="0"/>
          <w:divBdr>
            <w:top w:val="none" w:sz="0" w:space="0" w:color="auto"/>
            <w:left w:val="none" w:sz="0" w:space="0" w:color="auto"/>
            <w:bottom w:val="none" w:sz="0" w:space="0" w:color="auto"/>
            <w:right w:val="none" w:sz="0" w:space="0" w:color="auto"/>
          </w:divBdr>
        </w:div>
        <w:div w:id="837383008">
          <w:marLeft w:val="0"/>
          <w:marRight w:val="0"/>
          <w:marTop w:val="0"/>
          <w:marBottom w:val="0"/>
          <w:divBdr>
            <w:top w:val="none" w:sz="0" w:space="0" w:color="auto"/>
            <w:left w:val="none" w:sz="0" w:space="0" w:color="auto"/>
            <w:bottom w:val="none" w:sz="0" w:space="0" w:color="auto"/>
            <w:right w:val="none" w:sz="0" w:space="0" w:color="auto"/>
          </w:divBdr>
        </w:div>
        <w:div w:id="1734309821">
          <w:marLeft w:val="0"/>
          <w:marRight w:val="0"/>
          <w:marTop w:val="0"/>
          <w:marBottom w:val="0"/>
          <w:divBdr>
            <w:top w:val="none" w:sz="0" w:space="0" w:color="auto"/>
            <w:left w:val="none" w:sz="0" w:space="0" w:color="auto"/>
            <w:bottom w:val="none" w:sz="0" w:space="0" w:color="auto"/>
            <w:right w:val="none" w:sz="0" w:space="0" w:color="auto"/>
          </w:divBdr>
        </w:div>
        <w:div w:id="695077294">
          <w:marLeft w:val="0"/>
          <w:marRight w:val="0"/>
          <w:marTop w:val="0"/>
          <w:marBottom w:val="0"/>
          <w:divBdr>
            <w:top w:val="none" w:sz="0" w:space="0" w:color="auto"/>
            <w:left w:val="none" w:sz="0" w:space="0" w:color="auto"/>
            <w:bottom w:val="none" w:sz="0" w:space="0" w:color="auto"/>
            <w:right w:val="none" w:sz="0" w:space="0" w:color="auto"/>
          </w:divBdr>
        </w:div>
        <w:div w:id="1798448881">
          <w:marLeft w:val="0"/>
          <w:marRight w:val="0"/>
          <w:marTop w:val="0"/>
          <w:marBottom w:val="0"/>
          <w:divBdr>
            <w:top w:val="none" w:sz="0" w:space="0" w:color="auto"/>
            <w:left w:val="none" w:sz="0" w:space="0" w:color="auto"/>
            <w:bottom w:val="none" w:sz="0" w:space="0" w:color="auto"/>
            <w:right w:val="none" w:sz="0" w:space="0" w:color="auto"/>
          </w:divBdr>
        </w:div>
        <w:div w:id="2139687892">
          <w:marLeft w:val="0"/>
          <w:marRight w:val="0"/>
          <w:marTop w:val="0"/>
          <w:marBottom w:val="0"/>
          <w:divBdr>
            <w:top w:val="none" w:sz="0" w:space="0" w:color="auto"/>
            <w:left w:val="none" w:sz="0" w:space="0" w:color="auto"/>
            <w:bottom w:val="none" w:sz="0" w:space="0" w:color="auto"/>
            <w:right w:val="none" w:sz="0" w:space="0" w:color="auto"/>
          </w:divBdr>
        </w:div>
        <w:div w:id="1298031510">
          <w:marLeft w:val="0"/>
          <w:marRight w:val="0"/>
          <w:marTop w:val="0"/>
          <w:marBottom w:val="0"/>
          <w:divBdr>
            <w:top w:val="none" w:sz="0" w:space="0" w:color="auto"/>
            <w:left w:val="none" w:sz="0" w:space="0" w:color="auto"/>
            <w:bottom w:val="none" w:sz="0" w:space="0" w:color="auto"/>
            <w:right w:val="none" w:sz="0" w:space="0" w:color="auto"/>
          </w:divBdr>
        </w:div>
        <w:div w:id="220596790">
          <w:marLeft w:val="0"/>
          <w:marRight w:val="0"/>
          <w:marTop w:val="0"/>
          <w:marBottom w:val="0"/>
          <w:divBdr>
            <w:top w:val="none" w:sz="0" w:space="0" w:color="auto"/>
            <w:left w:val="none" w:sz="0" w:space="0" w:color="auto"/>
            <w:bottom w:val="none" w:sz="0" w:space="0" w:color="auto"/>
            <w:right w:val="none" w:sz="0" w:space="0" w:color="auto"/>
          </w:divBdr>
        </w:div>
        <w:div w:id="865555904">
          <w:marLeft w:val="0"/>
          <w:marRight w:val="0"/>
          <w:marTop w:val="0"/>
          <w:marBottom w:val="0"/>
          <w:divBdr>
            <w:top w:val="none" w:sz="0" w:space="0" w:color="auto"/>
            <w:left w:val="none" w:sz="0" w:space="0" w:color="auto"/>
            <w:bottom w:val="none" w:sz="0" w:space="0" w:color="auto"/>
            <w:right w:val="none" w:sz="0" w:space="0" w:color="auto"/>
          </w:divBdr>
        </w:div>
        <w:div w:id="1421411768">
          <w:marLeft w:val="0"/>
          <w:marRight w:val="0"/>
          <w:marTop w:val="0"/>
          <w:marBottom w:val="0"/>
          <w:divBdr>
            <w:top w:val="none" w:sz="0" w:space="0" w:color="auto"/>
            <w:left w:val="none" w:sz="0" w:space="0" w:color="auto"/>
            <w:bottom w:val="none" w:sz="0" w:space="0" w:color="auto"/>
            <w:right w:val="none" w:sz="0" w:space="0" w:color="auto"/>
          </w:divBdr>
        </w:div>
        <w:div w:id="1869027578">
          <w:marLeft w:val="0"/>
          <w:marRight w:val="0"/>
          <w:marTop w:val="0"/>
          <w:marBottom w:val="0"/>
          <w:divBdr>
            <w:top w:val="none" w:sz="0" w:space="0" w:color="auto"/>
            <w:left w:val="none" w:sz="0" w:space="0" w:color="auto"/>
            <w:bottom w:val="none" w:sz="0" w:space="0" w:color="auto"/>
            <w:right w:val="none" w:sz="0" w:space="0" w:color="auto"/>
          </w:divBdr>
        </w:div>
        <w:div w:id="1067461977">
          <w:marLeft w:val="0"/>
          <w:marRight w:val="0"/>
          <w:marTop w:val="0"/>
          <w:marBottom w:val="0"/>
          <w:divBdr>
            <w:top w:val="none" w:sz="0" w:space="0" w:color="auto"/>
            <w:left w:val="none" w:sz="0" w:space="0" w:color="auto"/>
            <w:bottom w:val="none" w:sz="0" w:space="0" w:color="auto"/>
            <w:right w:val="none" w:sz="0" w:space="0" w:color="auto"/>
          </w:divBdr>
        </w:div>
        <w:div w:id="1091119781">
          <w:marLeft w:val="0"/>
          <w:marRight w:val="0"/>
          <w:marTop w:val="0"/>
          <w:marBottom w:val="0"/>
          <w:divBdr>
            <w:top w:val="none" w:sz="0" w:space="0" w:color="auto"/>
            <w:left w:val="none" w:sz="0" w:space="0" w:color="auto"/>
            <w:bottom w:val="none" w:sz="0" w:space="0" w:color="auto"/>
            <w:right w:val="none" w:sz="0" w:space="0" w:color="auto"/>
          </w:divBdr>
        </w:div>
        <w:div w:id="244345681">
          <w:marLeft w:val="0"/>
          <w:marRight w:val="0"/>
          <w:marTop w:val="0"/>
          <w:marBottom w:val="0"/>
          <w:divBdr>
            <w:top w:val="none" w:sz="0" w:space="0" w:color="auto"/>
            <w:left w:val="none" w:sz="0" w:space="0" w:color="auto"/>
            <w:bottom w:val="none" w:sz="0" w:space="0" w:color="auto"/>
            <w:right w:val="none" w:sz="0" w:space="0" w:color="auto"/>
          </w:divBdr>
        </w:div>
        <w:div w:id="721827724">
          <w:marLeft w:val="0"/>
          <w:marRight w:val="0"/>
          <w:marTop w:val="0"/>
          <w:marBottom w:val="0"/>
          <w:divBdr>
            <w:top w:val="none" w:sz="0" w:space="0" w:color="auto"/>
            <w:left w:val="none" w:sz="0" w:space="0" w:color="auto"/>
            <w:bottom w:val="none" w:sz="0" w:space="0" w:color="auto"/>
            <w:right w:val="none" w:sz="0" w:space="0" w:color="auto"/>
          </w:divBdr>
        </w:div>
        <w:div w:id="484706610">
          <w:marLeft w:val="0"/>
          <w:marRight w:val="0"/>
          <w:marTop w:val="0"/>
          <w:marBottom w:val="0"/>
          <w:divBdr>
            <w:top w:val="none" w:sz="0" w:space="0" w:color="auto"/>
            <w:left w:val="none" w:sz="0" w:space="0" w:color="auto"/>
            <w:bottom w:val="none" w:sz="0" w:space="0" w:color="auto"/>
            <w:right w:val="none" w:sz="0" w:space="0" w:color="auto"/>
          </w:divBdr>
        </w:div>
        <w:div w:id="1298291902">
          <w:marLeft w:val="0"/>
          <w:marRight w:val="0"/>
          <w:marTop w:val="0"/>
          <w:marBottom w:val="0"/>
          <w:divBdr>
            <w:top w:val="none" w:sz="0" w:space="0" w:color="auto"/>
            <w:left w:val="none" w:sz="0" w:space="0" w:color="auto"/>
            <w:bottom w:val="none" w:sz="0" w:space="0" w:color="auto"/>
            <w:right w:val="none" w:sz="0" w:space="0" w:color="auto"/>
          </w:divBdr>
        </w:div>
        <w:div w:id="112484117">
          <w:marLeft w:val="0"/>
          <w:marRight w:val="0"/>
          <w:marTop w:val="0"/>
          <w:marBottom w:val="0"/>
          <w:divBdr>
            <w:top w:val="none" w:sz="0" w:space="0" w:color="auto"/>
            <w:left w:val="none" w:sz="0" w:space="0" w:color="auto"/>
            <w:bottom w:val="none" w:sz="0" w:space="0" w:color="auto"/>
            <w:right w:val="none" w:sz="0" w:space="0" w:color="auto"/>
          </w:divBdr>
        </w:div>
        <w:div w:id="1415513678">
          <w:marLeft w:val="0"/>
          <w:marRight w:val="0"/>
          <w:marTop w:val="0"/>
          <w:marBottom w:val="0"/>
          <w:divBdr>
            <w:top w:val="none" w:sz="0" w:space="0" w:color="auto"/>
            <w:left w:val="none" w:sz="0" w:space="0" w:color="auto"/>
            <w:bottom w:val="none" w:sz="0" w:space="0" w:color="auto"/>
            <w:right w:val="none" w:sz="0" w:space="0" w:color="auto"/>
          </w:divBdr>
        </w:div>
        <w:div w:id="1641954444">
          <w:marLeft w:val="0"/>
          <w:marRight w:val="0"/>
          <w:marTop w:val="0"/>
          <w:marBottom w:val="0"/>
          <w:divBdr>
            <w:top w:val="none" w:sz="0" w:space="0" w:color="auto"/>
            <w:left w:val="none" w:sz="0" w:space="0" w:color="auto"/>
            <w:bottom w:val="none" w:sz="0" w:space="0" w:color="auto"/>
            <w:right w:val="none" w:sz="0" w:space="0" w:color="auto"/>
          </w:divBdr>
        </w:div>
        <w:div w:id="1657298676">
          <w:marLeft w:val="0"/>
          <w:marRight w:val="0"/>
          <w:marTop w:val="0"/>
          <w:marBottom w:val="0"/>
          <w:divBdr>
            <w:top w:val="none" w:sz="0" w:space="0" w:color="auto"/>
            <w:left w:val="none" w:sz="0" w:space="0" w:color="auto"/>
            <w:bottom w:val="none" w:sz="0" w:space="0" w:color="auto"/>
            <w:right w:val="none" w:sz="0" w:space="0" w:color="auto"/>
          </w:divBdr>
        </w:div>
        <w:div w:id="1290278498">
          <w:marLeft w:val="0"/>
          <w:marRight w:val="0"/>
          <w:marTop w:val="0"/>
          <w:marBottom w:val="0"/>
          <w:divBdr>
            <w:top w:val="none" w:sz="0" w:space="0" w:color="auto"/>
            <w:left w:val="none" w:sz="0" w:space="0" w:color="auto"/>
            <w:bottom w:val="none" w:sz="0" w:space="0" w:color="auto"/>
            <w:right w:val="none" w:sz="0" w:space="0" w:color="auto"/>
          </w:divBdr>
        </w:div>
        <w:div w:id="1132089484">
          <w:marLeft w:val="0"/>
          <w:marRight w:val="0"/>
          <w:marTop w:val="0"/>
          <w:marBottom w:val="0"/>
          <w:divBdr>
            <w:top w:val="none" w:sz="0" w:space="0" w:color="auto"/>
            <w:left w:val="none" w:sz="0" w:space="0" w:color="auto"/>
            <w:bottom w:val="none" w:sz="0" w:space="0" w:color="auto"/>
            <w:right w:val="none" w:sz="0" w:space="0" w:color="auto"/>
          </w:divBdr>
        </w:div>
        <w:div w:id="915214219">
          <w:marLeft w:val="0"/>
          <w:marRight w:val="0"/>
          <w:marTop w:val="0"/>
          <w:marBottom w:val="0"/>
          <w:divBdr>
            <w:top w:val="none" w:sz="0" w:space="0" w:color="auto"/>
            <w:left w:val="none" w:sz="0" w:space="0" w:color="auto"/>
            <w:bottom w:val="none" w:sz="0" w:space="0" w:color="auto"/>
            <w:right w:val="none" w:sz="0" w:space="0" w:color="auto"/>
          </w:divBdr>
        </w:div>
        <w:div w:id="1718361334">
          <w:marLeft w:val="0"/>
          <w:marRight w:val="0"/>
          <w:marTop w:val="0"/>
          <w:marBottom w:val="0"/>
          <w:divBdr>
            <w:top w:val="none" w:sz="0" w:space="0" w:color="auto"/>
            <w:left w:val="none" w:sz="0" w:space="0" w:color="auto"/>
            <w:bottom w:val="none" w:sz="0" w:space="0" w:color="auto"/>
            <w:right w:val="none" w:sz="0" w:space="0" w:color="auto"/>
          </w:divBdr>
        </w:div>
        <w:div w:id="424811500">
          <w:marLeft w:val="0"/>
          <w:marRight w:val="0"/>
          <w:marTop w:val="0"/>
          <w:marBottom w:val="0"/>
          <w:divBdr>
            <w:top w:val="none" w:sz="0" w:space="0" w:color="auto"/>
            <w:left w:val="none" w:sz="0" w:space="0" w:color="auto"/>
            <w:bottom w:val="none" w:sz="0" w:space="0" w:color="auto"/>
            <w:right w:val="none" w:sz="0" w:space="0" w:color="auto"/>
          </w:divBdr>
        </w:div>
        <w:div w:id="1048068598">
          <w:marLeft w:val="0"/>
          <w:marRight w:val="0"/>
          <w:marTop w:val="0"/>
          <w:marBottom w:val="0"/>
          <w:divBdr>
            <w:top w:val="none" w:sz="0" w:space="0" w:color="auto"/>
            <w:left w:val="none" w:sz="0" w:space="0" w:color="auto"/>
            <w:bottom w:val="none" w:sz="0" w:space="0" w:color="auto"/>
            <w:right w:val="none" w:sz="0" w:space="0" w:color="auto"/>
          </w:divBdr>
        </w:div>
        <w:div w:id="557398946">
          <w:marLeft w:val="0"/>
          <w:marRight w:val="0"/>
          <w:marTop w:val="0"/>
          <w:marBottom w:val="0"/>
          <w:divBdr>
            <w:top w:val="none" w:sz="0" w:space="0" w:color="auto"/>
            <w:left w:val="none" w:sz="0" w:space="0" w:color="auto"/>
            <w:bottom w:val="none" w:sz="0" w:space="0" w:color="auto"/>
            <w:right w:val="none" w:sz="0" w:space="0" w:color="auto"/>
          </w:divBdr>
        </w:div>
        <w:div w:id="1460800748">
          <w:marLeft w:val="0"/>
          <w:marRight w:val="0"/>
          <w:marTop w:val="0"/>
          <w:marBottom w:val="0"/>
          <w:divBdr>
            <w:top w:val="none" w:sz="0" w:space="0" w:color="auto"/>
            <w:left w:val="none" w:sz="0" w:space="0" w:color="auto"/>
            <w:bottom w:val="none" w:sz="0" w:space="0" w:color="auto"/>
            <w:right w:val="none" w:sz="0" w:space="0" w:color="auto"/>
          </w:divBdr>
        </w:div>
        <w:div w:id="325937679">
          <w:marLeft w:val="0"/>
          <w:marRight w:val="0"/>
          <w:marTop w:val="0"/>
          <w:marBottom w:val="0"/>
          <w:divBdr>
            <w:top w:val="none" w:sz="0" w:space="0" w:color="auto"/>
            <w:left w:val="none" w:sz="0" w:space="0" w:color="auto"/>
            <w:bottom w:val="none" w:sz="0" w:space="0" w:color="auto"/>
            <w:right w:val="none" w:sz="0" w:space="0" w:color="auto"/>
          </w:divBdr>
        </w:div>
        <w:div w:id="1831823907">
          <w:marLeft w:val="0"/>
          <w:marRight w:val="0"/>
          <w:marTop w:val="0"/>
          <w:marBottom w:val="0"/>
          <w:divBdr>
            <w:top w:val="none" w:sz="0" w:space="0" w:color="auto"/>
            <w:left w:val="none" w:sz="0" w:space="0" w:color="auto"/>
            <w:bottom w:val="none" w:sz="0" w:space="0" w:color="auto"/>
            <w:right w:val="none" w:sz="0" w:space="0" w:color="auto"/>
          </w:divBdr>
        </w:div>
        <w:div w:id="1508446181">
          <w:marLeft w:val="0"/>
          <w:marRight w:val="0"/>
          <w:marTop w:val="0"/>
          <w:marBottom w:val="0"/>
          <w:divBdr>
            <w:top w:val="none" w:sz="0" w:space="0" w:color="auto"/>
            <w:left w:val="none" w:sz="0" w:space="0" w:color="auto"/>
            <w:bottom w:val="none" w:sz="0" w:space="0" w:color="auto"/>
            <w:right w:val="none" w:sz="0" w:space="0" w:color="auto"/>
          </w:divBdr>
        </w:div>
        <w:div w:id="1480223092">
          <w:marLeft w:val="0"/>
          <w:marRight w:val="0"/>
          <w:marTop w:val="0"/>
          <w:marBottom w:val="0"/>
          <w:divBdr>
            <w:top w:val="none" w:sz="0" w:space="0" w:color="auto"/>
            <w:left w:val="none" w:sz="0" w:space="0" w:color="auto"/>
            <w:bottom w:val="none" w:sz="0" w:space="0" w:color="auto"/>
            <w:right w:val="none" w:sz="0" w:space="0" w:color="auto"/>
          </w:divBdr>
        </w:div>
        <w:div w:id="780106157">
          <w:marLeft w:val="0"/>
          <w:marRight w:val="0"/>
          <w:marTop w:val="0"/>
          <w:marBottom w:val="0"/>
          <w:divBdr>
            <w:top w:val="none" w:sz="0" w:space="0" w:color="auto"/>
            <w:left w:val="none" w:sz="0" w:space="0" w:color="auto"/>
            <w:bottom w:val="none" w:sz="0" w:space="0" w:color="auto"/>
            <w:right w:val="none" w:sz="0" w:space="0" w:color="auto"/>
          </w:divBdr>
        </w:div>
        <w:div w:id="279993845">
          <w:marLeft w:val="0"/>
          <w:marRight w:val="0"/>
          <w:marTop w:val="0"/>
          <w:marBottom w:val="0"/>
          <w:divBdr>
            <w:top w:val="none" w:sz="0" w:space="0" w:color="auto"/>
            <w:left w:val="none" w:sz="0" w:space="0" w:color="auto"/>
            <w:bottom w:val="none" w:sz="0" w:space="0" w:color="auto"/>
            <w:right w:val="none" w:sz="0" w:space="0" w:color="auto"/>
          </w:divBdr>
        </w:div>
        <w:div w:id="368576766">
          <w:marLeft w:val="0"/>
          <w:marRight w:val="0"/>
          <w:marTop w:val="0"/>
          <w:marBottom w:val="0"/>
          <w:divBdr>
            <w:top w:val="none" w:sz="0" w:space="0" w:color="auto"/>
            <w:left w:val="none" w:sz="0" w:space="0" w:color="auto"/>
            <w:bottom w:val="none" w:sz="0" w:space="0" w:color="auto"/>
            <w:right w:val="none" w:sz="0" w:space="0" w:color="auto"/>
          </w:divBdr>
        </w:div>
        <w:div w:id="2095779587">
          <w:marLeft w:val="0"/>
          <w:marRight w:val="0"/>
          <w:marTop w:val="0"/>
          <w:marBottom w:val="0"/>
          <w:divBdr>
            <w:top w:val="none" w:sz="0" w:space="0" w:color="auto"/>
            <w:left w:val="none" w:sz="0" w:space="0" w:color="auto"/>
            <w:bottom w:val="none" w:sz="0" w:space="0" w:color="auto"/>
            <w:right w:val="none" w:sz="0" w:space="0" w:color="auto"/>
          </w:divBdr>
        </w:div>
        <w:div w:id="1916164904">
          <w:marLeft w:val="0"/>
          <w:marRight w:val="0"/>
          <w:marTop w:val="0"/>
          <w:marBottom w:val="0"/>
          <w:divBdr>
            <w:top w:val="none" w:sz="0" w:space="0" w:color="auto"/>
            <w:left w:val="none" w:sz="0" w:space="0" w:color="auto"/>
            <w:bottom w:val="none" w:sz="0" w:space="0" w:color="auto"/>
            <w:right w:val="none" w:sz="0" w:space="0" w:color="auto"/>
          </w:divBdr>
        </w:div>
        <w:div w:id="716588416">
          <w:marLeft w:val="0"/>
          <w:marRight w:val="0"/>
          <w:marTop w:val="0"/>
          <w:marBottom w:val="0"/>
          <w:divBdr>
            <w:top w:val="none" w:sz="0" w:space="0" w:color="auto"/>
            <w:left w:val="none" w:sz="0" w:space="0" w:color="auto"/>
            <w:bottom w:val="none" w:sz="0" w:space="0" w:color="auto"/>
            <w:right w:val="none" w:sz="0" w:space="0" w:color="auto"/>
          </w:divBdr>
        </w:div>
        <w:div w:id="1294409413">
          <w:marLeft w:val="0"/>
          <w:marRight w:val="0"/>
          <w:marTop w:val="0"/>
          <w:marBottom w:val="0"/>
          <w:divBdr>
            <w:top w:val="none" w:sz="0" w:space="0" w:color="auto"/>
            <w:left w:val="none" w:sz="0" w:space="0" w:color="auto"/>
            <w:bottom w:val="none" w:sz="0" w:space="0" w:color="auto"/>
            <w:right w:val="none" w:sz="0" w:space="0" w:color="auto"/>
          </w:divBdr>
        </w:div>
        <w:div w:id="1938319738">
          <w:marLeft w:val="0"/>
          <w:marRight w:val="0"/>
          <w:marTop w:val="0"/>
          <w:marBottom w:val="0"/>
          <w:divBdr>
            <w:top w:val="none" w:sz="0" w:space="0" w:color="auto"/>
            <w:left w:val="none" w:sz="0" w:space="0" w:color="auto"/>
            <w:bottom w:val="none" w:sz="0" w:space="0" w:color="auto"/>
            <w:right w:val="none" w:sz="0" w:space="0" w:color="auto"/>
          </w:divBdr>
        </w:div>
        <w:div w:id="53890508">
          <w:marLeft w:val="0"/>
          <w:marRight w:val="0"/>
          <w:marTop w:val="0"/>
          <w:marBottom w:val="0"/>
          <w:divBdr>
            <w:top w:val="none" w:sz="0" w:space="0" w:color="auto"/>
            <w:left w:val="none" w:sz="0" w:space="0" w:color="auto"/>
            <w:bottom w:val="none" w:sz="0" w:space="0" w:color="auto"/>
            <w:right w:val="none" w:sz="0" w:space="0" w:color="auto"/>
          </w:divBdr>
        </w:div>
        <w:div w:id="618949097">
          <w:marLeft w:val="0"/>
          <w:marRight w:val="0"/>
          <w:marTop w:val="0"/>
          <w:marBottom w:val="0"/>
          <w:divBdr>
            <w:top w:val="none" w:sz="0" w:space="0" w:color="auto"/>
            <w:left w:val="none" w:sz="0" w:space="0" w:color="auto"/>
            <w:bottom w:val="none" w:sz="0" w:space="0" w:color="auto"/>
            <w:right w:val="none" w:sz="0" w:space="0" w:color="auto"/>
          </w:divBdr>
        </w:div>
        <w:div w:id="832070096">
          <w:marLeft w:val="0"/>
          <w:marRight w:val="0"/>
          <w:marTop w:val="0"/>
          <w:marBottom w:val="0"/>
          <w:divBdr>
            <w:top w:val="none" w:sz="0" w:space="0" w:color="auto"/>
            <w:left w:val="none" w:sz="0" w:space="0" w:color="auto"/>
            <w:bottom w:val="none" w:sz="0" w:space="0" w:color="auto"/>
            <w:right w:val="none" w:sz="0" w:space="0" w:color="auto"/>
          </w:divBdr>
        </w:div>
        <w:div w:id="289823820">
          <w:marLeft w:val="0"/>
          <w:marRight w:val="0"/>
          <w:marTop w:val="0"/>
          <w:marBottom w:val="0"/>
          <w:divBdr>
            <w:top w:val="none" w:sz="0" w:space="0" w:color="auto"/>
            <w:left w:val="none" w:sz="0" w:space="0" w:color="auto"/>
            <w:bottom w:val="none" w:sz="0" w:space="0" w:color="auto"/>
            <w:right w:val="none" w:sz="0" w:space="0" w:color="auto"/>
          </w:divBdr>
        </w:div>
        <w:div w:id="63921001">
          <w:marLeft w:val="0"/>
          <w:marRight w:val="0"/>
          <w:marTop w:val="0"/>
          <w:marBottom w:val="0"/>
          <w:divBdr>
            <w:top w:val="none" w:sz="0" w:space="0" w:color="auto"/>
            <w:left w:val="none" w:sz="0" w:space="0" w:color="auto"/>
            <w:bottom w:val="none" w:sz="0" w:space="0" w:color="auto"/>
            <w:right w:val="none" w:sz="0" w:space="0" w:color="auto"/>
          </w:divBdr>
        </w:div>
        <w:div w:id="2134788526">
          <w:marLeft w:val="0"/>
          <w:marRight w:val="0"/>
          <w:marTop w:val="0"/>
          <w:marBottom w:val="0"/>
          <w:divBdr>
            <w:top w:val="none" w:sz="0" w:space="0" w:color="auto"/>
            <w:left w:val="none" w:sz="0" w:space="0" w:color="auto"/>
            <w:bottom w:val="none" w:sz="0" w:space="0" w:color="auto"/>
            <w:right w:val="none" w:sz="0" w:space="0" w:color="auto"/>
          </w:divBdr>
        </w:div>
        <w:div w:id="845021480">
          <w:marLeft w:val="0"/>
          <w:marRight w:val="0"/>
          <w:marTop w:val="0"/>
          <w:marBottom w:val="0"/>
          <w:divBdr>
            <w:top w:val="none" w:sz="0" w:space="0" w:color="auto"/>
            <w:left w:val="none" w:sz="0" w:space="0" w:color="auto"/>
            <w:bottom w:val="none" w:sz="0" w:space="0" w:color="auto"/>
            <w:right w:val="none" w:sz="0" w:space="0" w:color="auto"/>
          </w:divBdr>
        </w:div>
        <w:div w:id="1447655266">
          <w:marLeft w:val="0"/>
          <w:marRight w:val="0"/>
          <w:marTop w:val="0"/>
          <w:marBottom w:val="0"/>
          <w:divBdr>
            <w:top w:val="none" w:sz="0" w:space="0" w:color="auto"/>
            <w:left w:val="none" w:sz="0" w:space="0" w:color="auto"/>
            <w:bottom w:val="none" w:sz="0" w:space="0" w:color="auto"/>
            <w:right w:val="none" w:sz="0" w:space="0" w:color="auto"/>
          </w:divBdr>
        </w:div>
        <w:div w:id="629558249">
          <w:marLeft w:val="0"/>
          <w:marRight w:val="0"/>
          <w:marTop w:val="0"/>
          <w:marBottom w:val="0"/>
          <w:divBdr>
            <w:top w:val="none" w:sz="0" w:space="0" w:color="auto"/>
            <w:left w:val="none" w:sz="0" w:space="0" w:color="auto"/>
            <w:bottom w:val="none" w:sz="0" w:space="0" w:color="auto"/>
            <w:right w:val="none" w:sz="0" w:space="0" w:color="auto"/>
          </w:divBdr>
        </w:div>
        <w:div w:id="926882980">
          <w:marLeft w:val="0"/>
          <w:marRight w:val="0"/>
          <w:marTop w:val="0"/>
          <w:marBottom w:val="0"/>
          <w:divBdr>
            <w:top w:val="none" w:sz="0" w:space="0" w:color="auto"/>
            <w:left w:val="none" w:sz="0" w:space="0" w:color="auto"/>
            <w:bottom w:val="none" w:sz="0" w:space="0" w:color="auto"/>
            <w:right w:val="none" w:sz="0" w:space="0" w:color="auto"/>
          </w:divBdr>
        </w:div>
        <w:div w:id="1110708999">
          <w:marLeft w:val="0"/>
          <w:marRight w:val="0"/>
          <w:marTop w:val="0"/>
          <w:marBottom w:val="0"/>
          <w:divBdr>
            <w:top w:val="none" w:sz="0" w:space="0" w:color="auto"/>
            <w:left w:val="none" w:sz="0" w:space="0" w:color="auto"/>
            <w:bottom w:val="none" w:sz="0" w:space="0" w:color="auto"/>
            <w:right w:val="none" w:sz="0" w:space="0" w:color="auto"/>
          </w:divBdr>
        </w:div>
        <w:div w:id="140731775">
          <w:marLeft w:val="0"/>
          <w:marRight w:val="0"/>
          <w:marTop w:val="0"/>
          <w:marBottom w:val="0"/>
          <w:divBdr>
            <w:top w:val="none" w:sz="0" w:space="0" w:color="auto"/>
            <w:left w:val="none" w:sz="0" w:space="0" w:color="auto"/>
            <w:bottom w:val="none" w:sz="0" w:space="0" w:color="auto"/>
            <w:right w:val="none" w:sz="0" w:space="0" w:color="auto"/>
          </w:divBdr>
        </w:div>
        <w:div w:id="1594436082">
          <w:marLeft w:val="0"/>
          <w:marRight w:val="0"/>
          <w:marTop w:val="0"/>
          <w:marBottom w:val="0"/>
          <w:divBdr>
            <w:top w:val="none" w:sz="0" w:space="0" w:color="auto"/>
            <w:left w:val="none" w:sz="0" w:space="0" w:color="auto"/>
            <w:bottom w:val="none" w:sz="0" w:space="0" w:color="auto"/>
            <w:right w:val="none" w:sz="0" w:space="0" w:color="auto"/>
          </w:divBdr>
        </w:div>
        <w:div w:id="896475045">
          <w:marLeft w:val="0"/>
          <w:marRight w:val="0"/>
          <w:marTop w:val="0"/>
          <w:marBottom w:val="0"/>
          <w:divBdr>
            <w:top w:val="none" w:sz="0" w:space="0" w:color="auto"/>
            <w:left w:val="none" w:sz="0" w:space="0" w:color="auto"/>
            <w:bottom w:val="none" w:sz="0" w:space="0" w:color="auto"/>
            <w:right w:val="none" w:sz="0" w:space="0" w:color="auto"/>
          </w:divBdr>
        </w:div>
        <w:div w:id="366221904">
          <w:marLeft w:val="0"/>
          <w:marRight w:val="0"/>
          <w:marTop w:val="0"/>
          <w:marBottom w:val="0"/>
          <w:divBdr>
            <w:top w:val="none" w:sz="0" w:space="0" w:color="auto"/>
            <w:left w:val="none" w:sz="0" w:space="0" w:color="auto"/>
            <w:bottom w:val="none" w:sz="0" w:space="0" w:color="auto"/>
            <w:right w:val="none" w:sz="0" w:space="0" w:color="auto"/>
          </w:divBdr>
        </w:div>
        <w:div w:id="2029715758">
          <w:marLeft w:val="0"/>
          <w:marRight w:val="0"/>
          <w:marTop w:val="0"/>
          <w:marBottom w:val="0"/>
          <w:divBdr>
            <w:top w:val="none" w:sz="0" w:space="0" w:color="auto"/>
            <w:left w:val="none" w:sz="0" w:space="0" w:color="auto"/>
            <w:bottom w:val="none" w:sz="0" w:space="0" w:color="auto"/>
            <w:right w:val="none" w:sz="0" w:space="0" w:color="auto"/>
          </w:divBdr>
        </w:div>
        <w:div w:id="1074429571">
          <w:marLeft w:val="0"/>
          <w:marRight w:val="0"/>
          <w:marTop w:val="0"/>
          <w:marBottom w:val="0"/>
          <w:divBdr>
            <w:top w:val="none" w:sz="0" w:space="0" w:color="auto"/>
            <w:left w:val="none" w:sz="0" w:space="0" w:color="auto"/>
            <w:bottom w:val="none" w:sz="0" w:space="0" w:color="auto"/>
            <w:right w:val="none" w:sz="0" w:space="0" w:color="auto"/>
          </w:divBdr>
        </w:div>
        <w:div w:id="362485499">
          <w:marLeft w:val="0"/>
          <w:marRight w:val="0"/>
          <w:marTop w:val="0"/>
          <w:marBottom w:val="0"/>
          <w:divBdr>
            <w:top w:val="none" w:sz="0" w:space="0" w:color="auto"/>
            <w:left w:val="none" w:sz="0" w:space="0" w:color="auto"/>
            <w:bottom w:val="none" w:sz="0" w:space="0" w:color="auto"/>
            <w:right w:val="none" w:sz="0" w:space="0" w:color="auto"/>
          </w:divBdr>
        </w:div>
        <w:div w:id="467749017">
          <w:marLeft w:val="0"/>
          <w:marRight w:val="0"/>
          <w:marTop w:val="0"/>
          <w:marBottom w:val="0"/>
          <w:divBdr>
            <w:top w:val="none" w:sz="0" w:space="0" w:color="auto"/>
            <w:left w:val="none" w:sz="0" w:space="0" w:color="auto"/>
            <w:bottom w:val="none" w:sz="0" w:space="0" w:color="auto"/>
            <w:right w:val="none" w:sz="0" w:space="0" w:color="auto"/>
          </w:divBdr>
        </w:div>
        <w:div w:id="675769409">
          <w:marLeft w:val="0"/>
          <w:marRight w:val="0"/>
          <w:marTop w:val="0"/>
          <w:marBottom w:val="0"/>
          <w:divBdr>
            <w:top w:val="none" w:sz="0" w:space="0" w:color="auto"/>
            <w:left w:val="none" w:sz="0" w:space="0" w:color="auto"/>
            <w:bottom w:val="none" w:sz="0" w:space="0" w:color="auto"/>
            <w:right w:val="none" w:sz="0" w:space="0" w:color="auto"/>
          </w:divBdr>
        </w:div>
        <w:div w:id="480971143">
          <w:marLeft w:val="0"/>
          <w:marRight w:val="0"/>
          <w:marTop w:val="0"/>
          <w:marBottom w:val="0"/>
          <w:divBdr>
            <w:top w:val="none" w:sz="0" w:space="0" w:color="auto"/>
            <w:left w:val="none" w:sz="0" w:space="0" w:color="auto"/>
            <w:bottom w:val="none" w:sz="0" w:space="0" w:color="auto"/>
            <w:right w:val="none" w:sz="0" w:space="0" w:color="auto"/>
          </w:divBdr>
        </w:div>
        <w:div w:id="215045994">
          <w:marLeft w:val="0"/>
          <w:marRight w:val="0"/>
          <w:marTop w:val="0"/>
          <w:marBottom w:val="0"/>
          <w:divBdr>
            <w:top w:val="none" w:sz="0" w:space="0" w:color="auto"/>
            <w:left w:val="none" w:sz="0" w:space="0" w:color="auto"/>
            <w:bottom w:val="none" w:sz="0" w:space="0" w:color="auto"/>
            <w:right w:val="none" w:sz="0" w:space="0" w:color="auto"/>
          </w:divBdr>
        </w:div>
        <w:div w:id="637997447">
          <w:marLeft w:val="0"/>
          <w:marRight w:val="0"/>
          <w:marTop w:val="0"/>
          <w:marBottom w:val="0"/>
          <w:divBdr>
            <w:top w:val="none" w:sz="0" w:space="0" w:color="auto"/>
            <w:left w:val="none" w:sz="0" w:space="0" w:color="auto"/>
            <w:bottom w:val="none" w:sz="0" w:space="0" w:color="auto"/>
            <w:right w:val="none" w:sz="0" w:space="0" w:color="auto"/>
          </w:divBdr>
        </w:div>
        <w:div w:id="2037997609">
          <w:marLeft w:val="0"/>
          <w:marRight w:val="0"/>
          <w:marTop w:val="0"/>
          <w:marBottom w:val="0"/>
          <w:divBdr>
            <w:top w:val="none" w:sz="0" w:space="0" w:color="auto"/>
            <w:left w:val="none" w:sz="0" w:space="0" w:color="auto"/>
            <w:bottom w:val="none" w:sz="0" w:space="0" w:color="auto"/>
            <w:right w:val="none" w:sz="0" w:space="0" w:color="auto"/>
          </w:divBdr>
        </w:div>
        <w:div w:id="560361715">
          <w:marLeft w:val="0"/>
          <w:marRight w:val="0"/>
          <w:marTop w:val="0"/>
          <w:marBottom w:val="0"/>
          <w:divBdr>
            <w:top w:val="none" w:sz="0" w:space="0" w:color="auto"/>
            <w:left w:val="none" w:sz="0" w:space="0" w:color="auto"/>
            <w:bottom w:val="none" w:sz="0" w:space="0" w:color="auto"/>
            <w:right w:val="none" w:sz="0" w:space="0" w:color="auto"/>
          </w:divBdr>
        </w:div>
        <w:div w:id="1428619536">
          <w:marLeft w:val="0"/>
          <w:marRight w:val="0"/>
          <w:marTop w:val="0"/>
          <w:marBottom w:val="0"/>
          <w:divBdr>
            <w:top w:val="none" w:sz="0" w:space="0" w:color="auto"/>
            <w:left w:val="none" w:sz="0" w:space="0" w:color="auto"/>
            <w:bottom w:val="none" w:sz="0" w:space="0" w:color="auto"/>
            <w:right w:val="none" w:sz="0" w:space="0" w:color="auto"/>
          </w:divBdr>
        </w:div>
        <w:div w:id="1357076136">
          <w:marLeft w:val="0"/>
          <w:marRight w:val="0"/>
          <w:marTop w:val="0"/>
          <w:marBottom w:val="0"/>
          <w:divBdr>
            <w:top w:val="none" w:sz="0" w:space="0" w:color="auto"/>
            <w:left w:val="none" w:sz="0" w:space="0" w:color="auto"/>
            <w:bottom w:val="none" w:sz="0" w:space="0" w:color="auto"/>
            <w:right w:val="none" w:sz="0" w:space="0" w:color="auto"/>
          </w:divBdr>
        </w:div>
        <w:div w:id="413086786">
          <w:marLeft w:val="0"/>
          <w:marRight w:val="0"/>
          <w:marTop w:val="0"/>
          <w:marBottom w:val="0"/>
          <w:divBdr>
            <w:top w:val="none" w:sz="0" w:space="0" w:color="auto"/>
            <w:left w:val="none" w:sz="0" w:space="0" w:color="auto"/>
            <w:bottom w:val="none" w:sz="0" w:space="0" w:color="auto"/>
            <w:right w:val="none" w:sz="0" w:space="0" w:color="auto"/>
          </w:divBdr>
        </w:div>
        <w:div w:id="1324966902">
          <w:marLeft w:val="0"/>
          <w:marRight w:val="0"/>
          <w:marTop w:val="0"/>
          <w:marBottom w:val="0"/>
          <w:divBdr>
            <w:top w:val="none" w:sz="0" w:space="0" w:color="auto"/>
            <w:left w:val="none" w:sz="0" w:space="0" w:color="auto"/>
            <w:bottom w:val="none" w:sz="0" w:space="0" w:color="auto"/>
            <w:right w:val="none" w:sz="0" w:space="0" w:color="auto"/>
          </w:divBdr>
        </w:div>
        <w:div w:id="1806583523">
          <w:marLeft w:val="0"/>
          <w:marRight w:val="0"/>
          <w:marTop w:val="0"/>
          <w:marBottom w:val="0"/>
          <w:divBdr>
            <w:top w:val="none" w:sz="0" w:space="0" w:color="auto"/>
            <w:left w:val="none" w:sz="0" w:space="0" w:color="auto"/>
            <w:bottom w:val="none" w:sz="0" w:space="0" w:color="auto"/>
            <w:right w:val="none" w:sz="0" w:space="0" w:color="auto"/>
          </w:divBdr>
        </w:div>
        <w:div w:id="498812616">
          <w:marLeft w:val="0"/>
          <w:marRight w:val="0"/>
          <w:marTop w:val="0"/>
          <w:marBottom w:val="0"/>
          <w:divBdr>
            <w:top w:val="none" w:sz="0" w:space="0" w:color="auto"/>
            <w:left w:val="none" w:sz="0" w:space="0" w:color="auto"/>
            <w:bottom w:val="none" w:sz="0" w:space="0" w:color="auto"/>
            <w:right w:val="none" w:sz="0" w:space="0" w:color="auto"/>
          </w:divBdr>
        </w:div>
        <w:div w:id="3363701">
          <w:marLeft w:val="0"/>
          <w:marRight w:val="0"/>
          <w:marTop w:val="0"/>
          <w:marBottom w:val="0"/>
          <w:divBdr>
            <w:top w:val="none" w:sz="0" w:space="0" w:color="auto"/>
            <w:left w:val="none" w:sz="0" w:space="0" w:color="auto"/>
            <w:bottom w:val="none" w:sz="0" w:space="0" w:color="auto"/>
            <w:right w:val="none" w:sz="0" w:space="0" w:color="auto"/>
          </w:divBdr>
        </w:div>
        <w:div w:id="1220358577">
          <w:marLeft w:val="0"/>
          <w:marRight w:val="0"/>
          <w:marTop w:val="0"/>
          <w:marBottom w:val="0"/>
          <w:divBdr>
            <w:top w:val="none" w:sz="0" w:space="0" w:color="auto"/>
            <w:left w:val="none" w:sz="0" w:space="0" w:color="auto"/>
            <w:bottom w:val="none" w:sz="0" w:space="0" w:color="auto"/>
            <w:right w:val="none" w:sz="0" w:space="0" w:color="auto"/>
          </w:divBdr>
        </w:div>
        <w:div w:id="1689211782">
          <w:marLeft w:val="0"/>
          <w:marRight w:val="0"/>
          <w:marTop w:val="0"/>
          <w:marBottom w:val="0"/>
          <w:divBdr>
            <w:top w:val="none" w:sz="0" w:space="0" w:color="auto"/>
            <w:left w:val="none" w:sz="0" w:space="0" w:color="auto"/>
            <w:bottom w:val="none" w:sz="0" w:space="0" w:color="auto"/>
            <w:right w:val="none" w:sz="0" w:space="0" w:color="auto"/>
          </w:divBdr>
        </w:div>
        <w:div w:id="1468738056">
          <w:marLeft w:val="0"/>
          <w:marRight w:val="0"/>
          <w:marTop w:val="0"/>
          <w:marBottom w:val="0"/>
          <w:divBdr>
            <w:top w:val="none" w:sz="0" w:space="0" w:color="auto"/>
            <w:left w:val="none" w:sz="0" w:space="0" w:color="auto"/>
            <w:bottom w:val="none" w:sz="0" w:space="0" w:color="auto"/>
            <w:right w:val="none" w:sz="0" w:space="0" w:color="auto"/>
          </w:divBdr>
        </w:div>
        <w:div w:id="2054311072">
          <w:marLeft w:val="0"/>
          <w:marRight w:val="0"/>
          <w:marTop w:val="0"/>
          <w:marBottom w:val="0"/>
          <w:divBdr>
            <w:top w:val="none" w:sz="0" w:space="0" w:color="auto"/>
            <w:left w:val="none" w:sz="0" w:space="0" w:color="auto"/>
            <w:bottom w:val="none" w:sz="0" w:space="0" w:color="auto"/>
            <w:right w:val="none" w:sz="0" w:space="0" w:color="auto"/>
          </w:divBdr>
        </w:div>
        <w:div w:id="1039009581">
          <w:marLeft w:val="0"/>
          <w:marRight w:val="0"/>
          <w:marTop w:val="0"/>
          <w:marBottom w:val="0"/>
          <w:divBdr>
            <w:top w:val="none" w:sz="0" w:space="0" w:color="auto"/>
            <w:left w:val="none" w:sz="0" w:space="0" w:color="auto"/>
            <w:bottom w:val="none" w:sz="0" w:space="0" w:color="auto"/>
            <w:right w:val="none" w:sz="0" w:space="0" w:color="auto"/>
          </w:divBdr>
        </w:div>
        <w:div w:id="1606187725">
          <w:marLeft w:val="0"/>
          <w:marRight w:val="0"/>
          <w:marTop w:val="0"/>
          <w:marBottom w:val="0"/>
          <w:divBdr>
            <w:top w:val="none" w:sz="0" w:space="0" w:color="auto"/>
            <w:left w:val="none" w:sz="0" w:space="0" w:color="auto"/>
            <w:bottom w:val="none" w:sz="0" w:space="0" w:color="auto"/>
            <w:right w:val="none" w:sz="0" w:space="0" w:color="auto"/>
          </w:divBdr>
        </w:div>
        <w:div w:id="1125853797">
          <w:marLeft w:val="0"/>
          <w:marRight w:val="0"/>
          <w:marTop w:val="0"/>
          <w:marBottom w:val="0"/>
          <w:divBdr>
            <w:top w:val="none" w:sz="0" w:space="0" w:color="auto"/>
            <w:left w:val="none" w:sz="0" w:space="0" w:color="auto"/>
            <w:bottom w:val="none" w:sz="0" w:space="0" w:color="auto"/>
            <w:right w:val="none" w:sz="0" w:space="0" w:color="auto"/>
          </w:divBdr>
        </w:div>
        <w:div w:id="2076778852">
          <w:marLeft w:val="0"/>
          <w:marRight w:val="0"/>
          <w:marTop w:val="0"/>
          <w:marBottom w:val="0"/>
          <w:divBdr>
            <w:top w:val="none" w:sz="0" w:space="0" w:color="auto"/>
            <w:left w:val="none" w:sz="0" w:space="0" w:color="auto"/>
            <w:bottom w:val="none" w:sz="0" w:space="0" w:color="auto"/>
            <w:right w:val="none" w:sz="0" w:space="0" w:color="auto"/>
          </w:divBdr>
        </w:div>
        <w:div w:id="269287573">
          <w:marLeft w:val="0"/>
          <w:marRight w:val="0"/>
          <w:marTop w:val="0"/>
          <w:marBottom w:val="0"/>
          <w:divBdr>
            <w:top w:val="none" w:sz="0" w:space="0" w:color="auto"/>
            <w:left w:val="none" w:sz="0" w:space="0" w:color="auto"/>
            <w:bottom w:val="none" w:sz="0" w:space="0" w:color="auto"/>
            <w:right w:val="none" w:sz="0" w:space="0" w:color="auto"/>
          </w:divBdr>
        </w:div>
        <w:div w:id="1511094676">
          <w:marLeft w:val="0"/>
          <w:marRight w:val="0"/>
          <w:marTop w:val="0"/>
          <w:marBottom w:val="0"/>
          <w:divBdr>
            <w:top w:val="none" w:sz="0" w:space="0" w:color="auto"/>
            <w:left w:val="none" w:sz="0" w:space="0" w:color="auto"/>
            <w:bottom w:val="none" w:sz="0" w:space="0" w:color="auto"/>
            <w:right w:val="none" w:sz="0" w:space="0" w:color="auto"/>
          </w:divBdr>
        </w:div>
        <w:div w:id="1623992968">
          <w:marLeft w:val="0"/>
          <w:marRight w:val="0"/>
          <w:marTop w:val="0"/>
          <w:marBottom w:val="0"/>
          <w:divBdr>
            <w:top w:val="none" w:sz="0" w:space="0" w:color="auto"/>
            <w:left w:val="none" w:sz="0" w:space="0" w:color="auto"/>
            <w:bottom w:val="none" w:sz="0" w:space="0" w:color="auto"/>
            <w:right w:val="none" w:sz="0" w:space="0" w:color="auto"/>
          </w:divBdr>
        </w:div>
        <w:div w:id="647823478">
          <w:marLeft w:val="0"/>
          <w:marRight w:val="0"/>
          <w:marTop w:val="0"/>
          <w:marBottom w:val="0"/>
          <w:divBdr>
            <w:top w:val="none" w:sz="0" w:space="0" w:color="auto"/>
            <w:left w:val="none" w:sz="0" w:space="0" w:color="auto"/>
            <w:bottom w:val="none" w:sz="0" w:space="0" w:color="auto"/>
            <w:right w:val="none" w:sz="0" w:space="0" w:color="auto"/>
          </w:divBdr>
        </w:div>
        <w:div w:id="903226180">
          <w:marLeft w:val="0"/>
          <w:marRight w:val="0"/>
          <w:marTop w:val="0"/>
          <w:marBottom w:val="0"/>
          <w:divBdr>
            <w:top w:val="none" w:sz="0" w:space="0" w:color="auto"/>
            <w:left w:val="none" w:sz="0" w:space="0" w:color="auto"/>
            <w:bottom w:val="none" w:sz="0" w:space="0" w:color="auto"/>
            <w:right w:val="none" w:sz="0" w:space="0" w:color="auto"/>
          </w:divBdr>
        </w:div>
        <w:div w:id="1822965169">
          <w:marLeft w:val="0"/>
          <w:marRight w:val="0"/>
          <w:marTop w:val="0"/>
          <w:marBottom w:val="0"/>
          <w:divBdr>
            <w:top w:val="none" w:sz="0" w:space="0" w:color="auto"/>
            <w:left w:val="none" w:sz="0" w:space="0" w:color="auto"/>
            <w:bottom w:val="none" w:sz="0" w:space="0" w:color="auto"/>
            <w:right w:val="none" w:sz="0" w:space="0" w:color="auto"/>
          </w:divBdr>
        </w:div>
        <w:div w:id="1553999132">
          <w:marLeft w:val="0"/>
          <w:marRight w:val="0"/>
          <w:marTop w:val="0"/>
          <w:marBottom w:val="0"/>
          <w:divBdr>
            <w:top w:val="none" w:sz="0" w:space="0" w:color="auto"/>
            <w:left w:val="none" w:sz="0" w:space="0" w:color="auto"/>
            <w:bottom w:val="none" w:sz="0" w:space="0" w:color="auto"/>
            <w:right w:val="none" w:sz="0" w:space="0" w:color="auto"/>
          </w:divBdr>
        </w:div>
        <w:div w:id="1069692524">
          <w:marLeft w:val="0"/>
          <w:marRight w:val="0"/>
          <w:marTop w:val="0"/>
          <w:marBottom w:val="0"/>
          <w:divBdr>
            <w:top w:val="none" w:sz="0" w:space="0" w:color="auto"/>
            <w:left w:val="none" w:sz="0" w:space="0" w:color="auto"/>
            <w:bottom w:val="none" w:sz="0" w:space="0" w:color="auto"/>
            <w:right w:val="none" w:sz="0" w:space="0" w:color="auto"/>
          </w:divBdr>
        </w:div>
        <w:div w:id="1486894568">
          <w:marLeft w:val="0"/>
          <w:marRight w:val="0"/>
          <w:marTop w:val="0"/>
          <w:marBottom w:val="0"/>
          <w:divBdr>
            <w:top w:val="none" w:sz="0" w:space="0" w:color="auto"/>
            <w:left w:val="none" w:sz="0" w:space="0" w:color="auto"/>
            <w:bottom w:val="none" w:sz="0" w:space="0" w:color="auto"/>
            <w:right w:val="none" w:sz="0" w:space="0" w:color="auto"/>
          </w:divBdr>
        </w:div>
        <w:div w:id="571742462">
          <w:marLeft w:val="0"/>
          <w:marRight w:val="0"/>
          <w:marTop w:val="0"/>
          <w:marBottom w:val="0"/>
          <w:divBdr>
            <w:top w:val="none" w:sz="0" w:space="0" w:color="auto"/>
            <w:left w:val="none" w:sz="0" w:space="0" w:color="auto"/>
            <w:bottom w:val="none" w:sz="0" w:space="0" w:color="auto"/>
            <w:right w:val="none" w:sz="0" w:space="0" w:color="auto"/>
          </w:divBdr>
        </w:div>
        <w:div w:id="1629553228">
          <w:marLeft w:val="0"/>
          <w:marRight w:val="0"/>
          <w:marTop w:val="0"/>
          <w:marBottom w:val="0"/>
          <w:divBdr>
            <w:top w:val="none" w:sz="0" w:space="0" w:color="auto"/>
            <w:left w:val="none" w:sz="0" w:space="0" w:color="auto"/>
            <w:bottom w:val="none" w:sz="0" w:space="0" w:color="auto"/>
            <w:right w:val="none" w:sz="0" w:space="0" w:color="auto"/>
          </w:divBdr>
        </w:div>
        <w:div w:id="526603328">
          <w:marLeft w:val="0"/>
          <w:marRight w:val="0"/>
          <w:marTop w:val="0"/>
          <w:marBottom w:val="0"/>
          <w:divBdr>
            <w:top w:val="none" w:sz="0" w:space="0" w:color="auto"/>
            <w:left w:val="none" w:sz="0" w:space="0" w:color="auto"/>
            <w:bottom w:val="none" w:sz="0" w:space="0" w:color="auto"/>
            <w:right w:val="none" w:sz="0" w:space="0" w:color="auto"/>
          </w:divBdr>
        </w:div>
        <w:div w:id="1137720460">
          <w:marLeft w:val="0"/>
          <w:marRight w:val="0"/>
          <w:marTop w:val="0"/>
          <w:marBottom w:val="0"/>
          <w:divBdr>
            <w:top w:val="none" w:sz="0" w:space="0" w:color="auto"/>
            <w:left w:val="none" w:sz="0" w:space="0" w:color="auto"/>
            <w:bottom w:val="none" w:sz="0" w:space="0" w:color="auto"/>
            <w:right w:val="none" w:sz="0" w:space="0" w:color="auto"/>
          </w:divBdr>
        </w:div>
        <w:div w:id="1886062058">
          <w:marLeft w:val="0"/>
          <w:marRight w:val="0"/>
          <w:marTop w:val="0"/>
          <w:marBottom w:val="0"/>
          <w:divBdr>
            <w:top w:val="none" w:sz="0" w:space="0" w:color="auto"/>
            <w:left w:val="none" w:sz="0" w:space="0" w:color="auto"/>
            <w:bottom w:val="none" w:sz="0" w:space="0" w:color="auto"/>
            <w:right w:val="none" w:sz="0" w:space="0" w:color="auto"/>
          </w:divBdr>
        </w:div>
        <w:div w:id="1546019162">
          <w:marLeft w:val="0"/>
          <w:marRight w:val="0"/>
          <w:marTop w:val="0"/>
          <w:marBottom w:val="0"/>
          <w:divBdr>
            <w:top w:val="none" w:sz="0" w:space="0" w:color="auto"/>
            <w:left w:val="none" w:sz="0" w:space="0" w:color="auto"/>
            <w:bottom w:val="none" w:sz="0" w:space="0" w:color="auto"/>
            <w:right w:val="none" w:sz="0" w:space="0" w:color="auto"/>
          </w:divBdr>
        </w:div>
        <w:div w:id="1454866250">
          <w:marLeft w:val="0"/>
          <w:marRight w:val="0"/>
          <w:marTop w:val="0"/>
          <w:marBottom w:val="0"/>
          <w:divBdr>
            <w:top w:val="none" w:sz="0" w:space="0" w:color="auto"/>
            <w:left w:val="none" w:sz="0" w:space="0" w:color="auto"/>
            <w:bottom w:val="none" w:sz="0" w:space="0" w:color="auto"/>
            <w:right w:val="none" w:sz="0" w:space="0" w:color="auto"/>
          </w:divBdr>
        </w:div>
        <w:div w:id="1819180478">
          <w:marLeft w:val="0"/>
          <w:marRight w:val="0"/>
          <w:marTop w:val="0"/>
          <w:marBottom w:val="0"/>
          <w:divBdr>
            <w:top w:val="none" w:sz="0" w:space="0" w:color="auto"/>
            <w:left w:val="none" w:sz="0" w:space="0" w:color="auto"/>
            <w:bottom w:val="none" w:sz="0" w:space="0" w:color="auto"/>
            <w:right w:val="none" w:sz="0" w:space="0" w:color="auto"/>
          </w:divBdr>
        </w:div>
        <w:div w:id="1667016">
          <w:marLeft w:val="0"/>
          <w:marRight w:val="0"/>
          <w:marTop w:val="0"/>
          <w:marBottom w:val="0"/>
          <w:divBdr>
            <w:top w:val="none" w:sz="0" w:space="0" w:color="auto"/>
            <w:left w:val="none" w:sz="0" w:space="0" w:color="auto"/>
            <w:bottom w:val="none" w:sz="0" w:space="0" w:color="auto"/>
            <w:right w:val="none" w:sz="0" w:space="0" w:color="auto"/>
          </w:divBdr>
        </w:div>
        <w:div w:id="1703046079">
          <w:marLeft w:val="0"/>
          <w:marRight w:val="0"/>
          <w:marTop w:val="0"/>
          <w:marBottom w:val="0"/>
          <w:divBdr>
            <w:top w:val="none" w:sz="0" w:space="0" w:color="auto"/>
            <w:left w:val="none" w:sz="0" w:space="0" w:color="auto"/>
            <w:bottom w:val="none" w:sz="0" w:space="0" w:color="auto"/>
            <w:right w:val="none" w:sz="0" w:space="0" w:color="auto"/>
          </w:divBdr>
        </w:div>
        <w:div w:id="607546492">
          <w:marLeft w:val="0"/>
          <w:marRight w:val="0"/>
          <w:marTop w:val="0"/>
          <w:marBottom w:val="0"/>
          <w:divBdr>
            <w:top w:val="none" w:sz="0" w:space="0" w:color="auto"/>
            <w:left w:val="none" w:sz="0" w:space="0" w:color="auto"/>
            <w:bottom w:val="none" w:sz="0" w:space="0" w:color="auto"/>
            <w:right w:val="none" w:sz="0" w:space="0" w:color="auto"/>
          </w:divBdr>
        </w:div>
        <w:div w:id="1991053569">
          <w:marLeft w:val="0"/>
          <w:marRight w:val="0"/>
          <w:marTop w:val="0"/>
          <w:marBottom w:val="0"/>
          <w:divBdr>
            <w:top w:val="none" w:sz="0" w:space="0" w:color="auto"/>
            <w:left w:val="none" w:sz="0" w:space="0" w:color="auto"/>
            <w:bottom w:val="none" w:sz="0" w:space="0" w:color="auto"/>
            <w:right w:val="none" w:sz="0" w:space="0" w:color="auto"/>
          </w:divBdr>
        </w:div>
        <w:div w:id="1676765239">
          <w:marLeft w:val="0"/>
          <w:marRight w:val="0"/>
          <w:marTop w:val="0"/>
          <w:marBottom w:val="0"/>
          <w:divBdr>
            <w:top w:val="none" w:sz="0" w:space="0" w:color="auto"/>
            <w:left w:val="none" w:sz="0" w:space="0" w:color="auto"/>
            <w:bottom w:val="none" w:sz="0" w:space="0" w:color="auto"/>
            <w:right w:val="none" w:sz="0" w:space="0" w:color="auto"/>
          </w:divBdr>
        </w:div>
        <w:div w:id="1010529465">
          <w:marLeft w:val="0"/>
          <w:marRight w:val="0"/>
          <w:marTop w:val="0"/>
          <w:marBottom w:val="0"/>
          <w:divBdr>
            <w:top w:val="none" w:sz="0" w:space="0" w:color="auto"/>
            <w:left w:val="none" w:sz="0" w:space="0" w:color="auto"/>
            <w:bottom w:val="none" w:sz="0" w:space="0" w:color="auto"/>
            <w:right w:val="none" w:sz="0" w:space="0" w:color="auto"/>
          </w:divBdr>
        </w:div>
        <w:div w:id="2060785858">
          <w:marLeft w:val="0"/>
          <w:marRight w:val="0"/>
          <w:marTop w:val="0"/>
          <w:marBottom w:val="0"/>
          <w:divBdr>
            <w:top w:val="none" w:sz="0" w:space="0" w:color="auto"/>
            <w:left w:val="none" w:sz="0" w:space="0" w:color="auto"/>
            <w:bottom w:val="none" w:sz="0" w:space="0" w:color="auto"/>
            <w:right w:val="none" w:sz="0" w:space="0" w:color="auto"/>
          </w:divBdr>
        </w:div>
        <w:div w:id="1727797005">
          <w:marLeft w:val="0"/>
          <w:marRight w:val="0"/>
          <w:marTop w:val="0"/>
          <w:marBottom w:val="0"/>
          <w:divBdr>
            <w:top w:val="none" w:sz="0" w:space="0" w:color="auto"/>
            <w:left w:val="none" w:sz="0" w:space="0" w:color="auto"/>
            <w:bottom w:val="none" w:sz="0" w:space="0" w:color="auto"/>
            <w:right w:val="none" w:sz="0" w:space="0" w:color="auto"/>
          </w:divBdr>
        </w:div>
        <w:div w:id="1536774085">
          <w:marLeft w:val="0"/>
          <w:marRight w:val="0"/>
          <w:marTop w:val="0"/>
          <w:marBottom w:val="0"/>
          <w:divBdr>
            <w:top w:val="none" w:sz="0" w:space="0" w:color="auto"/>
            <w:left w:val="none" w:sz="0" w:space="0" w:color="auto"/>
            <w:bottom w:val="none" w:sz="0" w:space="0" w:color="auto"/>
            <w:right w:val="none" w:sz="0" w:space="0" w:color="auto"/>
          </w:divBdr>
        </w:div>
        <w:div w:id="1640568472">
          <w:marLeft w:val="0"/>
          <w:marRight w:val="0"/>
          <w:marTop w:val="0"/>
          <w:marBottom w:val="0"/>
          <w:divBdr>
            <w:top w:val="none" w:sz="0" w:space="0" w:color="auto"/>
            <w:left w:val="none" w:sz="0" w:space="0" w:color="auto"/>
            <w:bottom w:val="none" w:sz="0" w:space="0" w:color="auto"/>
            <w:right w:val="none" w:sz="0" w:space="0" w:color="auto"/>
          </w:divBdr>
        </w:div>
        <w:div w:id="1138646124">
          <w:marLeft w:val="0"/>
          <w:marRight w:val="0"/>
          <w:marTop w:val="0"/>
          <w:marBottom w:val="0"/>
          <w:divBdr>
            <w:top w:val="none" w:sz="0" w:space="0" w:color="auto"/>
            <w:left w:val="none" w:sz="0" w:space="0" w:color="auto"/>
            <w:bottom w:val="none" w:sz="0" w:space="0" w:color="auto"/>
            <w:right w:val="none" w:sz="0" w:space="0" w:color="auto"/>
          </w:divBdr>
        </w:div>
        <w:div w:id="1314603734">
          <w:marLeft w:val="0"/>
          <w:marRight w:val="0"/>
          <w:marTop w:val="0"/>
          <w:marBottom w:val="0"/>
          <w:divBdr>
            <w:top w:val="none" w:sz="0" w:space="0" w:color="auto"/>
            <w:left w:val="none" w:sz="0" w:space="0" w:color="auto"/>
            <w:bottom w:val="none" w:sz="0" w:space="0" w:color="auto"/>
            <w:right w:val="none" w:sz="0" w:space="0" w:color="auto"/>
          </w:divBdr>
        </w:div>
        <w:div w:id="443237252">
          <w:marLeft w:val="0"/>
          <w:marRight w:val="0"/>
          <w:marTop w:val="0"/>
          <w:marBottom w:val="0"/>
          <w:divBdr>
            <w:top w:val="none" w:sz="0" w:space="0" w:color="auto"/>
            <w:left w:val="none" w:sz="0" w:space="0" w:color="auto"/>
            <w:bottom w:val="none" w:sz="0" w:space="0" w:color="auto"/>
            <w:right w:val="none" w:sz="0" w:space="0" w:color="auto"/>
          </w:divBdr>
        </w:div>
        <w:div w:id="982583825">
          <w:marLeft w:val="0"/>
          <w:marRight w:val="0"/>
          <w:marTop w:val="0"/>
          <w:marBottom w:val="0"/>
          <w:divBdr>
            <w:top w:val="none" w:sz="0" w:space="0" w:color="auto"/>
            <w:left w:val="none" w:sz="0" w:space="0" w:color="auto"/>
            <w:bottom w:val="none" w:sz="0" w:space="0" w:color="auto"/>
            <w:right w:val="none" w:sz="0" w:space="0" w:color="auto"/>
          </w:divBdr>
        </w:div>
        <w:div w:id="1083449813">
          <w:marLeft w:val="0"/>
          <w:marRight w:val="0"/>
          <w:marTop w:val="0"/>
          <w:marBottom w:val="0"/>
          <w:divBdr>
            <w:top w:val="none" w:sz="0" w:space="0" w:color="auto"/>
            <w:left w:val="none" w:sz="0" w:space="0" w:color="auto"/>
            <w:bottom w:val="none" w:sz="0" w:space="0" w:color="auto"/>
            <w:right w:val="none" w:sz="0" w:space="0" w:color="auto"/>
          </w:divBdr>
        </w:div>
        <w:div w:id="2102675985">
          <w:marLeft w:val="0"/>
          <w:marRight w:val="0"/>
          <w:marTop w:val="0"/>
          <w:marBottom w:val="0"/>
          <w:divBdr>
            <w:top w:val="none" w:sz="0" w:space="0" w:color="auto"/>
            <w:left w:val="none" w:sz="0" w:space="0" w:color="auto"/>
            <w:bottom w:val="none" w:sz="0" w:space="0" w:color="auto"/>
            <w:right w:val="none" w:sz="0" w:space="0" w:color="auto"/>
          </w:divBdr>
        </w:div>
        <w:div w:id="303121385">
          <w:marLeft w:val="0"/>
          <w:marRight w:val="0"/>
          <w:marTop w:val="0"/>
          <w:marBottom w:val="0"/>
          <w:divBdr>
            <w:top w:val="none" w:sz="0" w:space="0" w:color="auto"/>
            <w:left w:val="none" w:sz="0" w:space="0" w:color="auto"/>
            <w:bottom w:val="none" w:sz="0" w:space="0" w:color="auto"/>
            <w:right w:val="none" w:sz="0" w:space="0" w:color="auto"/>
          </w:divBdr>
        </w:div>
        <w:div w:id="1777023209">
          <w:marLeft w:val="0"/>
          <w:marRight w:val="0"/>
          <w:marTop w:val="0"/>
          <w:marBottom w:val="0"/>
          <w:divBdr>
            <w:top w:val="none" w:sz="0" w:space="0" w:color="auto"/>
            <w:left w:val="none" w:sz="0" w:space="0" w:color="auto"/>
            <w:bottom w:val="none" w:sz="0" w:space="0" w:color="auto"/>
            <w:right w:val="none" w:sz="0" w:space="0" w:color="auto"/>
          </w:divBdr>
        </w:div>
        <w:div w:id="1843664489">
          <w:marLeft w:val="0"/>
          <w:marRight w:val="0"/>
          <w:marTop w:val="0"/>
          <w:marBottom w:val="0"/>
          <w:divBdr>
            <w:top w:val="none" w:sz="0" w:space="0" w:color="auto"/>
            <w:left w:val="none" w:sz="0" w:space="0" w:color="auto"/>
            <w:bottom w:val="none" w:sz="0" w:space="0" w:color="auto"/>
            <w:right w:val="none" w:sz="0" w:space="0" w:color="auto"/>
          </w:divBdr>
        </w:div>
        <w:div w:id="1518037941">
          <w:marLeft w:val="0"/>
          <w:marRight w:val="0"/>
          <w:marTop w:val="0"/>
          <w:marBottom w:val="0"/>
          <w:divBdr>
            <w:top w:val="none" w:sz="0" w:space="0" w:color="auto"/>
            <w:left w:val="none" w:sz="0" w:space="0" w:color="auto"/>
            <w:bottom w:val="none" w:sz="0" w:space="0" w:color="auto"/>
            <w:right w:val="none" w:sz="0" w:space="0" w:color="auto"/>
          </w:divBdr>
        </w:div>
        <w:div w:id="389698416">
          <w:marLeft w:val="0"/>
          <w:marRight w:val="0"/>
          <w:marTop w:val="0"/>
          <w:marBottom w:val="0"/>
          <w:divBdr>
            <w:top w:val="none" w:sz="0" w:space="0" w:color="auto"/>
            <w:left w:val="none" w:sz="0" w:space="0" w:color="auto"/>
            <w:bottom w:val="none" w:sz="0" w:space="0" w:color="auto"/>
            <w:right w:val="none" w:sz="0" w:space="0" w:color="auto"/>
          </w:divBdr>
        </w:div>
        <w:div w:id="357897350">
          <w:marLeft w:val="0"/>
          <w:marRight w:val="0"/>
          <w:marTop w:val="0"/>
          <w:marBottom w:val="0"/>
          <w:divBdr>
            <w:top w:val="none" w:sz="0" w:space="0" w:color="auto"/>
            <w:left w:val="none" w:sz="0" w:space="0" w:color="auto"/>
            <w:bottom w:val="none" w:sz="0" w:space="0" w:color="auto"/>
            <w:right w:val="none" w:sz="0" w:space="0" w:color="auto"/>
          </w:divBdr>
        </w:div>
        <w:div w:id="2004047236">
          <w:marLeft w:val="0"/>
          <w:marRight w:val="0"/>
          <w:marTop w:val="0"/>
          <w:marBottom w:val="0"/>
          <w:divBdr>
            <w:top w:val="none" w:sz="0" w:space="0" w:color="auto"/>
            <w:left w:val="none" w:sz="0" w:space="0" w:color="auto"/>
            <w:bottom w:val="none" w:sz="0" w:space="0" w:color="auto"/>
            <w:right w:val="none" w:sz="0" w:space="0" w:color="auto"/>
          </w:divBdr>
        </w:div>
        <w:div w:id="1008950334">
          <w:marLeft w:val="0"/>
          <w:marRight w:val="0"/>
          <w:marTop w:val="0"/>
          <w:marBottom w:val="0"/>
          <w:divBdr>
            <w:top w:val="none" w:sz="0" w:space="0" w:color="auto"/>
            <w:left w:val="none" w:sz="0" w:space="0" w:color="auto"/>
            <w:bottom w:val="none" w:sz="0" w:space="0" w:color="auto"/>
            <w:right w:val="none" w:sz="0" w:space="0" w:color="auto"/>
          </w:divBdr>
        </w:div>
        <w:div w:id="1572228873">
          <w:marLeft w:val="0"/>
          <w:marRight w:val="0"/>
          <w:marTop w:val="0"/>
          <w:marBottom w:val="0"/>
          <w:divBdr>
            <w:top w:val="none" w:sz="0" w:space="0" w:color="auto"/>
            <w:left w:val="none" w:sz="0" w:space="0" w:color="auto"/>
            <w:bottom w:val="none" w:sz="0" w:space="0" w:color="auto"/>
            <w:right w:val="none" w:sz="0" w:space="0" w:color="auto"/>
          </w:divBdr>
        </w:div>
        <w:div w:id="683288638">
          <w:marLeft w:val="0"/>
          <w:marRight w:val="0"/>
          <w:marTop w:val="0"/>
          <w:marBottom w:val="0"/>
          <w:divBdr>
            <w:top w:val="none" w:sz="0" w:space="0" w:color="auto"/>
            <w:left w:val="none" w:sz="0" w:space="0" w:color="auto"/>
            <w:bottom w:val="none" w:sz="0" w:space="0" w:color="auto"/>
            <w:right w:val="none" w:sz="0" w:space="0" w:color="auto"/>
          </w:divBdr>
        </w:div>
        <w:div w:id="1878158898">
          <w:marLeft w:val="0"/>
          <w:marRight w:val="0"/>
          <w:marTop w:val="0"/>
          <w:marBottom w:val="0"/>
          <w:divBdr>
            <w:top w:val="none" w:sz="0" w:space="0" w:color="auto"/>
            <w:left w:val="none" w:sz="0" w:space="0" w:color="auto"/>
            <w:bottom w:val="none" w:sz="0" w:space="0" w:color="auto"/>
            <w:right w:val="none" w:sz="0" w:space="0" w:color="auto"/>
          </w:divBdr>
        </w:div>
        <w:div w:id="560212330">
          <w:marLeft w:val="0"/>
          <w:marRight w:val="0"/>
          <w:marTop w:val="0"/>
          <w:marBottom w:val="0"/>
          <w:divBdr>
            <w:top w:val="none" w:sz="0" w:space="0" w:color="auto"/>
            <w:left w:val="none" w:sz="0" w:space="0" w:color="auto"/>
            <w:bottom w:val="none" w:sz="0" w:space="0" w:color="auto"/>
            <w:right w:val="none" w:sz="0" w:space="0" w:color="auto"/>
          </w:divBdr>
        </w:div>
        <w:div w:id="1402872148">
          <w:marLeft w:val="0"/>
          <w:marRight w:val="0"/>
          <w:marTop w:val="0"/>
          <w:marBottom w:val="0"/>
          <w:divBdr>
            <w:top w:val="none" w:sz="0" w:space="0" w:color="auto"/>
            <w:left w:val="none" w:sz="0" w:space="0" w:color="auto"/>
            <w:bottom w:val="none" w:sz="0" w:space="0" w:color="auto"/>
            <w:right w:val="none" w:sz="0" w:space="0" w:color="auto"/>
          </w:divBdr>
        </w:div>
        <w:div w:id="411778896">
          <w:marLeft w:val="0"/>
          <w:marRight w:val="0"/>
          <w:marTop w:val="0"/>
          <w:marBottom w:val="0"/>
          <w:divBdr>
            <w:top w:val="none" w:sz="0" w:space="0" w:color="auto"/>
            <w:left w:val="none" w:sz="0" w:space="0" w:color="auto"/>
            <w:bottom w:val="none" w:sz="0" w:space="0" w:color="auto"/>
            <w:right w:val="none" w:sz="0" w:space="0" w:color="auto"/>
          </w:divBdr>
        </w:div>
        <w:div w:id="1795324873">
          <w:marLeft w:val="0"/>
          <w:marRight w:val="0"/>
          <w:marTop w:val="0"/>
          <w:marBottom w:val="0"/>
          <w:divBdr>
            <w:top w:val="none" w:sz="0" w:space="0" w:color="auto"/>
            <w:left w:val="none" w:sz="0" w:space="0" w:color="auto"/>
            <w:bottom w:val="none" w:sz="0" w:space="0" w:color="auto"/>
            <w:right w:val="none" w:sz="0" w:space="0" w:color="auto"/>
          </w:divBdr>
        </w:div>
        <w:div w:id="1847477470">
          <w:marLeft w:val="0"/>
          <w:marRight w:val="0"/>
          <w:marTop w:val="0"/>
          <w:marBottom w:val="0"/>
          <w:divBdr>
            <w:top w:val="none" w:sz="0" w:space="0" w:color="auto"/>
            <w:left w:val="none" w:sz="0" w:space="0" w:color="auto"/>
            <w:bottom w:val="none" w:sz="0" w:space="0" w:color="auto"/>
            <w:right w:val="none" w:sz="0" w:space="0" w:color="auto"/>
          </w:divBdr>
        </w:div>
        <w:div w:id="649940197">
          <w:marLeft w:val="0"/>
          <w:marRight w:val="0"/>
          <w:marTop w:val="0"/>
          <w:marBottom w:val="0"/>
          <w:divBdr>
            <w:top w:val="none" w:sz="0" w:space="0" w:color="auto"/>
            <w:left w:val="none" w:sz="0" w:space="0" w:color="auto"/>
            <w:bottom w:val="none" w:sz="0" w:space="0" w:color="auto"/>
            <w:right w:val="none" w:sz="0" w:space="0" w:color="auto"/>
          </w:divBdr>
        </w:div>
        <w:div w:id="517042786">
          <w:marLeft w:val="0"/>
          <w:marRight w:val="0"/>
          <w:marTop w:val="0"/>
          <w:marBottom w:val="0"/>
          <w:divBdr>
            <w:top w:val="none" w:sz="0" w:space="0" w:color="auto"/>
            <w:left w:val="none" w:sz="0" w:space="0" w:color="auto"/>
            <w:bottom w:val="none" w:sz="0" w:space="0" w:color="auto"/>
            <w:right w:val="none" w:sz="0" w:space="0" w:color="auto"/>
          </w:divBdr>
        </w:div>
        <w:div w:id="1316374817">
          <w:marLeft w:val="0"/>
          <w:marRight w:val="0"/>
          <w:marTop w:val="0"/>
          <w:marBottom w:val="0"/>
          <w:divBdr>
            <w:top w:val="none" w:sz="0" w:space="0" w:color="auto"/>
            <w:left w:val="none" w:sz="0" w:space="0" w:color="auto"/>
            <w:bottom w:val="none" w:sz="0" w:space="0" w:color="auto"/>
            <w:right w:val="none" w:sz="0" w:space="0" w:color="auto"/>
          </w:divBdr>
        </w:div>
        <w:div w:id="211237068">
          <w:marLeft w:val="0"/>
          <w:marRight w:val="0"/>
          <w:marTop w:val="0"/>
          <w:marBottom w:val="0"/>
          <w:divBdr>
            <w:top w:val="none" w:sz="0" w:space="0" w:color="auto"/>
            <w:left w:val="none" w:sz="0" w:space="0" w:color="auto"/>
            <w:bottom w:val="none" w:sz="0" w:space="0" w:color="auto"/>
            <w:right w:val="none" w:sz="0" w:space="0" w:color="auto"/>
          </w:divBdr>
        </w:div>
        <w:div w:id="2087023861">
          <w:marLeft w:val="0"/>
          <w:marRight w:val="0"/>
          <w:marTop w:val="0"/>
          <w:marBottom w:val="0"/>
          <w:divBdr>
            <w:top w:val="none" w:sz="0" w:space="0" w:color="auto"/>
            <w:left w:val="none" w:sz="0" w:space="0" w:color="auto"/>
            <w:bottom w:val="none" w:sz="0" w:space="0" w:color="auto"/>
            <w:right w:val="none" w:sz="0" w:space="0" w:color="auto"/>
          </w:divBdr>
        </w:div>
        <w:div w:id="107941744">
          <w:marLeft w:val="0"/>
          <w:marRight w:val="0"/>
          <w:marTop w:val="0"/>
          <w:marBottom w:val="0"/>
          <w:divBdr>
            <w:top w:val="none" w:sz="0" w:space="0" w:color="auto"/>
            <w:left w:val="none" w:sz="0" w:space="0" w:color="auto"/>
            <w:bottom w:val="none" w:sz="0" w:space="0" w:color="auto"/>
            <w:right w:val="none" w:sz="0" w:space="0" w:color="auto"/>
          </w:divBdr>
        </w:div>
        <w:div w:id="903292309">
          <w:marLeft w:val="0"/>
          <w:marRight w:val="0"/>
          <w:marTop w:val="0"/>
          <w:marBottom w:val="0"/>
          <w:divBdr>
            <w:top w:val="none" w:sz="0" w:space="0" w:color="auto"/>
            <w:left w:val="none" w:sz="0" w:space="0" w:color="auto"/>
            <w:bottom w:val="none" w:sz="0" w:space="0" w:color="auto"/>
            <w:right w:val="none" w:sz="0" w:space="0" w:color="auto"/>
          </w:divBdr>
        </w:div>
        <w:div w:id="1315259292">
          <w:marLeft w:val="0"/>
          <w:marRight w:val="0"/>
          <w:marTop w:val="0"/>
          <w:marBottom w:val="0"/>
          <w:divBdr>
            <w:top w:val="none" w:sz="0" w:space="0" w:color="auto"/>
            <w:left w:val="none" w:sz="0" w:space="0" w:color="auto"/>
            <w:bottom w:val="none" w:sz="0" w:space="0" w:color="auto"/>
            <w:right w:val="none" w:sz="0" w:space="0" w:color="auto"/>
          </w:divBdr>
        </w:div>
        <w:div w:id="1414163812">
          <w:marLeft w:val="0"/>
          <w:marRight w:val="0"/>
          <w:marTop w:val="0"/>
          <w:marBottom w:val="0"/>
          <w:divBdr>
            <w:top w:val="none" w:sz="0" w:space="0" w:color="auto"/>
            <w:left w:val="none" w:sz="0" w:space="0" w:color="auto"/>
            <w:bottom w:val="none" w:sz="0" w:space="0" w:color="auto"/>
            <w:right w:val="none" w:sz="0" w:space="0" w:color="auto"/>
          </w:divBdr>
        </w:div>
        <w:div w:id="727147921">
          <w:marLeft w:val="0"/>
          <w:marRight w:val="0"/>
          <w:marTop w:val="0"/>
          <w:marBottom w:val="0"/>
          <w:divBdr>
            <w:top w:val="none" w:sz="0" w:space="0" w:color="auto"/>
            <w:left w:val="none" w:sz="0" w:space="0" w:color="auto"/>
            <w:bottom w:val="none" w:sz="0" w:space="0" w:color="auto"/>
            <w:right w:val="none" w:sz="0" w:space="0" w:color="auto"/>
          </w:divBdr>
        </w:div>
        <w:div w:id="271282852">
          <w:marLeft w:val="0"/>
          <w:marRight w:val="0"/>
          <w:marTop w:val="0"/>
          <w:marBottom w:val="0"/>
          <w:divBdr>
            <w:top w:val="none" w:sz="0" w:space="0" w:color="auto"/>
            <w:left w:val="none" w:sz="0" w:space="0" w:color="auto"/>
            <w:bottom w:val="none" w:sz="0" w:space="0" w:color="auto"/>
            <w:right w:val="none" w:sz="0" w:space="0" w:color="auto"/>
          </w:divBdr>
        </w:div>
        <w:div w:id="586155322">
          <w:marLeft w:val="0"/>
          <w:marRight w:val="0"/>
          <w:marTop w:val="0"/>
          <w:marBottom w:val="0"/>
          <w:divBdr>
            <w:top w:val="none" w:sz="0" w:space="0" w:color="auto"/>
            <w:left w:val="none" w:sz="0" w:space="0" w:color="auto"/>
            <w:bottom w:val="none" w:sz="0" w:space="0" w:color="auto"/>
            <w:right w:val="none" w:sz="0" w:space="0" w:color="auto"/>
          </w:divBdr>
        </w:div>
        <w:div w:id="303236197">
          <w:marLeft w:val="0"/>
          <w:marRight w:val="0"/>
          <w:marTop w:val="0"/>
          <w:marBottom w:val="0"/>
          <w:divBdr>
            <w:top w:val="none" w:sz="0" w:space="0" w:color="auto"/>
            <w:left w:val="none" w:sz="0" w:space="0" w:color="auto"/>
            <w:bottom w:val="none" w:sz="0" w:space="0" w:color="auto"/>
            <w:right w:val="none" w:sz="0" w:space="0" w:color="auto"/>
          </w:divBdr>
        </w:div>
        <w:div w:id="392314346">
          <w:marLeft w:val="0"/>
          <w:marRight w:val="0"/>
          <w:marTop w:val="0"/>
          <w:marBottom w:val="0"/>
          <w:divBdr>
            <w:top w:val="none" w:sz="0" w:space="0" w:color="auto"/>
            <w:left w:val="none" w:sz="0" w:space="0" w:color="auto"/>
            <w:bottom w:val="none" w:sz="0" w:space="0" w:color="auto"/>
            <w:right w:val="none" w:sz="0" w:space="0" w:color="auto"/>
          </w:divBdr>
        </w:div>
        <w:div w:id="1531719975">
          <w:marLeft w:val="0"/>
          <w:marRight w:val="0"/>
          <w:marTop w:val="0"/>
          <w:marBottom w:val="0"/>
          <w:divBdr>
            <w:top w:val="none" w:sz="0" w:space="0" w:color="auto"/>
            <w:left w:val="none" w:sz="0" w:space="0" w:color="auto"/>
            <w:bottom w:val="none" w:sz="0" w:space="0" w:color="auto"/>
            <w:right w:val="none" w:sz="0" w:space="0" w:color="auto"/>
          </w:divBdr>
        </w:div>
        <w:div w:id="1062289057">
          <w:marLeft w:val="0"/>
          <w:marRight w:val="0"/>
          <w:marTop w:val="0"/>
          <w:marBottom w:val="0"/>
          <w:divBdr>
            <w:top w:val="none" w:sz="0" w:space="0" w:color="auto"/>
            <w:left w:val="none" w:sz="0" w:space="0" w:color="auto"/>
            <w:bottom w:val="none" w:sz="0" w:space="0" w:color="auto"/>
            <w:right w:val="none" w:sz="0" w:space="0" w:color="auto"/>
          </w:divBdr>
        </w:div>
        <w:div w:id="1183940237">
          <w:marLeft w:val="0"/>
          <w:marRight w:val="0"/>
          <w:marTop w:val="0"/>
          <w:marBottom w:val="0"/>
          <w:divBdr>
            <w:top w:val="none" w:sz="0" w:space="0" w:color="auto"/>
            <w:left w:val="none" w:sz="0" w:space="0" w:color="auto"/>
            <w:bottom w:val="none" w:sz="0" w:space="0" w:color="auto"/>
            <w:right w:val="none" w:sz="0" w:space="0" w:color="auto"/>
          </w:divBdr>
        </w:div>
        <w:div w:id="350423638">
          <w:marLeft w:val="0"/>
          <w:marRight w:val="0"/>
          <w:marTop w:val="0"/>
          <w:marBottom w:val="0"/>
          <w:divBdr>
            <w:top w:val="none" w:sz="0" w:space="0" w:color="auto"/>
            <w:left w:val="none" w:sz="0" w:space="0" w:color="auto"/>
            <w:bottom w:val="none" w:sz="0" w:space="0" w:color="auto"/>
            <w:right w:val="none" w:sz="0" w:space="0" w:color="auto"/>
          </w:divBdr>
        </w:div>
        <w:div w:id="2125230520">
          <w:marLeft w:val="0"/>
          <w:marRight w:val="0"/>
          <w:marTop w:val="0"/>
          <w:marBottom w:val="0"/>
          <w:divBdr>
            <w:top w:val="none" w:sz="0" w:space="0" w:color="auto"/>
            <w:left w:val="none" w:sz="0" w:space="0" w:color="auto"/>
            <w:bottom w:val="none" w:sz="0" w:space="0" w:color="auto"/>
            <w:right w:val="none" w:sz="0" w:space="0" w:color="auto"/>
          </w:divBdr>
        </w:div>
        <w:div w:id="1175923374">
          <w:marLeft w:val="0"/>
          <w:marRight w:val="0"/>
          <w:marTop w:val="0"/>
          <w:marBottom w:val="0"/>
          <w:divBdr>
            <w:top w:val="none" w:sz="0" w:space="0" w:color="auto"/>
            <w:left w:val="none" w:sz="0" w:space="0" w:color="auto"/>
            <w:bottom w:val="none" w:sz="0" w:space="0" w:color="auto"/>
            <w:right w:val="none" w:sz="0" w:space="0" w:color="auto"/>
          </w:divBdr>
        </w:div>
        <w:div w:id="1744182428">
          <w:marLeft w:val="0"/>
          <w:marRight w:val="0"/>
          <w:marTop w:val="0"/>
          <w:marBottom w:val="0"/>
          <w:divBdr>
            <w:top w:val="none" w:sz="0" w:space="0" w:color="auto"/>
            <w:left w:val="none" w:sz="0" w:space="0" w:color="auto"/>
            <w:bottom w:val="none" w:sz="0" w:space="0" w:color="auto"/>
            <w:right w:val="none" w:sz="0" w:space="0" w:color="auto"/>
          </w:divBdr>
        </w:div>
        <w:div w:id="605191573">
          <w:marLeft w:val="0"/>
          <w:marRight w:val="0"/>
          <w:marTop w:val="0"/>
          <w:marBottom w:val="0"/>
          <w:divBdr>
            <w:top w:val="none" w:sz="0" w:space="0" w:color="auto"/>
            <w:left w:val="none" w:sz="0" w:space="0" w:color="auto"/>
            <w:bottom w:val="none" w:sz="0" w:space="0" w:color="auto"/>
            <w:right w:val="none" w:sz="0" w:space="0" w:color="auto"/>
          </w:divBdr>
        </w:div>
        <w:div w:id="1501310517">
          <w:marLeft w:val="0"/>
          <w:marRight w:val="0"/>
          <w:marTop w:val="0"/>
          <w:marBottom w:val="0"/>
          <w:divBdr>
            <w:top w:val="none" w:sz="0" w:space="0" w:color="auto"/>
            <w:left w:val="none" w:sz="0" w:space="0" w:color="auto"/>
            <w:bottom w:val="none" w:sz="0" w:space="0" w:color="auto"/>
            <w:right w:val="none" w:sz="0" w:space="0" w:color="auto"/>
          </w:divBdr>
        </w:div>
        <w:div w:id="1051808637">
          <w:marLeft w:val="0"/>
          <w:marRight w:val="0"/>
          <w:marTop w:val="0"/>
          <w:marBottom w:val="0"/>
          <w:divBdr>
            <w:top w:val="none" w:sz="0" w:space="0" w:color="auto"/>
            <w:left w:val="none" w:sz="0" w:space="0" w:color="auto"/>
            <w:bottom w:val="none" w:sz="0" w:space="0" w:color="auto"/>
            <w:right w:val="none" w:sz="0" w:space="0" w:color="auto"/>
          </w:divBdr>
        </w:div>
        <w:div w:id="309939360">
          <w:marLeft w:val="0"/>
          <w:marRight w:val="0"/>
          <w:marTop w:val="0"/>
          <w:marBottom w:val="0"/>
          <w:divBdr>
            <w:top w:val="none" w:sz="0" w:space="0" w:color="auto"/>
            <w:left w:val="none" w:sz="0" w:space="0" w:color="auto"/>
            <w:bottom w:val="none" w:sz="0" w:space="0" w:color="auto"/>
            <w:right w:val="none" w:sz="0" w:space="0" w:color="auto"/>
          </w:divBdr>
        </w:div>
        <w:div w:id="1054280128">
          <w:marLeft w:val="0"/>
          <w:marRight w:val="0"/>
          <w:marTop w:val="0"/>
          <w:marBottom w:val="0"/>
          <w:divBdr>
            <w:top w:val="none" w:sz="0" w:space="0" w:color="auto"/>
            <w:left w:val="none" w:sz="0" w:space="0" w:color="auto"/>
            <w:bottom w:val="none" w:sz="0" w:space="0" w:color="auto"/>
            <w:right w:val="none" w:sz="0" w:space="0" w:color="auto"/>
          </w:divBdr>
        </w:div>
        <w:div w:id="486168055">
          <w:marLeft w:val="0"/>
          <w:marRight w:val="0"/>
          <w:marTop w:val="0"/>
          <w:marBottom w:val="0"/>
          <w:divBdr>
            <w:top w:val="none" w:sz="0" w:space="0" w:color="auto"/>
            <w:left w:val="none" w:sz="0" w:space="0" w:color="auto"/>
            <w:bottom w:val="none" w:sz="0" w:space="0" w:color="auto"/>
            <w:right w:val="none" w:sz="0" w:space="0" w:color="auto"/>
          </w:divBdr>
        </w:div>
        <w:div w:id="110436787">
          <w:marLeft w:val="0"/>
          <w:marRight w:val="0"/>
          <w:marTop w:val="0"/>
          <w:marBottom w:val="0"/>
          <w:divBdr>
            <w:top w:val="none" w:sz="0" w:space="0" w:color="auto"/>
            <w:left w:val="none" w:sz="0" w:space="0" w:color="auto"/>
            <w:bottom w:val="none" w:sz="0" w:space="0" w:color="auto"/>
            <w:right w:val="none" w:sz="0" w:space="0" w:color="auto"/>
          </w:divBdr>
        </w:div>
        <w:div w:id="1684896694">
          <w:marLeft w:val="0"/>
          <w:marRight w:val="0"/>
          <w:marTop w:val="0"/>
          <w:marBottom w:val="0"/>
          <w:divBdr>
            <w:top w:val="none" w:sz="0" w:space="0" w:color="auto"/>
            <w:left w:val="none" w:sz="0" w:space="0" w:color="auto"/>
            <w:bottom w:val="none" w:sz="0" w:space="0" w:color="auto"/>
            <w:right w:val="none" w:sz="0" w:space="0" w:color="auto"/>
          </w:divBdr>
        </w:div>
        <w:div w:id="677006249">
          <w:marLeft w:val="0"/>
          <w:marRight w:val="0"/>
          <w:marTop w:val="0"/>
          <w:marBottom w:val="0"/>
          <w:divBdr>
            <w:top w:val="none" w:sz="0" w:space="0" w:color="auto"/>
            <w:left w:val="none" w:sz="0" w:space="0" w:color="auto"/>
            <w:bottom w:val="none" w:sz="0" w:space="0" w:color="auto"/>
            <w:right w:val="none" w:sz="0" w:space="0" w:color="auto"/>
          </w:divBdr>
        </w:div>
        <w:div w:id="682055509">
          <w:marLeft w:val="0"/>
          <w:marRight w:val="0"/>
          <w:marTop w:val="0"/>
          <w:marBottom w:val="0"/>
          <w:divBdr>
            <w:top w:val="none" w:sz="0" w:space="0" w:color="auto"/>
            <w:left w:val="none" w:sz="0" w:space="0" w:color="auto"/>
            <w:bottom w:val="none" w:sz="0" w:space="0" w:color="auto"/>
            <w:right w:val="none" w:sz="0" w:space="0" w:color="auto"/>
          </w:divBdr>
        </w:div>
        <w:div w:id="1916544811">
          <w:marLeft w:val="0"/>
          <w:marRight w:val="0"/>
          <w:marTop w:val="0"/>
          <w:marBottom w:val="0"/>
          <w:divBdr>
            <w:top w:val="none" w:sz="0" w:space="0" w:color="auto"/>
            <w:left w:val="none" w:sz="0" w:space="0" w:color="auto"/>
            <w:bottom w:val="none" w:sz="0" w:space="0" w:color="auto"/>
            <w:right w:val="none" w:sz="0" w:space="0" w:color="auto"/>
          </w:divBdr>
        </w:div>
        <w:div w:id="664356873">
          <w:marLeft w:val="0"/>
          <w:marRight w:val="0"/>
          <w:marTop w:val="0"/>
          <w:marBottom w:val="0"/>
          <w:divBdr>
            <w:top w:val="none" w:sz="0" w:space="0" w:color="auto"/>
            <w:left w:val="none" w:sz="0" w:space="0" w:color="auto"/>
            <w:bottom w:val="none" w:sz="0" w:space="0" w:color="auto"/>
            <w:right w:val="none" w:sz="0" w:space="0" w:color="auto"/>
          </w:divBdr>
        </w:div>
        <w:div w:id="581723368">
          <w:marLeft w:val="0"/>
          <w:marRight w:val="0"/>
          <w:marTop w:val="0"/>
          <w:marBottom w:val="0"/>
          <w:divBdr>
            <w:top w:val="none" w:sz="0" w:space="0" w:color="auto"/>
            <w:left w:val="none" w:sz="0" w:space="0" w:color="auto"/>
            <w:bottom w:val="none" w:sz="0" w:space="0" w:color="auto"/>
            <w:right w:val="none" w:sz="0" w:space="0" w:color="auto"/>
          </w:divBdr>
        </w:div>
        <w:div w:id="882521618">
          <w:marLeft w:val="0"/>
          <w:marRight w:val="0"/>
          <w:marTop w:val="0"/>
          <w:marBottom w:val="0"/>
          <w:divBdr>
            <w:top w:val="none" w:sz="0" w:space="0" w:color="auto"/>
            <w:left w:val="none" w:sz="0" w:space="0" w:color="auto"/>
            <w:bottom w:val="none" w:sz="0" w:space="0" w:color="auto"/>
            <w:right w:val="none" w:sz="0" w:space="0" w:color="auto"/>
          </w:divBdr>
        </w:div>
        <w:div w:id="1538883490">
          <w:marLeft w:val="0"/>
          <w:marRight w:val="0"/>
          <w:marTop w:val="0"/>
          <w:marBottom w:val="0"/>
          <w:divBdr>
            <w:top w:val="none" w:sz="0" w:space="0" w:color="auto"/>
            <w:left w:val="none" w:sz="0" w:space="0" w:color="auto"/>
            <w:bottom w:val="none" w:sz="0" w:space="0" w:color="auto"/>
            <w:right w:val="none" w:sz="0" w:space="0" w:color="auto"/>
          </w:divBdr>
        </w:div>
        <w:div w:id="454953441">
          <w:marLeft w:val="0"/>
          <w:marRight w:val="0"/>
          <w:marTop w:val="0"/>
          <w:marBottom w:val="0"/>
          <w:divBdr>
            <w:top w:val="none" w:sz="0" w:space="0" w:color="auto"/>
            <w:left w:val="none" w:sz="0" w:space="0" w:color="auto"/>
            <w:bottom w:val="none" w:sz="0" w:space="0" w:color="auto"/>
            <w:right w:val="none" w:sz="0" w:space="0" w:color="auto"/>
          </w:divBdr>
        </w:div>
        <w:div w:id="10642034">
          <w:marLeft w:val="0"/>
          <w:marRight w:val="0"/>
          <w:marTop w:val="0"/>
          <w:marBottom w:val="0"/>
          <w:divBdr>
            <w:top w:val="none" w:sz="0" w:space="0" w:color="auto"/>
            <w:left w:val="none" w:sz="0" w:space="0" w:color="auto"/>
            <w:bottom w:val="none" w:sz="0" w:space="0" w:color="auto"/>
            <w:right w:val="none" w:sz="0" w:space="0" w:color="auto"/>
          </w:divBdr>
        </w:div>
        <w:div w:id="1515459320">
          <w:marLeft w:val="0"/>
          <w:marRight w:val="0"/>
          <w:marTop w:val="0"/>
          <w:marBottom w:val="0"/>
          <w:divBdr>
            <w:top w:val="none" w:sz="0" w:space="0" w:color="auto"/>
            <w:left w:val="none" w:sz="0" w:space="0" w:color="auto"/>
            <w:bottom w:val="none" w:sz="0" w:space="0" w:color="auto"/>
            <w:right w:val="none" w:sz="0" w:space="0" w:color="auto"/>
          </w:divBdr>
        </w:div>
        <w:div w:id="1413356453">
          <w:marLeft w:val="0"/>
          <w:marRight w:val="0"/>
          <w:marTop w:val="0"/>
          <w:marBottom w:val="0"/>
          <w:divBdr>
            <w:top w:val="none" w:sz="0" w:space="0" w:color="auto"/>
            <w:left w:val="none" w:sz="0" w:space="0" w:color="auto"/>
            <w:bottom w:val="none" w:sz="0" w:space="0" w:color="auto"/>
            <w:right w:val="none" w:sz="0" w:space="0" w:color="auto"/>
          </w:divBdr>
        </w:div>
        <w:div w:id="562833311">
          <w:marLeft w:val="0"/>
          <w:marRight w:val="0"/>
          <w:marTop w:val="0"/>
          <w:marBottom w:val="0"/>
          <w:divBdr>
            <w:top w:val="none" w:sz="0" w:space="0" w:color="auto"/>
            <w:left w:val="none" w:sz="0" w:space="0" w:color="auto"/>
            <w:bottom w:val="none" w:sz="0" w:space="0" w:color="auto"/>
            <w:right w:val="none" w:sz="0" w:space="0" w:color="auto"/>
          </w:divBdr>
        </w:div>
        <w:div w:id="371348718">
          <w:marLeft w:val="0"/>
          <w:marRight w:val="0"/>
          <w:marTop w:val="0"/>
          <w:marBottom w:val="0"/>
          <w:divBdr>
            <w:top w:val="none" w:sz="0" w:space="0" w:color="auto"/>
            <w:left w:val="none" w:sz="0" w:space="0" w:color="auto"/>
            <w:bottom w:val="none" w:sz="0" w:space="0" w:color="auto"/>
            <w:right w:val="none" w:sz="0" w:space="0" w:color="auto"/>
          </w:divBdr>
        </w:div>
        <w:div w:id="1492019289">
          <w:marLeft w:val="0"/>
          <w:marRight w:val="0"/>
          <w:marTop w:val="0"/>
          <w:marBottom w:val="0"/>
          <w:divBdr>
            <w:top w:val="none" w:sz="0" w:space="0" w:color="auto"/>
            <w:left w:val="none" w:sz="0" w:space="0" w:color="auto"/>
            <w:bottom w:val="none" w:sz="0" w:space="0" w:color="auto"/>
            <w:right w:val="none" w:sz="0" w:space="0" w:color="auto"/>
          </w:divBdr>
        </w:div>
        <w:div w:id="1240754527">
          <w:marLeft w:val="0"/>
          <w:marRight w:val="0"/>
          <w:marTop w:val="0"/>
          <w:marBottom w:val="0"/>
          <w:divBdr>
            <w:top w:val="none" w:sz="0" w:space="0" w:color="auto"/>
            <w:left w:val="none" w:sz="0" w:space="0" w:color="auto"/>
            <w:bottom w:val="none" w:sz="0" w:space="0" w:color="auto"/>
            <w:right w:val="none" w:sz="0" w:space="0" w:color="auto"/>
          </w:divBdr>
        </w:div>
        <w:div w:id="193733419">
          <w:marLeft w:val="0"/>
          <w:marRight w:val="0"/>
          <w:marTop w:val="0"/>
          <w:marBottom w:val="0"/>
          <w:divBdr>
            <w:top w:val="none" w:sz="0" w:space="0" w:color="auto"/>
            <w:left w:val="none" w:sz="0" w:space="0" w:color="auto"/>
            <w:bottom w:val="none" w:sz="0" w:space="0" w:color="auto"/>
            <w:right w:val="none" w:sz="0" w:space="0" w:color="auto"/>
          </w:divBdr>
        </w:div>
        <w:div w:id="1008757269">
          <w:marLeft w:val="0"/>
          <w:marRight w:val="0"/>
          <w:marTop w:val="0"/>
          <w:marBottom w:val="0"/>
          <w:divBdr>
            <w:top w:val="none" w:sz="0" w:space="0" w:color="auto"/>
            <w:left w:val="none" w:sz="0" w:space="0" w:color="auto"/>
            <w:bottom w:val="none" w:sz="0" w:space="0" w:color="auto"/>
            <w:right w:val="none" w:sz="0" w:space="0" w:color="auto"/>
          </w:divBdr>
        </w:div>
        <w:div w:id="1275090374">
          <w:marLeft w:val="0"/>
          <w:marRight w:val="0"/>
          <w:marTop w:val="0"/>
          <w:marBottom w:val="0"/>
          <w:divBdr>
            <w:top w:val="none" w:sz="0" w:space="0" w:color="auto"/>
            <w:left w:val="none" w:sz="0" w:space="0" w:color="auto"/>
            <w:bottom w:val="none" w:sz="0" w:space="0" w:color="auto"/>
            <w:right w:val="none" w:sz="0" w:space="0" w:color="auto"/>
          </w:divBdr>
        </w:div>
        <w:div w:id="835344224">
          <w:marLeft w:val="0"/>
          <w:marRight w:val="0"/>
          <w:marTop w:val="0"/>
          <w:marBottom w:val="0"/>
          <w:divBdr>
            <w:top w:val="none" w:sz="0" w:space="0" w:color="auto"/>
            <w:left w:val="none" w:sz="0" w:space="0" w:color="auto"/>
            <w:bottom w:val="none" w:sz="0" w:space="0" w:color="auto"/>
            <w:right w:val="none" w:sz="0" w:space="0" w:color="auto"/>
          </w:divBdr>
        </w:div>
        <w:div w:id="258371641">
          <w:marLeft w:val="0"/>
          <w:marRight w:val="0"/>
          <w:marTop w:val="0"/>
          <w:marBottom w:val="0"/>
          <w:divBdr>
            <w:top w:val="none" w:sz="0" w:space="0" w:color="auto"/>
            <w:left w:val="none" w:sz="0" w:space="0" w:color="auto"/>
            <w:bottom w:val="none" w:sz="0" w:space="0" w:color="auto"/>
            <w:right w:val="none" w:sz="0" w:space="0" w:color="auto"/>
          </w:divBdr>
        </w:div>
        <w:div w:id="1397164613">
          <w:marLeft w:val="0"/>
          <w:marRight w:val="0"/>
          <w:marTop w:val="0"/>
          <w:marBottom w:val="0"/>
          <w:divBdr>
            <w:top w:val="none" w:sz="0" w:space="0" w:color="auto"/>
            <w:left w:val="none" w:sz="0" w:space="0" w:color="auto"/>
            <w:bottom w:val="none" w:sz="0" w:space="0" w:color="auto"/>
            <w:right w:val="none" w:sz="0" w:space="0" w:color="auto"/>
          </w:divBdr>
        </w:div>
        <w:div w:id="3751126">
          <w:marLeft w:val="0"/>
          <w:marRight w:val="0"/>
          <w:marTop w:val="0"/>
          <w:marBottom w:val="0"/>
          <w:divBdr>
            <w:top w:val="none" w:sz="0" w:space="0" w:color="auto"/>
            <w:left w:val="none" w:sz="0" w:space="0" w:color="auto"/>
            <w:bottom w:val="none" w:sz="0" w:space="0" w:color="auto"/>
            <w:right w:val="none" w:sz="0" w:space="0" w:color="auto"/>
          </w:divBdr>
        </w:div>
        <w:div w:id="1829401939">
          <w:marLeft w:val="0"/>
          <w:marRight w:val="0"/>
          <w:marTop w:val="0"/>
          <w:marBottom w:val="0"/>
          <w:divBdr>
            <w:top w:val="none" w:sz="0" w:space="0" w:color="auto"/>
            <w:left w:val="none" w:sz="0" w:space="0" w:color="auto"/>
            <w:bottom w:val="none" w:sz="0" w:space="0" w:color="auto"/>
            <w:right w:val="none" w:sz="0" w:space="0" w:color="auto"/>
          </w:divBdr>
        </w:div>
        <w:div w:id="597754672">
          <w:marLeft w:val="0"/>
          <w:marRight w:val="0"/>
          <w:marTop w:val="0"/>
          <w:marBottom w:val="0"/>
          <w:divBdr>
            <w:top w:val="none" w:sz="0" w:space="0" w:color="auto"/>
            <w:left w:val="none" w:sz="0" w:space="0" w:color="auto"/>
            <w:bottom w:val="none" w:sz="0" w:space="0" w:color="auto"/>
            <w:right w:val="none" w:sz="0" w:space="0" w:color="auto"/>
          </w:divBdr>
        </w:div>
        <w:div w:id="1070805211">
          <w:marLeft w:val="0"/>
          <w:marRight w:val="0"/>
          <w:marTop w:val="0"/>
          <w:marBottom w:val="0"/>
          <w:divBdr>
            <w:top w:val="none" w:sz="0" w:space="0" w:color="auto"/>
            <w:left w:val="none" w:sz="0" w:space="0" w:color="auto"/>
            <w:bottom w:val="none" w:sz="0" w:space="0" w:color="auto"/>
            <w:right w:val="none" w:sz="0" w:space="0" w:color="auto"/>
          </w:divBdr>
        </w:div>
        <w:div w:id="1662078532">
          <w:marLeft w:val="0"/>
          <w:marRight w:val="0"/>
          <w:marTop w:val="0"/>
          <w:marBottom w:val="0"/>
          <w:divBdr>
            <w:top w:val="none" w:sz="0" w:space="0" w:color="auto"/>
            <w:left w:val="none" w:sz="0" w:space="0" w:color="auto"/>
            <w:bottom w:val="none" w:sz="0" w:space="0" w:color="auto"/>
            <w:right w:val="none" w:sz="0" w:space="0" w:color="auto"/>
          </w:divBdr>
        </w:div>
        <w:div w:id="489906586">
          <w:marLeft w:val="0"/>
          <w:marRight w:val="0"/>
          <w:marTop w:val="0"/>
          <w:marBottom w:val="0"/>
          <w:divBdr>
            <w:top w:val="none" w:sz="0" w:space="0" w:color="auto"/>
            <w:left w:val="none" w:sz="0" w:space="0" w:color="auto"/>
            <w:bottom w:val="none" w:sz="0" w:space="0" w:color="auto"/>
            <w:right w:val="none" w:sz="0" w:space="0" w:color="auto"/>
          </w:divBdr>
        </w:div>
        <w:div w:id="1971129002">
          <w:marLeft w:val="0"/>
          <w:marRight w:val="0"/>
          <w:marTop w:val="0"/>
          <w:marBottom w:val="0"/>
          <w:divBdr>
            <w:top w:val="none" w:sz="0" w:space="0" w:color="auto"/>
            <w:left w:val="none" w:sz="0" w:space="0" w:color="auto"/>
            <w:bottom w:val="none" w:sz="0" w:space="0" w:color="auto"/>
            <w:right w:val="none" w:sz="0" w:space="0" w:color="auto"/>
          </w:divBdr>
        </w:div>
        <w:div w:id="366487778">
          <w:marLeft w:val="0"/>
          <w:marRight w:val="0"/>
          <w:marTop w:val="0"/>
          <w:marBottom w:val="0"/>
          <w:divBdr>
            <w:top w:val="none" w:sz="0" w:space="0" w:color="auto"/>
            <w:left w:val="none" w:sz="0" w:space="0" w:color="auto"/>
            <w:bottom w:val="none" w:sz="0" w:space="0" w:color="auto"/>
            <w:right w:val="none" w:sz="0" w:space="0" w:color="auto"/>
          </w:divBdr>
        </w:div>
        <w:div w:id="1774937960">
          <w:marLeft w:val="0"/>
          <w:marRight w:val="0"/>
          <w:marTop w:val="0"/>
          <w:marBottom w:val="0"/>
          <w:divBdr>
            <w:top w:val="none" w:sz="0" w:space="0" w:color="auto"/>
            <w:left w:val="none" w:sz="0" w:space="0" w:color="auto"/>
            <w:bottom w:val="none" w:sz="0" w:space="0" w:color="auto"/>
            <w:right w:val="none" w:sz="0" w:space="0" w:color="auto"/>
          </w:divBdr>
        </w:div>
        <w:div w:id="391655337">
          <w:marLeft w:val="0"/>
          <w:marRight w:val="0"/>
          <w:marTop w:val="0"/>
          <w:marBottom w:val="0"/>
          <w:divBdr>
            <w:top w:val="none" w:sz="0" w:space="0" w:color="auto"/>
            <w:left w:val="none" w:sz="0" w:space="0" w:color="auto"/>
            <w:bottom w:val="none" w:sz="0" w:space="0" w:color="auto"/>
            <w:right w:val="none" w:sz="0" w:space="0" w:color="auto"/>
          </w:divBdr>
        </w:div>
        <w:div w:id="1912811221">
          <w:marLeft w:val="0"/>
          <w:marRight w:val="0"/>
          <w:marTop w:val="0"/>
          <w:marBottom w:val="0"/>
          <w:divBdr>
            <w:top w:val="none" w:sz="0" w:space="0" w:color="auto"/>
            <w:left w:val="none" w:sz="0" w:space="0" w:color="auto"/>
            <w:bottom w:val="none" w:sz="0" w:space="0" w:color="auto"/>
            <w:right w:val="none" w:sz="0" w:space="0" w:color="auto"/>
          </w:divBdr>
        </w:div>
        <w:div w:id="730471292">
          <w:marLeft w:val="0"/>
          <w:marRight w:val="0"/>
          <w:marTop w:val="0"/>
          <w:marBottom w:val="0"/>
          <w:divBdr>
            <w:top w:val="none" w:sz="0" w:space="0" w:color="auto"/>
            <w:left w:val="none" w:sz="0" w:space="0" w:color="auto"/>
            <w:bottom w:val="none" w:sz="0" w:space="0" w:color="auto"/>
            <w:right w:val="none" w:sz="0" w:space="0" w:color="auto"/>
          </w:divBdr>
        </w:div>
        <w:div w:id="1655209895">
          <w:marLeft w:val="0"/>
          <w:marRight w:val="0"/>
          <w:marTop w:val="0"/>
          <w:marBottom w:val="0"/>
          <w:divBdr>
            <w:top w:val="none" w:sz="0" w:space="0" w:color="auto"/>
            <w:left w:val="none" w:sz="0" w:space="0" w:color="auto"/>
            <w:bottom w:val="none" w:sz="0" w:space="0" w:color="auto"/>
            <w:right w:val="none" w:sz="0" w:space="0" w:color="auto"/>
          </w:divBdr>
        </w:div>
        <w:div w:id="1638299574">
          <w:marLeft w:val="0"/>
          <w:marRight w:val="0"/>
          <w:marTop w:val="0"/>
          <w:marBottom w:val="0"/>
          <w:divBdr>
            <w:top w:val="none" w:sz="0" w:space="0" w:color="auto"/>
            <w:left w:val="none" w:sz="0" w:space="0" w:color="auto"/>
            <w:bottom w:val="none" w:sz="0" w:space="0" w:color="auto"/>
            <w:right w:val="none" w:sz="0" w:space="0" w:color="auto"/>
          </w:divBdr>
        </w:div>
        <w:div w:id="660085288">
          <w:marLeft w:val="0"/>
          <w:marRight w:val="0"/>
          <w:marTop w:val="0"/>
          <w:marBottom w:val="0"/>
          <w:divBdr>
            <w:top w:val="none" w:sz="0" w:space="0" w:color="auto"/>
            <w:left w:val="none" w:sz="0" w:space="0" w:color="auto"/>
            <w:bottom w:val="none" w:sz="0" w:space="0" w:color="auto"/>
            <w:right w:val="none" w:sz="0" w:space="0" w:color="auto"/>
          </w:divBdr>
        </w:div>
        <w:div w:id="1884514192">
          <w:marLeft w:val="0"/>
          <w:marRight w:val="0"/>
          <w:marTop w:val="0"/>
          <w:marBottom w:val="0"/>
          <w:divBdr>
            <w:top w:val="none" w:sz="0" w:space="0" w:color="auto"/>
            <w:left w:val="none" w:sz="0" w:space="0" w:color="auto"/>
            <w:bottom w:val="none" w:sz="0" w:space="0" w:color="auto"/>
            <w:right w:val="none" w:sz="0" w:space="0" w:color="auto"/>
          </w:divBdr>
        </w:div>
        <w:div w:id="916791439">
          <w:marLeft w:val="0"/>
          <w:marRight w:val="0"/>
          <w:marTop w:val="0"/>
          <w:marBottom w:val="0"/>
          <w:divBdr>
            <w:top w:val="none" w:sz="0" w:space="0" w:color="auto"/>
            <w:left w:val="none" w:sz="0" w:space="0" w:color="auto"/>
            <w:bottom w:val="none" w:sz="0" w:space="0" w:color="auto"/>
            <w:right w:val="none" w:sz="0" w:space="0" w:color="auto"/>
          </w:divBdr>
        </w:div>
        <w:div w:id="756485989">
          <w:marLeft w:val="0"/>
          <w:marRight w:val="0"/>
          <w:marTop w:val="0"/>
          <w:marBottom w:val="0"/>
          <w:divBdr>
            <w:top w:val="none" w:sz="0" w:space="0" w:color="auto"/>
            <w:left w:val="none" w:sz="0" w:space="0" w:color="auto"/>
            <w:bottom w:val="none" w:sz="0" w:space="0" w:color="auto"/>
            <w:right w:val="none" w:sz="0" w:space="0" w:color="auto"/>
          </w:divBdr>
        </w:div>
        <w:div w:id="271860407">
          <w:marLeft w:val="0"/>
          <w:marRight w:val="0"/>
          <w:marTop w:val="0"/>
          <w:marBottom w:val="0"/>
          <w:divBdr>
            <w:top w:val="none" w:sz="0" w:space="0" w:color="auto"/>
            <w:left w:val="none" w:sz="0" w:space="0" w:color="auto"/>
            <w:bottom w:val="none" w:sz="0" w:space="0" w:color="auto"/>
            <w:right w:val="none" w:sz="0" w:space="0" w:color="auto"/>
          </w:divBdr>
        </w:div>
        <w:div w:id="2063139256">
          <w:marLeft w:val="0"/>
          <w:marRight w:val="0"/>
          <w:marTop w:val="0"/>
          <w:marBottom w:val="0"/>
          <w:divBdr>
            <w:top w:val="none" w:sz="0" w:space="0" w:color="auto"/>
            <w:left w:val="none" w:sz="0" w:space="0" w:color="auto"/>
            <w:bottom w:val="none" w:sz="0" w:space="0" w:color="auto"/>
            <w:right w:val="none" w:sz="0" w:space="0" w:color="auto"/>
          </w:divBdr>
        </w:div>
        <w:div w:id="2002081665">
          <w:marLeft w:val="0"/>
          <w:marRight w:val="0"/>
          <w:marTop w:val="0"/>
          <w:marBottom w:val="0"/>
          <w:divBdr>
            <w:top w:val="none" w:sz="0" w:space="0" w:color="auto"/>
            <w:left w:val="none" w:sz="0" w:space="0" w:color="auto"/>
            <w:bottom w:val="none" w:sz="0" w:space="0" w:color="auto"/>
            <w:right w:val="none" w:sz="0" w:space="0" w:color="auto"/>
          </w:divBdr>
        </w:div>
        <w:div w:id="223175351">
          <w:marLeft w:val="0"/>
          <w:marRight w:val="0"/>
          <w:marTop w:val="0"/>
          <w:marBottom w:val="0"/>
          <w:divBdr>
            <w:top w:val="none" w:sz="0" w:space="0" w:color="auto"/>
            <w:left w:val="none" w:sz="0" w:space="0" w:color="auto"/>
            <w:bottom w:val="none" w:sz="0" w:space="0" w:color="auto"/>
            <w:right w:val="none" w:sz="0" w:space="0" w:color="auto"/>
          </w:divBdr>
        </w:div>
        <w:div w:id="606735241">
          <w:marLeft w:val="0"/>
          <w:marRight w:val="0"/>
          <w:marTop w:val="0"/>
          <w:marBottom w:val="0"/>
          <w:divBdr>
            <w:top w:val="none" w:sz="0" w:space="0" w:color="auto"/>
            <w:left w:val="none" w:sz="0" w:space="0" w:color="auto"/>
            <w:bottom w:val="none" w:sz="0" w:space="0" w:color="auto"/>
            <w:right w:val="none" w:sz="0" w:space="0" w:color="auto"/>
          </w:divBdr>
        </w:div>
        <w:div w:id="256596959">
          <w:marLeft w:val="0"/>
          <w:marRight w:val="0"/>
          <w:marTop w:val="0"/>
          <w:marBottom w:val="0"/>
          <w:divBdr>
            <w:top w:val="none" w:sz="0" w:space="0" w:color="auto"/>
            <w:left w:val="none" w:sz="0" w:space="0" w:color="auto"/>
            <w:bottom w:val="none" w:sz="0" w:space="0" w:color="auto"/>
            <w:right w:val="none" w:sz="0" w:space="0" w:color="auto"/>
          </w:divBdr>
        </w:div>
        <w:div w:id="361709508">
          <w:marLeft w:val="0"/>
          <w:marRight w:val="0"/>
          <w:marTop w:val="0"/>
          <w:marBottom w:val="0"/>
          <w:divBdr>
            <w:top w:val="none" w:sz="0" w:space="0" w:color="auto"/>
            <w:left w:val="none" w:sz="0" w:space="0" w:color="auto"/>
            <w:bottom w:val="none" w:sz="0" w:space="0" w:color="auto"/>
            <w:right w:val="none" w:sz="0" w:space="0" w:color="auto"/>
          </w:divBdr>
        </w:div>
        <w:div w:id="1520855828">
          <w:marLeft w:val="0"/>
          <w:marRight w:val="0"/>
          <w:marTop w:val="0"/>
          <w:marBottom w:val="0"/>
          <w:divBdr>
            <w:top w:val="none" w:sz="0" w:space="0" w:color="auto"/>
            <w:left w:val="none" w:sz="0" w:space="0" w:color="auto"/>
            <w:bottom w:val="none" w:sz="0" w:space="0" w:color="auto"/>
            <w:right w:val="none" w:sz="0" w:space="0" w:color="auto"/>
          </w:divBdr>
        </w:div>
        <w:div w:id="96873016">
          <w:marLeft w:val="0"/>
          <w:marRight w:val="0"/>
          <w:marTop w:val="0"/>
          <w:marBottom w:val="0"/>
          <w:divBdr>
            <w:top w:val="none" w:sz="0" w:space="0" w:color="auto"/>
            <w:left w:val="none" w:sz="0" w:space="0" w:color="auto"/>
            <w:bottom w:val="none" w:sz="0" w:space="0" w:color="auto"/>
            <w:right w:val="none" w:sz="0" w:space="0" w:color="auto"/>
          </w:divBdr>
        </w:div>
        <w:div w:id="835538007">
          <w:marLeft w:val="0"/>
          <w:marRight w:val="0"/>
          <w:marTop w:val="0"/>
          <w:marBottom w:val="0"/>
          <w:divBdr>
            <w:top w:val="none" w:sz="0" w:space="0" w:color="auto"/>
            <w:left w:val="none" w:sz="0" w:space="0" w:color="auto"/>
            <w:bottom w:val="none" w:sz="0" w:space="0" w:color="auto"/>
            <w:right w:val="none" w:sz="0" w:space="0" w:color="auto"/>
          </w:divBdr>
        </w:div>
        <w:div w:id="1045957041">
          <w:marLeft w:val="0"/>
          <w:marRight w:val="0"/>
          <w:marTop w:val="0"/>
          <w:marBottom w:val="0"/>
          <w:divBdr>
            <w:top w:val="none" w:sz="0" w:space="0" w:color="auto"/>
            <w:left w:val="none" w:sz="0" w:space="0" w:color="auto"/>
            <w:bottom w:val="none" w:sz="0" w:space="0" w:color="auto"/>
            <w:right w:val="none" w:sz="0" w:space="0" w:color="auto"/>
          </w:divBdr>
        </w:div>
        <w:div w:id="1541671018">
          <w:marLeft w:val="0"/>
          <w:marRight w:val="0"/>
          <w:marTop w:val="0"/>
          <w:marBottom w:val="0"/>
          <w:divBdr>
            <w:top w:val="none" w:sz="0" w:space="0" w:color="auto"/>
            <w:left w:val="none" w:sz="0" w:space="0" w:color="auto"/>
            <w:bottom w:val="none" w:sz="0" w:space="0" w:color="auto"/>
            <w:right w:val="none" w:sz="0" w:space="0" w:color="auto"/>
          </w:divBdr>
        </w:div>
        <w:div w:id="1147012067">
          <w:marLeft w:val="0"/>
          <w:marRight w:val="0"/>
          <w:marTop w:val="0"/>
          <w:marBottom w:val="0"/>
          <w:divBdr>
            <w:top w:val="none" w:sz="0" w:space="0" w:color="auto"/>
            <w:left w:val="none" w:sz="0" w:space="0" w:color="auto"/>
            <w:bottom w:val="none" w:sz="0" w:space="0" w:color="auto"/>
            <w:right w:val="none" w:sz="0" w:space="0" w:color="auto"/>
          </w:divBdr>
        </w:div>
        <w:div w:id="521671537">
          <w:marLeft w:val="0"/>
          <w:marRight w:val="0"/>
          <w:marTop w:val="0"/>
          <w:marBottom w:val="0"/>
          <w:divBdr>
            <w:top w:val="none" w:sz="0" w:space="0" w:color="auto"/>
            <w:left w:val="none" w:sz="0" w:space="0" w:color="auto"/>
            <w:bottom w:val="none" w:sz="0" w:space="0" w:color="auto"/>
            <w:right w:val="none" w:sz="0" w:space="0" w:color="auto"/>
          </w:divBdr>
        </w:div>
        <w:div w:id="1585913432">
          <w:marLeft w:val="0"/>
          <w:marRight w:val="0"/>
          <w:marTop w:val="0"/>
          <w:marBottom w:val="0"/>
          <w:divBdr>
            <w:top w:val="none" w:sz="0" w:space="0" w:color="auto"/>
            <w:left w:val="none" w:sz="0" w:space="0" w:color="auto"/>
            <w:bottom w:val="none" w:sz="0" w:space="0" w:color="auto"/>
            <w:right w:val="none" w:sz="0" w:space="0" w:color="auto"/>
          </w:divBdr>
        </w:div>
        <w:div w:id="857546913">
          <w:marLeft w:val="0"/>
          <w:marRight w:val="0"/>
          <w:marTop w:val="0"/>
          <w:marBottom w:val="0"/>
          <w:divBdr>
            <w:top w:val="none" w:sz="0" w:space="0" w:color="auto"/>
            <w:left w:val="none" w:sz="0" w:space="0" w:color="auto"/>
            <w:bottom w:val="none" w:sz="0" w:space="0" w:color="auto"/>
            <w:right w:val="none" w:sz="0" w:space="0" w:color="auto"/>
          </w:divBdr>
        </w:div>
        <w:div w:id="1145005078">
          <w:marLeft w:val="0"/>
          <w:marRight w:val="0"/>
          <w:marTop w:val="0"/>
          <w:marBottom w:val="0"/>
          <w:divBdr>
            <w:top w:val="none" w:sz="0" w:space="0" w:color="auto"/>
            <w:left w:val="none" w:sz="0" w:space="0" w:color="auto"/>
            <w:bottom w:val="none" w:sz="0" w:space="0" w:color="auto"/>
            <w:right w:val="none" w:sz="0" w:space="0" w:color="auto"/>
          </w:divBdr>
        </w:div>
        <w:div w:id="1294019082">
          <w:marLeft w:val="0"/>
          <w:marRight w:val="0"/>
          <w:marTop w:val="0"/>
          <w:marBottom w:val="0"/>
          <w:divBdr>
            <w:top w:val="none" w:sz="0" w:space="0" w:color="auto"/>
            <w:left w:val="none" w:sz="0" w:space="0" w:color="auto"/>
            <w:bottom w:val="none" w:sz="0" w:space="0" w:color="auto"/>
            <w:right w:val="none" w:sz="0" w:space="0" w:color="auto"/>
          </w:divBdr>
        </w:div>
        <w:div w:id="1400403803">
          <w:marLeft w:val="0"/>
          <w:marRight w:val="0"/>
          <w:marTop w:val="0"/>
          <w:marBottom w:val="0"/>
          <w:divBdr>
            <w:top w:val="none" w:sz="0" w:space="0" w:color="auto"/>
            <w:left w:val="none" w:sz="0" w:space="0" w:color="auto"/>
            <w:bottom w:val="none" w:sz="0" w:space="0" w:color="auto"/>
            <w:right w:val="none" w:sz="0" w:space="0" w:color="auto"/>
          </w:divBdr>
        </w:div>
        <w:div w:id="215362096">
          <w:marLeft w:val="0"/>
          <w:marRight w:val="0"/>
          <w:marTop w:val="0"/>
          <w:marBottom w:val="0"/>
          <w:divBdr>
            <w:top w:val="none" w:sz="0" w:space="0" w:color="auto"/>
            <w:left w:val="none" w:sz="0" w:space="0" w:color="auto"/>
            <w:bottom w:val="none" w:sz="0" w:space="0" w:color="auto"/>
            <w:right w:val="none" w:sz="0" w:space="0" w:color="auto"/>
          </w:divBdr>
        </w:div>
        <w:div w:id="2042396661">
          <w:marLeft w:val="0"/>
          <w:marRight w:val="0"/>
          <w:marTop w:val="0"/>
          <w:marBottom w:val="0"/>
          <w:divBdr>
            <w:top w:val="none" w:sz="0" w:space="0" w:color="auto"/>
            <w:left w:val="none" w:sz="0" w:space="0" w:color="auto"/>
            <w:bottom w:val="none" w:sz="0" w:space="0" w:color="auto"/>
            <w:right w:val="none" w:sz="0" w:space="0" w:color="auto"/>
          </w:divBdr>
        </w:div>
        <w:div w:id="2066250469">
          <w:marLeft w:val="0"/>
          <w:marRight w:val="0"/>
          <w:marTop w:val="0"/>
          <w:marBottom w:val="0"/>
          <w:divBdr>
            <w:top w:val="none" w:sz="0" w:space="0" w:color="auto"/>
            <w:left w:val="none" w:sz="0" w:space="0" w:color="auto"/>
            <w:bottom w:val="none" w:sz="0" w:space="0" w:color="auto"/>
            <w:right w:val="none" w:sz="0" w:space="0" w:color="auto"/>
          </w:divBdr>
        </w:div>
        <w:div w:id="1266184303">
          <w:marLeft w:val="0"/>
          <w:marRight w:val="0"/>
          <w:marTop w:val="0"/>
          <w:marBottom w:val="0"/>
          <w:divBdr>
            <w:top w:val="none" w:sz="0" w:space="0" w:color="auto"/>
            <w:left w:val="none" w:sz="0" w:space="0" w:color="auto"/>
            <w:bottom w:val="none" w:sz="0" w:space="0" w:color="auto"/>
            <w:right w:val="none" w:sz="0" w:space="0" w:color="auto"/>
          </w:divBdr>
        </w:div>
        <w:div w:id="1955817850">
          <w:marLeft w:val="0"/>
          <w:marRight w:val="0"/>
          <w:marTop w:val="0"/>
          <w:marBottom w:val="0"/>
          <w:divBdr>
            <w:top w:val="none" w:sz="0" w:space="0" w:color="auto"/>
            <w:left w:val="none" w:sz="0" w:space="0" w:color="auto"/>
            <w:bottom w:val="none" w:sz="0" w:space="0" w:color="auto"/>
            <w:right w:val="none" w:sz="0" w:space="0" w:color="auto"/>
          </w:divBdr>
        </w:div>
        <w:div w:id="238753017">
          <w:marLeft w:val="0"/>
          <w:marRight w:val="0"/>
          <w:marTop w:val="0"/>
          <w:marBottom w:val="0"/>
          <w:divBdr>
            <w:top w:val="none" w:sz="0" w:space="0" w:color="auto"/>
            <w:left w:val="none" w:sz="0" w:space="0" w:color="auto"/>
            <w:bottom w:val="none" w:sz="0" w:space="0" w:color="auto"/>
            <w:right w:val="none" w:sz="0" w:space="0" w:color="auto"/>
          </w:divBdr>
        </w:div>
        <w:div w:id="673462903">
          <w:marLeft w:val="0"/>
          <w:marRight w:val="0"/>
          <w:marTop w:val="0"/>
          <w:marBottom w:val="0"/>
          <w:divBdr>
            <w:top w:val="none" w:sz="0" w:space="0" w:color="auto"/>
            <w:left w:val="none" w:sz="0" w:space="0" w:color="auto"/>
            <w:bottom w:val="none" w:sz="0" w:space="0" w:color="auto"/>
            <w:right w:val="none" w:sz="0" w:space="0" w:color="auto"/>
          </w:divBdr>
        </w:div>
        <w:div w:id="86774941">
          <w:marLeft w:val="0"/>
          <w:marRight w:val="0"/>
          <w:marTop w:val="0"/>
          <w:marBottom w:val="0"/>
          <w:divBdr>
            <w:top w:val="none" w:sz="0" w:space="0" w:color="auto"/>
            <w:left w:val="none" w:sz="0" w:space="0" w:color="auto"/>
            <w:bottom w:val="none" w:sz="0" w:space="0" w:color="auto"/>
            <w:right w:val="none" w:sz="0" w:space="0" w:color="auto"/>
          </w:divBdr>
        </w:div>
        <w:div w:id="1635720299">
          <w:marLeft w:val="0"/>
          <w:marRight w:val="0"/>
          <w:marTop w:val="0"/>
          <w:marBottom w:val="0"/>
          <w:divBdr>
            <w:top w:val="none" w:sz="0" w:space="0" w:color="auto"/>
            <w:left w:val="none" w:sz="0" w:space="0" w:color="auto"/>
            <w:bottom w:val="none" w:sz="0" w:space="0" w:color="auto"/>
            <w:right w:val="none" w:sz="0" w:space="0" w:color="auto"/>
          </w:divBdr>
        </w:div>
        <w:div w:id="1307051679">
          <w:marLeft w:val="0"/>
          <w:marRight w:val="0"/>
          <w:marTop w:val="0"/>
          <w:marBottom w:val="0"/>
          <w:divBdr>
            <w:top w:val="none" w:sz="0" w:space="0" w:color="auto"/>
            <w:left w:val="none" w:sz="0" w:space="0" w:color="auto"/>
            <w:bottom w:val="none" w:sz="0" w:space="0" w:color="auto"/>
            <w:right w:val="none" w:sz="0" w:space="0" w:color="auto"/>
          </w:divBdr>
        </w:div>
        <w:div w:id="415060205">
          <w:marLeft w:val="0"/>
          <w:marRight w:val="0"/>
          <w:marTop w:val="0"/>
          <w:marBottom w:val="0"/>
          <w:divBdr>
            <w:top w:val="none" w:sz="0" w:space="0" w:color="auto"/>
            <w:left w:val="none" w:sz="0" w:space="0" w:color="auto"/>
            <w:bottom w:val="none" w:sz="0" w:space="0" w:color="auto"/>
            <w:right w:val="none" w:sz="0" w:space="0" w:color="auto"/>
          </w:divBdr>
        </w:div>
        <w:div w:id="1036589186">
          <w:marLeft w:val="0"/>
          <w:marRight w:val="0"/>
          <w:marTop w:val="0"/>
          <w:marBottom w:val="0"/>
          <w:divBdr>
            <w:top w:val="none" w:sz="0" w:space="0" w:color="auto"/>
            <w:left w:val="none" w:sz="0" w:space="0" w:color="auto"/>
            <w:bottom w:val="none" w:sz="0" w:space="0" w:color="auto"/>
            <w:right w:val="none" w:sz="0" w:space="0" w:color="auto"/>
          </w:divBdr>
        </w:div>
        <w:div w:id="1412435480">
          <w:marLeft w:val="0"/>
          <w:marRight w:val="0"/>
          <w:marTop w:val="0"/>
          <w:marBottom w:val="0"/>
          <w:divBdr>
            <w:top w:val="none" w:sz="0" w:space="0" w:color="auto"/>
            <w:left w:val="none" w:sz="0" w:space="0" w:color="auto"/>
            <w:bottom w:val="none" w:sz="0" w:space="0" w:color="auto"/>
            <w:right w:val="none" w:sz="0" w:space="0" w:color="auto"/>
          </w:divBdr>
        </w:div>
        <w:div w:id="858155580">
          <w:marLeft w:val="0"/>
          <w:marRight w:val="0"/>
          <w:marTop w:val="0"/>
          <w:marBottom w:val="0"/>
          <w:divBdr>
            <w:top w:val="none" w:sz="0" w:space="0" w:color="auto"/>
            <w:left w:val="none" w:sz="0" w:space="0" w:color="auto"/>
            <w:bottom w:val="none" w:sz="0" w:space="0" w:color="auto"/>
            <w:right w:val="none" w:sz="0" w:space="0" w:color="auto"/>
          </w:divBdr>
        </w:div>
        <w:div w:id="833256952">
          <w:marLeft w:val="0"/>
          <w:marRight w:val="0"/>
          <w:marTop w:val="0"/>
          <w:marBottom w:val="0"/>
          <w:divBdr>
            <w:top w:val="none" w:sz="0" w:space="0" w:color="auto"/>
            <w:left w:val="none" w:sz="0" w:space="0" w:color="auto"/>
            <w:bottom w:val="none" w:sz="0" w:space="0" w:color="auto"/>
            <w:right w:val="none" w:sz="0" w:space="0" w:color="auto"/>
          </w:divBdr>
        </w:div>
        <w:div w:id="971902458">
          <w:marLeft w:val="0"/>
          <w:marRight w:val="0"/>
          <w:marTop w:val="0"/>
          <w:marBottom w:val="0"/>
          <w:divBdr>
            <w:top w:val="none" w:sz="0" w:space="0" w:color="auto"/>
            <w:left w:val="none" w:sz="0" w:space="0" w:color="auto"/>
            <w:bottom w:val="none" w:sz="0" w:space="0" w:color="auto"/>
            <w:right w:val="none" w:sz="0" w:space="0" w:color="auto"/>
          </w:divBdr>
        </w:div>
        <w:div w:id="1037007801">
          <w:marLeft w:val="0"/>
          <w:marRight w:val="0"/>
          <w:marTop w:val="0"/>
          <w:marBottom w:val="0"/>
          <w:divBdr>
            <w:top w:val="none" w:sz="0" w:space="0" w:color="auto"/>
            <w:left w:val="none" w:sz="0" w:space="0" w:color="auto"/>
            <w:bottom w:val="none" w:sz="0" w:space="0" w:color="auto"/>
            <w:right w:val="none" w:sz="0" w:space="0" w:color="auto"/>
          </w:divBdr>
        </w:div>
        <w:div w:id="341247428">
          <w:marLeft w:val="0"/>
          <w:marRight w:val="0"/>
          <w:marTop w:val="0"/>
          <w:marBottom w:val="0"/>
          <w:divBdr>
            <w:top w:val="none" w:sz="0" w:space="0" w:color="auto"/>
            <w:left w:val="none" w:sz="0" w:space="0" w:color="auto"/>
            <w:bottom w:val="none" w:sz="0" w:space="0" w:color="auto"/>
            <w:right w:val="none" w:sz="0" w:space="0" w:color="auto"/>
          </w:divBdr>
        </w:div>
        <w:div w:id="1037705979">
          <w:marLeft w:val="0"/>
          <w:marRight w:val="0"/>
          <w:marTop w:val="0"/>
          <w:marBottom w:val="0"/>
          <w:divBdr>
            <w:top w:val="none" w:sz="0" w:space="0" w:color="auto"/>
            <w:left w:val="none" w:sz="0" w:space="0" w:color="auto"/>
            <w:bottom w:val="none" w:sz="0" w:space="0" w:color="auto"/>
            <w:right w:val="none" w:sz="0" w:space="0" w:color="auto"/>
          </w:divBdr>
        </w:div>
        <w:div w:id="352073705">
          <w:marLeft w:val="0"/>
          <w:marRight w:val="0"/>
          <w:marTop w:val="0"/>
          <w:marBottom w:val="0"/>
          <w:divBdr>
            <w:top w:val="none" w:sz="0" w:space="0" w:color="auto"/>
            <w:left w:val="none" w:sz="0" w:space="0" w:color="auto"/>
            <w:bottom w:val="none" w:sz="0" w:space="0" w:color="auto"/>
            <w:right w:val="none" w:sz="0" w:space="0" w:color="auto"/>
          </w:divBdr>
        </w:div>
        <w:div w:id="1909654808">
          <w:marLeft w:val="0"/>
          <w:marRight w:val="0"/>
          <w:marTop w:val="0"/>
          <w:marBottom w:val="0"/>
          <w:divBdr>
            <w:top w:val="none" w:sz="0" w:space="0" w:color="auto"/>
            <w:left w:val="none" w:sz="0" w:space="0" w:color="auto"/>
            <w:bottom w:val="none" w:sz="0" w:space="0" w:color="auto"/>
            <w:right w:val="none" w:sz="0" w:space="0" w:color="auto"/>
          </w:divBdr>
        </w:div>
        <w:div w:id="1693341147">
          <w:marLeft w:val="0"/>
          <w:marRight w:val="0"/>
          <w:marTop w:val="0"/>
          <w:marBottom w:val="0"/>
          <w:divBdr>
            <w:top w:val="none" w:sz="0" w:space="0" w:color="auto"/>
            <w:left w:val="none" w:sz="0" w:space="0" w:color="auto"/>
            <w:bottom w:val="none" w:sz="0" w:space="0" w:color="auto"/>
            <w:right w:val="none" w:sz="0" w:space="0" w:color="auto"/>
          </w:divBdr>
        </w:div>
        <w:div w:id="1132015994">
          <w:marLeft w:val="0"/>
          <w:marRight w:val="0"/>
          <w:marTop w:val="0"/>
          <w:marBottom w:val="0"/>
          <w:divBdr>
            <w:top w:val="none" w:sz="0" w:space="0" w:color="auto"/>
            <w:left w:val="none" w:sz="0" w:space="0" w:color="auto"/>
            <w:bottom w:val="none" w:sz="0" w:space="0" w:color="auto"/>
            <w:right w:val="none" w:sz="0" w:space="0" w:color="auto"/>
          </w:divBdr>
        </w:div>
        <w:div w:id="969092012">
          <w:marLeft w:val="0"/>
          <w:marRight w:val="0"/>
          <w:marTop w:val="0"/>
          <w:marBottom w:val="0"/>
          <w:divBdr>
            <w:top w:val="none" w:sz="0" w:space="0" w:color="auto"/>
            <w:left w:val="none" w:sz="0" w:space="0" w:color="auto"/>
            <w:bottom w:val="none" w:sz="0" w:space="0" w:color="auto"/>
            <w:right w:val="none" w:sz="0" w:space="0" w:color="auto"/>
          </w:divBdr>
        </w:div>
        <w:div w:id="1838037049">
          <w:marLeft w:val="0"/>
          <w:marRight w:val="0"/>
          <w:marTop w:val="0"/>
          <w:marBottom w:val="0"/>
          <w:divBdr>
            <w:top w:val="none" w:sz="0" w:space="0" w:color="auto"/>
            <w:left w:val="none" w:sz="0" w:space="0" w:color="auto"/>
            <w:bottom w:val="none" w:sz="0" w:space="0" w:color="auto"/>
            <w:right w:val="none" w:sz="0" w:space="0" w:color="auto"/>
          </w:divBdr>
        </w:div>
        <w:div w:id="2108694422">
          <w:marLeft w:val="0"/>
          <w:marRight w:val="0"/>
          <w:marTop w:val="0"/>
          <w:marBottom w:val="0"/>
          <w:divBdr>
            <w:top w:val="none" w:sz="0" w:space="0" w:color="auto"/>
            <w:left w:val="none" w:sz="0" w:space="0" w:color="auto"/>
            <w:bottom w:val="none" w:sz="0" w:space="0" w:color="auto"/>
            <w:right w:val="none" w:sz="0" w:space="0" w:color="auto"/>
          </w:divBdr>
        </w:div>
        <w:div w:id="1002438815">
          <w:marLeft w:val="0"/>
          <w:marRight w:val="0"/>
          <w:marTop w:val="0"/>
          <w:marBottom w:val="0"/>
          <w:divBdr>
            <w:top w:val="none" w:sz="0" w:space="0" w:color="auto"/>
            <w:left w:val="none" w:sz="0" w:space="0" w:color="auto"/>
            <w:bottom w:val="none" w:sz="0" w:space="0" w:color="auto"/>
            <w:right w:val="none" w:sz="0" w:space="0" w:color="auto"/>
          </w:divBdr>
        </w:div>
        <w:div w:id="1683970634">
          <w:marLeft w:val="0"/>
          <w:marRight w:val="0"/>
          <w:marTop w:val="0"/>
          <w:marBottom w:val="0"/>
          <w:divBdr>
            <w:top w:val="none" w:sz="0" w:space="0" w:color="auto"/>
            <w:left w:val="none" w:sz="0" w:space="0" w:color="auto"/>
            <w:bottom w:val="none" w:sz="0" w:space="0" w:color="auto"/>
            <w:right w:val="none" w:sz="0" w:space="0" w:color="auto"/>
          </w:divBdr>
        </w:div>
        <w:div w:id="1577546174">
          <w:marLeft w:val="0"/>
          <w:marRight w:val="0"/>
          <w:marTop w:val="0"/>
          <w:marBottom w:val="0"/>
          <w:divBdr>
            <w:top w:val="none" w:sz="0" w:space="0" w:color="auto"/>
            <w:left w:val="none" w:sz="0" w:space="0" w:color="auto"/>
            <w:bottom w:val="none" w:sz="0" w:space="0" w:color="auto"/>
            <w:right w:val="none" w:sz="0" w:space="0" w:color="auto"/>
          </w:divBdr>
        </w:div>
        <w:div w:id="597638725">
          <w:marLeft w:val="0"/>
          <w:marRight w:val="0"/>
          <w:marTop w:val="0"/>
          <w:marBottom w:val="0"/>
          <w:divBdr>
            <w:top w:val="none" w:sz="0" w:space="0" w:color="auto"/>
            <w:left w:val="none" w:sz="0" w:space="0" w:color="auto"/>
            <w:bottom w:val="none" w:sz="0" w:space="0" w:color="auto"/>
            <w:right w:val="none" w:sz="0" w:space="0" w:color="auto"/>
          </w:divBdr>
        </w:div>
        <w:div w:id="53436407">
          <w:marLeft w:val="0"/>
          <w:marRight w:val="0"/>
          <w:marTop w:val="0"/>
          <w:marBottom w:val="0"/>
          <w:divBdr>
            <w:top w:val="none" w:sz="0" w:space="0" w:color="auto"/>
            <w:left w:val="none" w:sz="0" w:space="0" w:color="auto"/>
            <w:bottom w:val="none" w:sz="0" w:space="0" w:color="auto"/>
            <w:right w:val="none" w:sz="0" w:space="0" w:color="auto"/>
          </w:divBdr>
        </w:div>
        <w:div w:id="679745385">
          <w:marLeft w:val="0"/>
          <w:marRight w:val="0"/>
          <w:marTop w:val="0"/>
          <w:marBottom w:val="0"/>
          <w:divBdr>
            <w:top w:val="none" w:sz="0" w:space="0" w:color="auto"/>
            <w:left w:val="none" w:sz="0" w:space="0" w:color="auto"/>
            <w:bottom w:val="none" w:sz="0" w:space="0" w:color="auto"/>
            <w:right w:val="none" w:sz="0" w:space="0" w:color="auto"/>
          </w:divBdr>
        </w:div>
        <w:div w:id="658071252">
          <w:marLeft w:val="0"/>
          <w:marRight w:val="0"/>
          <w:marTop w:val="0"/>
          <w:marBottom w:val="0"/>
          <w:divBdr>
            <w:top w:val="none" w:sz="0" w:space="0" w:color="auto"/>
            <w:left w:val="none" w:sz="0" w:space="0" w:color="auto"/>
            <w:bottom w:val="none" w:sz="0" w:space="0" w:color="auto"/>
            <w:right w:val="none" w:sz="0" w:space="0" w:color="auto"/>
          </w:divBdr>
        </w:div>
        <w:div w:id="2120946196">
          <w:marLeft w:val="0"/>
          <w:marRight w:val="0"/>
          <w:marTop w:val="0"/>
          <w:marBottom w:val="0"/>
          <w:divBdr>
            <w:top w:val="none" w:sz="0" w:space="0" w:color="auto"/>
            <w:left w:val="none" w:sz="0" w:space="0" w:color="auto"/>
            <w:bottom w:val="none" w:sz="0" w:space="0" w:color="auto"/>
            <w:right w:val="none" w:sz="0" w:space="0" w:color="auto"/>
          </w:divBdr>
        </w:div>
        <w:div w:id="322902584">
          <w:marLeft w:val="0"/>
          <w:marRight w:val="0"/>
          <w:marTop w:val="0"/>
          <w:marBottom w:val="0"/>
          <w:divBdr>
            <w:top w:val="none" w:sz="0" w:space="0" w:color="auto"/>
            <w:left w:val="none" w:sz="0" w:space="0" w:color="auto"/>
            <w:bottom w:val="none" w:sz="0" w:space="0" w:color="auto"/>
            <w:right w:val="none" w:sz="0" w:space="0" w:color="auto"/>
          </w:divBdr>
        </w:div>
        <w:div w:id="1545293753">
          <w:marLeft w:val="0"/>
          <w:marRight w:val="0"/>
          <w:marTop w:val="0"/>
          <w:marBottom w:val="0"/>
          <w:divBdr>
            <w:top w:val="none" w:sz="0" w:space="0" w:color="auto"/>
            <w:left w:val="none" w:sz="0" w:space="0" w:color="auto"/>
            <w:bottom w:val="none" w:sz="0" w:space="0" w:color="auto"/>
            <w:right w:val="none" w:sz="0" w:space="0" w:color="auto"/>
          </w:divBdr>
        </w:div>
        <w:div w:id="314188023">
          <w:marLeft w:val="0"/>
          <w:marRight w:val="0"/>
          <w:marTop w:val="0"/>
          <w:marBottom w:val="0"/>
          <w:divBdr>
            <w:top w:val="none" w:sz="0" w:space="0" w:color="auto"/>
            <w:left w:val="none" w:sz="0" w:space="0" w:color="auto"/>
            <w:bottom w:val="none" w:sz="0" w:space="0" w:color="auto"/>
            <w:right w:val="none" w:sz="0" w:space="0" w:color="auto"/>
          </w:divBdr>
        </w:div>
        <w:div w:id="612714358">
          <w:marLeft w:val="0"/>
          <w:marRight w:val="0"/>
          <w:marTop w:val="0"/>
          <w:marBottom w:val="0"/>
          <w:divBdr>
            <w:top w:val="none" w:sz="0" w:space="0" w:color="auto"/>
            <w:left w:val="none" w:sz="0" w:space="0" w:color="auto"/>
            <w:bottom w:val="none" w:sz="0" w:space="0" w:color="auto"/>
            <w:right w:val="none" w:sz="0" w:space="0" w:color="auto"/>
          </w:divBdr>
        </w:div>
        <w:div w:id="245113559">
          <w:marLeft w:val="0"/>
          <w:marRight w:val="0"/>
          <w:marTop w:val="0"/>
          <w:marBottom w:val="0"/>
          <w:divBdr>
            <w:top w:val="none" w:sz="0" w:space="0" w:color="auto"/>
            <w:left w:val="none" w:sz="0" w:space="0" w:color="auto"/>
            <w:bottom w:val="none" w:sz="0" w:space="0" w:color="auto"/>
            <w:right w:val="none" w:sz="0" w:space="0" w:color="auto"/>
          </w:divBdr>
        </w:div>
        <w:div w:id="323289848">
          <w:marLeft w:val="0"/>
          <w:marRight w:val="0"/>
          <w:marTop w:val="0"/>
          <w:marBottom w:val="0"/>
          <w:divBdr>
            <w:top w:val="none" w:sz="0" w:space="0" w:color="auto"/>
            <w:left w:val="none" w:sz="0" w:space="0" w:color="auto"/>
            <w:bottom w:val="none" w:sz="0" w:space="0" w:color="auto"/>
            <w:right w:val="none" w:sz="0" w:space="0" w:color="auto"/>
          </w:divBdr>
        </w:div>
        <w:div w:id="1908416198">
          <w:marLeft w:val="0"/>
          <w:marRight w:val="0"/>
          <w:marTop w:val="0"/>
          <w:marBottom w:val="0"/>
          <w:divBdr>
            <w:top w:val="none" w:sz="0" w:space="0" w:color="auto"/>
            <w:left w:val="none" w:sz="0" w:space="0" w:color="auto"/>
            <w:bottom w:val="none" w:sz="0" w:space="0" w:color="auto"/>
            <w:right w:val="none" w:sz="0" w:space="0" w:color="auto"/>
          </w:divBdr>
        </w:div>
        <w:div w:id="334698612">
          <w:marLeft w:val="0"/>
          <w:marRight w:val="0"/>
          <w:marTop w:val="0"/>
          <w:marBottom w:val="0"/>
          <w:divBdr>
            <w:top w:val="none" w:sz="0" w:space="0" w:color="auto"/>
            <w:left w:val="none" w:sz="0" w:space="0" w:color="auto"/>
            <w:bottom w:val="none" w:sz="0" w:space="0" w:color="auto"/>
            <w:right w:val="none" w:sz="0" w:space="0" w:color="auto"/>
          </w:divBdr>
        </w:div>
        <w:div w:id="767310940">
          <w:marLeft w:val="0"/>
          <w:marRight w:val="0"/>
          <w:marTop w:val="0"/>
          <w:marBottom w:val="0"/>
          <w:divBdr>
            <w:top w:val="none" w:sz="0" w:space="0" w:color="auto"/>
            <w:left w:val="none" w:sz="0" w:space="0" w:color="auto"/>
            <w:bottom w:val="none" w:sz="0" w:space="0" w:color="auto"/>
            <w:right w:val="none" w:sz="0" w:space="0" w:color="auto"/>
          </w:divBdr>
        </w:div>
        <w:div w:id="831023414">
          <w:marLeft w:val="0"/>
          <w:marRight w:val="0"/>
          <w:marTop w:val="0"/>
          <w:marBottom w:val="0"/>
          <w:divBdr>
            <w:top w:val="none" w:sz="0" w:space="0" w:color="auto"/>
            <w:left w:val="none" w:sz="0" w:space="0" w:color="auto"/>
            <w:bottom w:val="none" w:sz="0" w:space="0" w:color="auto"/>
            <w:right w:val="none" w:sz="0" w:space="0" w:color="auto"/>
          </w:divBdr>
        </w:div>
        <w:div w:id="1431853841">
          <w:marLeft w:val="0"/>
          <w:marRight w:val="0"/>
          <w:marTop w:val="0"/>
          <w:marBottom w:val="0"/>
          <w:divBdr>
            <w:top w:val="none" w:sz="0" w:space="0" w:color="auto"/>
            <w:left w:val="none" w:sz="0" w:space="0" w:color="auto"/>
            <w:bottom w:val="none" w:sz="0" w:space="0" w:color="auto"/>
            <w:right w:val="none" w:sz="0" w:space="0" w:color="auto"/>
          </w:divBdr>
        </w:div>
        <w:div w:id="725302140">
          <w:marLeft w:val="0"/>
          <w:marRight w:val="0"/>
          <w:marTop w:val="0"/>
          <w:marBottom w:val="0"/>
          <w:divBdr>
            <w:top w:val="none" w:sz="0" w:space="0" w:color="auto"/>
            <w:left w:val="none" w:sz="0" w:space="0" w:color="auto"/>
            <w:bottom w:val="none" w:sz="0" w:space="0" w:color="auto"/>
            <w:right w:val="none" w:sz="0" w:space="0" w:color="auto"/>
          </w:divBdr>
        </w:div>
        <w:div w:id="779180256">
          <w:marLeft w:val="0"/>
          <w:marRight w:val="0"/>
          <w:marTop w:val="0"/>
          <w:marBottom w:val="0"/>
          <w:divBdr>
            <w:top w:val="none" w:sz="0" w:space="0" w:color="auto"/>
            <w:left w:val="none" w:sz="0" w:space="0" w:color="auto"/>
            <w:bottom w:val="none" w:sz="0" w:space="0" w:color="auto"/>
            <w:right w:val="none" w:sz="0" w:space="0" w:color="auto"/>
          </w:divBdr>
        </w:div>
        <w:div w:id="957758100">
          <w:marLeft w:val="0"/>
          <w:marRight w:val="0"/>
          <w:marTop w:val="0"/>
          <w:marBottom w:val="0"/>
          <w:divBdr>
            <w:top w:val="none" w:sz="0" w:space="0" w:color="auto"/>
            <w:left w:val="none" w:sz="0" w:space="0" w:color="auto"/>
            <w:bottom w:val="none" w:sz="0" w:space="0" w:color="auto"/>
            <w:right w:val="none" w:sz="0" w:space="0" w:color="auto"/>
          </w:divBdr>
        </w:div>
        <w:div w:id="1491360118">
          <w:marLeft w:val="0"/>
          <w:marRight w:val="0"/>
          <w:marTop w:val="0"/>
          <w:marBottom w:val="0"/>
          <w:divBdr>
            <w:top w:val="none" w:sz="0" w:space="0" w:color="auto"/>
            <w:left w:val="none" w:sz="0" w:space="0" w:color="auto"/>
            <w:bottom w:val="none" w:sz="0" w:space="0" w:color="auto"/>
            <w:right w:val="none" w:sz="0" w:space="0" w:color="auto"/>
          </w:divBdr>
        </w:div>
        <w:div w:id="864639991">
          <w:marLeft w:val="0"/>
          <w:marRight w:val="0"/>
          <w:marTop w:val="0"/>
          <w:marBottom w:val="0"/>
          <w:divBdr>
            <w:top w:val="none" w:sz="0" w:space="0" w:color="auto"/>
            <w:left w:val="none" w:sz="0" w:space="0" w:color="auto"/>
            <w:bottom w:val="none" w:sz="0" w:space="0" w:color="auto"/>
            <w:right w:val="none" w:sz="0" w:space="0" w:color="auto"/>
          </w:divBdr>
        </w:div>
        <w:div w:id="1124302657">
          <w:marLeft w:val="0"/>
          <w:marRight w:val="0"/>
          <w:marTop w:val="0"/>
          <w:marBottom w:val="0"/>
          <w:divBdr>
            <w:top w:val="none" w:sz="0" w:space="0" w:color="auto"/>
            <w:left w:val="none" w:sz="0" w:space="0" w:color="auto"/>
            <w:bottom w:val="none" w:sz="0" w:space="0" w:color="auto"/>
            <w:right w:val="none" w:sz="0" w:space="0" w:color="auto"/>
          </w:divBdr>
        </w:div>
        <w:div w:id="186875807">
          <w:marLeft w:val="0"/>
          <w:marRight w:val="0"/>
          <w:marTop w:val="0"/>
          <w:marBottom w:val="0"/>
          <w:divBdr>
            <w:top w:val="none" w:sz="0" w:space="0" w:color="auto"/>
            <w:left w:val="none" w:sz="0" w:space="0" w:color="auto"/>
            <w:bottom w:val="none" w:sz="0" w:space="0" w:color="auto"/>
            <w:right w:val="none" w:sz="0" w:space="0" w:color="auto"/>
          </w:divBdr>
        </w:div>
        <w:div w:id="747730315">
          <w:marLeft w:val="0"/>
          <w:marRight w:val="0"/>
          <w:marTop w:val="0"/>
          <w:marBottom w:val="0"/>
          <w:divBdr>
            <w:top w:val="none" w:sz="0" w:space="0" w:color="auto"/>
            <w:left w:val="none" w:sz="0" w:space="0" w:color="auto"/>
            <w:bottom w:val="none" w:sz="0" w:space="0" w:color="auto"/>
            <w:right w:val="none" w:sz="0" w:space="0" w:color="auto"/>
          </w:divBdr>
        </w:div>
        <w:div w:id="2071265636">
          <w:marLeft w:val="0"/>
          <w:marRight w:val="0"/>
          <w:marTop w:val="0"/>
          <w:marBottom w:val="0"/>
          <w:divBdr>
            <w:top w:val="none" w:sz="0" w:space="0" w:color="auto"/>
            <w:left w:val="none" w:sz="0" w:space="0" w:color="auto"/>
            <w:bottom w:val="none" w:sz="0" w:space="0" w:color="auto"/>
            <w:right w:val="none" w:sz="0" w:space="0" w:color="auto"/>
          </w:divBdr>
        </w:div>
        <w:div w:id="1422096528">
          <w:marLeft w:val="0"/>
          <w:marRight w:val="0"/>
          <w:marTop w:val="0"/>
          <w:marBottom w:val="0"/>
          <w:divBdr>
            <w:top w:val="none" w:sz="0" w:space="0" w:color="auto"/>
            <w:left w:val="none" w:sz="0" w:space="0" w:color="auto"/>
            <w:bottom w:val="none" w:sz="0" w:space="0" w:color="auto"/>
            <w:right w:val="none" w:sz="0" w:space="0" w:color="auto"/>
          </w:divBdr>
        </w:div>
        <w:div w:id="1421833798">
          <w:marLeft w:val="0"/>
          <w:marRight w:val="0"/>
          <w:marTop w:val="0"/>
          <w:marBottom w:val="0"/>
          <w:divBdr>
            <w:top w:val="none" w:sz="0" w:space="0" w:color="auto"/>
            <w:left w:val="none" w:sz="0" w:space="0" w:color="auto"/>
            <w:bottom w:val="none" w:sz="0" w:space="0" w:color="auto"/>
            <w:right w:val="none" w:sz="0" w:space="0" w:color="auto"/>
          </w:divBdr>
        </w:div>
        <w:div w:id="140075101">
          <w:marLeft w:val="0"/>
          <w:marRight w:val="0"/>
          <w:marTop w:val="0"/>
          <w:marBottom w:val="0"/>
          <w:divBdr>
            <w:top w:val="none" w:sz="0" w:space="0" w:color="auto"/>
            <w:left w:val="none" w:sz="0" w:space="0" w:color="auto"/>
            <w:bottom w:val="none" w:sz="0" w:space="0" w:color="auto"/>
            <w:right w:val="none" w:sz="0" w:space="0" w:color="auto"/>
          </w:divBdr>
        </w:div>
        <w:div w:id="1773823236">
          <w:marLeft w:val="0"/>
          <w:marRight w:val="0"/>
          <w:marTop w:val="0"/>
          <w:marBottom w:val="0"/>
          <w:divBdr>
            <w:top w:val="none" w:sz="0" w:space="0" w:color="auto"/>
            <w:left w:val="none" w:sz="0" w:space="0" w:color="auto"/>
            <w:bottom w:val="none" w:sz="0" w:space="0" w:color="auto"/>
            <w:right w:val="none" w:sz="0" w:space="0" w:color="auto"/>
          </w:divBdr>
        </w:div>
        <w:div w:id="1573194828">
          <w:marLeft w:val="0"/>
          <w:marRight w:val="0"/>
          <w:marTop w:val="0"/>
          <w:marBottom w:val="0"/>
          <w:divBdr>
            <w:top w:val="none" w:sz="0" w:space="0" w:color="auto"/>
            <w:left w:val="none" w:sz="0" w:space="0" w:color="auto"/>
            <w:bottom w:val="none" w:sz="0" w:space="0" w:color="auto"/>
            <w:right w:val="none" w:sz="0" w:space="0" w:color="auto"/>
          </w:divBdr>
        </w:div>
        <w:div w:id="1133793366">
          <w:marLeft w:val="0"/>
          <w:marRight w:val="0"/>
          <w:marTop w:val="0"/>
          <w:marBottom w:val="0"/>
          <w:divBdr>
            <w:top w:val="none" w:sz="0" w:space="0" w:color="auto"/>
            <w:left w:val="none" w:sz="0" w:space="0" w:color="auto"/>
            <w:bottom w:val="none" w:sz="0" w:space="0" w:color="auto"/>
            <w:right w:val="none" w:sz="0" w:space="0" w:color="auto"/>
          </w:divBdr>
        </w:div>
        <w:div w:id="214857263">
          <w:marLeft w:val="0"/>
          <w:marRight w:val="0"/>
          <w:marTop w:val="0"/>
          <w:marBottom w:val="0"/>
          <w:divBdr>
            <w:top w:val="none" w:sz="0" w:space="0" w:color="auto"/>
            <w:left w:val="none" w:sz="0" w:space="0" w:color="auto"/>
            <w:bottom w:val="none" w:sz="0" w:space="0" w:color="auto"/>
            <w:right w:val="none" w:sz="0" w:space="0" w:color="auto"/>
          </w:divBdr>
        </w:div>
        <w:div w:id="158692797">
          <w:marLeft w:val="0"/>
          <w:marRight w:val="0"/>
          <w:marTop w:val="0"/>
          <w:marBottom w:val="0"/>
          <w:divBdr>
            <w:top w:val="none" w:sz="0" w:space="0" w:color="auto"/>
            <w:left w:val="none" w:sz="0" w:space="0" w:color="auto"/>
            <w:bottom w:val="none" w:sz="0" w:space="0" w:color="auto"/>
            <w:right w:val="none" w:sz="0" w:space="0" w:color="auto"/>
          </w:divBdr>
        </w:div>
        <w:div w:id="1961064276">
          <w:marLeft w:val="0"/>
          <w:marRight w:val="0"/>
          <w:marTop w:val="0"/>
          <w:marBottom w:val="0"/>
          <w:divBdr>
            <w:top w:val="none" w:sz="0" w:space="0" w:color="auto"/>
            <w:left w:val="none" w:sz="0" w:space="0" w:color="auto"/>
            <w:bottom w:val="none" w:sz="0" w:space="0" w:color="auto"/>
            <w:right w:val="none" w:sz="0" w:space="0" w:color="auto"/>
          </w:divBdr>
        </w:div>
        <w:div w:id="2051878008">
          <w:marLeft w:val="0"/>
          <w:marRight w:val="0"/>
          <w:marTop w:val="0"/>
          <w:marBottom w:val="0"/>
          <w:divBdr>
            <w:top w:val="none" w:sz="0" w:space="0" w:color="auto"/>
            <w:left w:val="none" w:sz="0" w:space="0" w:color="auto"/>
            <w:bottom w:val="none" w:sz="0" w:space="0" w:color="auto"/>
            <w:right w:val="none" w:sz="0" w:space="0" w:color="auto"/>
          </w:divBdr>
        </w:div>
        <w:div w:id="383019971">
          <w:marLeft w:val="0"/>
          <w:marRight w:val="0"/>
          <w:marTop w:val="0"/>
          <w:marBottom w:val="0"/>
          <w:divBdr>
            <w:top w:val="none" w:sz="0" w:space="0" w:color="auto"/>
            <w:left w:val="none" w:sz="0" w:space="0" w:color="auto"/>
            <w:bottom w:val="none" w:sz="0" w:space="0" w:color="auto"/>
            <w:right w:val="none" w:sz="0" w:space="0" w:color="auto"/>
          </w:divBdr>
        </w:div>
        <w:div w:id="825315856">
          <w:marLeft w:val="0"/>
          <w:marRight w:val="0"/>
          <w:marTop w:val="0"/>
          <w:marBottom w:val="0"/>
          <w:divBdr>
            <w:top w:val="none" w:sz="0" w:space="0" w:color="auto"/>
            <w:left w:val="none" w:sz="0" w:space="0" w:color="auto"/>
            <w:bottom w:val="none" w:sz="0" w:space="0" w:color="auto"/>
            <w:right w:val="none" w:sz="0" w:space="0" w:color="auto"/>
          </w:divBdr>
        </w:div>
        <w:div w:id="1160581595">
          <w:marLeft w:val="0"/>
          <w:marRight w:val="0"/>
          <w:marTop w:val="0"/>
          <w:marBottom w:val="0"/>
          <w:divBdr>
            <w:top w:val="none" w:sz="0" w:space="0" w:color="auto"/>
            <w:left w:val="none" w:sz="0" w:space="0" w:color="auto"/>
            <w:bottom w:val="none" w:sz="0" w:space="0" w:color="auto"/>
            <w:right w:val="none" w:sz="0" w:space="0" w:color="auto"/>
          </w:divBdr>
        </w:div>
        <w:div w:id="2102094797">
          <w:marLeft w:val="0"/>
          <w:marRight w:val="0"/>
          <w:marTop w:val="0"/>
          <w:marBottom w:val="0"/>
          <w:divBdr>
            <w:top w:val="none" w:sz="0" w:space="0" w:color="auto"/>
            <w:left w:val="none" w:sz="0" w:space="0" w:color="auto"/>
            <w:bottom w:val="none" w:sz="0" w:space="0" w:color="auto"/>
            <w:right w:val="none" w:sz="0" w:space="0" w:color="auto"/>
          </w:divBdr>
        </w:div>
        <w:div w:id="1211577378">
          <w:marLeft w:val="0"/>
          <w:marRight w:val="0"/>
          <w:marTop w:val="0"/>
          <w:marBottom w:val="0"/>
          <w:divBdr>
            <w:top w:val="none" w:sz="0" w:space="0" w:color="auto"/>
            <w:left w:val="none" w:sz="0" w:space="0" w:color="auto"/>
            <w:bottom w:val="none" w:sz="0" w:space="0" w:color="auto"/>
            <w:right w:val="none" w:sz="0" w:space="0" w:color="auto"/>
          </w:divBdr>
        </w:div>
        <w:div w:id="142940696">
          <w:marLeft w:val="0"/>
          <w:marRight w:val="0"/>
          <w:marTop w:val="0"/>
          <w:marBottom w:val="0"/>
          <w:divBdr>
            <w:top w:val="none" w:sz="0" w:space="0" w:color="auto"/>
            <w:left w:val="none" w:sz="0" w:space="0" w:color="auto"/>
            <w:bottom w:val="none" w:sz="0" w:space="0" w:color="auto"/>
            <w:right w:val="none" w:sz="0" w:space="0" w:color="auto"/>
          </w:divBdr>
        </w:div>
        <w:div w:id="439109592">
          <w:marLeft w:val="0"/>
          <w:marRight w:val="0"/>
          <w:marTop w:val="0"/>
          <w:marBottom w:val="0"/>
          <w:divBdr>
            <w:top w:val="none" w:sz="0" w:space="0" w:color="auto"/>
            <w:left w:val="none" w:sz="0" w:space="0" w:color="auto"/>
            <w:bottom w:val="none" w:sz="0" w:space="0" w:color="auto"/>
            <w:right w:val="none" w:sz="0" w:space="0" w:color="auto"/>
          </w:divBdr>
        </w:div>
        <w:div w:id="1247300106">
          <w:marLeft w:val="0"/>
          <w:marRight w:val="0"/>
          <w:marTop w:val="0"/>
          <w:marBottom w:val="0"/>
          <w:divBdr>
            <w:top w:val="none" w:sz="0" w:space="0" w:color="auto"/>
            <w:left w:val="none" w:sz="0" w:space="0" w:color="auto"/>
            <w:bottom w:val="none" w:sz="0" w:space="0" w:color="auto"/>
            <w:right w:val="none" w:sz="0" w:space="0" w:color="auto"/>
          </w:divBdr>
        </w:div>
        <w:div w:id="88041669">
          <w:marLeft w:val="0"/>
          <w:marRight w:val="0"/>
          <w:marTop w:val="0"/>
          <w:marBottom w:val="0"/>
          <w:divBdr>
            <w:top w:val="none" w:sz="0" w:space="0" w:color="auto"/>
            <w:left w:val="none" w:sz="0" w:space="0" w:color="auto"/>
            <w:bottom w:val="none" w:sz="0" w:space="0" w:color="auto"/>
            <w:right w:val="none" w:sz="0" w:space="0" w:color="auto"/>
          </w:divBdr>
        </w:div>
        <w:div w:id="1641764057">
          <w:marLeft w:val="0"/>
          <w:marRight w:val="0"/>
          <w:marTop w:val="0"/>
          <w:marBottom w:val="0"/>
          <w:divBdr>
            <w:top w:val="none" w:sz="0" w:space="0" w:color="auto"/>
            <w:left w:val="none" w:sz="0" w:space="0" w:color="auto"/>
            <w:bottom w:val="none" w:sz="0" w:space="0" w:color="auto"/>
            <w:right w:val="none" w:sz="0" w:space="0" w:color="auto"/>
          </w:divBdr>
        </w:div>
        <w:div w:id="756680150">
          <w:marLeft w:val="0"/>
          <w:marRight w:val="0"/>
          <w:marTop w:val="0"/>
          <w:marBottom w:val="0"/>
          <w:divBdr>
            <w:top w:val="none" w:sz="0" w:space="0" w:color="auto"/>
            <w:left w:val="none" w:sz="0" w:space="0" w:color="auto"/>
            <w:bottom w:val="none" w:sz="0" w:space="0" w:color="auto"/>
            <w:right w:val="none" w:sz="0" w:space="0" w:color="auto"/>
          </w:divBdr>
        </w:div>
        <w:div w:id="222640906">
          <w:marLeft w:val="0"/>
          <w:marRight w:val="0"/>
          <w:marTop w:val="0"/>
          <w:marBottom w:val="0"/>
          <w:divBdr>
            <w:top w:val="none" w:sz="0" w:space="0" w:color="auto"/>
            <w:left w:val="none" w:sz="0" w:space="0" w:color="auto"/>
            <w:bottom w:val="none" w:sz="0" w:space="0" w:color="auto"/>
            <w:right w:val="none" w:sz="0" w:space="0" w:color="auto"/>
          </w:divBdr>
        </w:div>
        <w:div w:id="221909120">
          <w:marLeft w:val="0"/>
          <w:marRight w:val="0"/>
          <w:marTop w:val="0"/>
          <w:marBottom w:val="0"/>
          <w:divBdr>
            <w:top w:val="none" w:sz="0" w:space="0" w:color="auto"/>
            <w:left w:val="none" w:sz="0" w:space="0" w:color="auto"/>
            <w:bottom w:val="none" w:sz="0" w:space="0" w:color="auto"/>
            <w:right w:val="none" w:sz="0" w:space="0" w:color="auto"/>
          </w:divBdr>
        </w:div>
        <w:div w:id="2092240189">
          <w:marLeft w:val="0"/>
          <w:marRight w:val="0"/>
          <w:marTop w:val="0"/>
          <w:marBottom w:val="0"/>
          <w:divBdr>
            <w:top w:val="none" w:sz="0" w:space="0" w:color="auto"/>
            <w:left w:val="none" w:sz="0" w:space="0" w:color="auto"/>
            <w:bottom w:val="none" w:sz="0" w:space="0" w:color="auto"/>
            <w:right w:val="none" w:sz="0" w:space="0" w:color="auto"/>
          </w:divBdr>
        </w:div>
        <w:div w:id="1739015123">
          <w:marLeft w:val="0"/>
          <w:marRight w:val="0"/>
          <w:marTop w:val="0"/>
          <w:marBottom w:val="0"/>
          <w:divBdr>
            <w:top w:val="none" w:sz="0" w:space="0" w:color="auto"/>
            <w:left w:val="none" w:sz="0" w:space="0" w:color="auto"/>
            <w:bottom w:val="none" w:sz="0" w:space="0" w:color="auto"/>
            <w:right w:val="none" w:sz="0" w:space="0" w:color="auto"/>
          </w:divBdr>
        </w:div>
        <w:div w:id="40711370">
          <w:marLeft w:val="0"/>
          <w:marRight w:val="0"/>
          <w:marTop w:val="0"/>
          <w:marBottom w:val="0"/>
          <w:divBdr>
            <w:top w:val="none" w:sz="0" w:space="0" w:color="auto"/>
            <w:left w:val="none" w:sz="0" w:space="0" w:color="auto"/>
            <w:bottom w:val="none" w:sz="0" w:space="0" w:color="auto"/>
            <w:right w:val="none" w:sz="0" w:space="0" w:color="auto"/>
          </w:divBdr>
        </w:div>
        <w:div w:id="774524519">
          <w:marLeft w:val="0"/>
          <w:marRight w:val="0"/>
          <w:marTop w:val="0"/>
          <w:marBottom w:val="0"/>
          <w:divBdr>
            <w:top w:val="none" w:sz="0" w:space="0" w:color="auto"/>
            <w:left w:val="none" w:sz="0" w:space="0" w:color="auto"/>
            <w:bottom w:val="none" w:sz="0" w:space="0" w:color="auto"/>
            <w:right w:val="none" w:sz="0" w:space="0" w:color="auto"/>
          </w:divBdr>
        </w:div>
        <w:div w:id="1520779016">
          <w:marLeft w:val="0"/>
          <w:marRight w:val="0"/>
          <w:marTop w:val="0"/>
          <w:marBottom w:val="0"/>
          <w:divBdr>
            <w:top w:val="none" w:sz="0" w:space="0" w:color="auto"/>
            <w:left w:val="none" w:sz="0" w:space="0" w:color="auto"/>
            <w:bottom w:val="none" w:sz="0" w:space="0" w:color="auto"/>
            <w:right w:val="none" w:sz="0" w:space="0" w:color="auto"/>
          </w:divBdr>
        </w:div>
        <w:div w:id="773480747">
          <w:marLeft w:val="0"/>
          <w:marRight w:val="0"/>
          <w:marTop w:val="0"/>
          <w:marBottom w:val="0"/>
          <w:divBdr>
            <w:top w:val="none" w:sz="0" w:space="0" w:color="auto"/>
            <w:left w:val="none" w:sz="0" w:space="0" w:color="auto"/>
            <w:bottom w:val="none" w:sz="0" w:space="0" w:color="auto"/>
            <w:right w:val="none" w:sz="0" w:space="0" w:color="auto"/>
          </w:divBdr>
        </w:div>
        <w:div w:id="1570995962">
          <w:marLeft w:val="0"/>
          <w:marRight w:val="0"/>
          <w:marTop w:val="0"/>
          <w:marBottom w:val="0"/>
          <w:divBdr>
            <w:top w:val="none" w:sz="0" w:space="0" w:color="auto"/>
            <w:left w:val="none" w:sz="0" w:space="0" w:color="auto"/>
            <w:bottom w:val="none" w:sz="0" w:space="0" w:color="auto"/>
            <w:right w:val="none" w:sz="0" w:space="0" w:color="auto"/>
          </w:divBdr>
        </w:div>
        <w:div w:id="2033531763">
          <w:marLeft w:val="0"/>
          <w:marRight w:val="0"/>
          <w:marTop w:val="0"/>
          <w:marBottom w:val="0"/>
          <w:divBdr>
            <w:top w:val="none" w:sz="0" w:space="0" w:color="auto"/>
            <w:left w:val="none" w:sz="0" w:space="0" w:color="auto"/>
            <w:bottom w:val="none" w:sz="0" w:space="0" w:color="auto"/>
            <w:right w:val="none" w:sz="0" w:space="0" w:color="auto"/>
          </w:divBdr>
        </w:div>
        <w:div w:id="1157262013">
          <w:marLeft w:val="0"/>
          <w:marRight w:val="0"/>
          <w:marTop w:val="0"/>
          <w:marBottom w:val="0"/>
          <w:divBdr>
            <w:top w:val="none" w:sz="0" w:space="0" w:color="auto"/>
            <w:left w:val="none" w:sz="0" w:space="0" w:color="auto"/>
            <w:bottom w:val="none" w:sz="0" w:space="0" w:color="auto"/>
            <w:right w:val="none" w:sz="0" w:space="0" w:color="auto"/>
          </w:divBdr>
        </w:div>
        <w:div w:id="29887680">
          <w:marLeft w:val="0"/>
          <w:marRight w:val="0"/>
          <w:marTop w:val="0"/>
          <w:marBottom w:val="0"/>
          <w:divBdr>
            <w:top w:val="none" w:sz="0" w:space="0" w:color="auto"/>
            <w:left w:val="none" w:sz="0" w:space="0" w:color="auto"/>
            <w:bottom w:val="none" w:sz="0" w:space="0" w:color="auto"/>
            <w:right w:val="none" w:sz="0" w:space="0" w:color="auto"/>
          </w:divBdr>
        </w:div>
        <w:div w:id="953705607">
          <w:marLeft w:val="0"/>
          <w:marRight w:val="0"/>
          <w:marTop w:val="0"/>
          <w:marBottom w:val="0"/>
          <w:divBdr>
            <w:top w:val="none" w:sz="0" w:space="0" w:color="auto"/>
            <w:left w:val="none" w:sz="0" w:space="0" w:color="auto"/>
            <w:bottom w:val="none" w:sz="0" w:space="0" w:color="auto"/>
            <w:right w:val="none" w:sz="0" w:space="0" w:color="auto"/>
          </w:divBdr>
        </w:div>
        <w:div w:id="726026991">
          <w:marLeft w:val="0"/>
          <w:marRight w:val="0"/>
          <w:marTop w:val="0"/>
          <w:marBottom w:val="0"/>
          <w:divBdr>
            <w:top w:val="none" w:sz="0" w:space="0" w:color="auto"/>
            <w:left w:val="none" w:sz="0" w:space="0" w:color="auto"/>
            <w:bottom w:val="none" w:sz="0" w:space="0" w:color="auto"/>
            <w:right w:val="none" w:sz="0" w:space="0" w:color="auto"/>
          </w:divBdr>
        </w:div>
        <w:div w:id="1056856726">
          <w:marLeft w:val="0"/>
          <w:marRight w:val="0"/>
          <w:marTop w:val="0"/>
          <w:marBottom w:val="0"/>
          <w:divBdr>
            <w:top w:val="none" w:sz="0" w:space="0" w:color="auto"/>
            <w:left w:val="none" w:sz="0" w:space="0" w:color="auto"/>
            <w:bottom w:val="none" w:sz="0" w:space="0" w:color="auto"/>
            <w:right w:val="none" w:sz="0" w:space="0" w:color="auto"/>
          </w:divBdr>
        </w:div>
        <w:div w:id="1633779332">
          <w:marLeft w:val="0"/>
          <w:marRight w:val="0"/>
          <w:marTop w:val="0"/>
          <w:marBottom w:val="0"/>
          <w:divBdr>
            <w:top w:val="none" w:sz="0" w:space="0" w:color="auto"/>
            <w:left w:val="none" w:sz="0" w:space="0" w:color="auto"/>
            <w:bottom w:val="none" w:sz="0" w:space="0" w:color="auto"/>
            <w:right w:val="none" w:sz="0" w:space="0" w:color="auto"/>
          </w:divBdr>
        </w:div>
        <w:div w:id="810100540">
          <w:marLeft w:val="0"/>
          <w:marRight w:val="0"/>
          <w:marTop w:val="0"/>
          <w:marBottom w:val="0"/>
          <w:divBdr>
            <w:top w:val="none" w:sz="0" w:space="0" w:color="auto"/>
            <w:left w:val="none" w:sz="0" w:space="0" w:color="auto"/>
            <w:bottom w:val="none" w:sz="0" w:space="0" w:color="auto"/>
            <w:right w:val="none" w:sz="0" w:space="0" w:color="auto"/>
          </w:divBdr>
        </w:div>
        <w:div w:id="989022882">
          <w:marLeft w:val="0"/>
          <w:marRight w:val="0"/>
          <w:marTop w:val="0"/>
          <w:marBottom w:val="0"/>
          <w:divBdr>
            <w:top w:val="none" w:sz="0" w:space="0" w:color="auto"/>
            <w:left w:val="none" w:sz="0" w:space="0" w:color="auto"/>
            <w:bottom w:val="none" w:sz="0" w:space="0" w:color="auto"/>
            <w:right w:val="none" w:sz="0" w:space="0" w:color="auto"/>
          </w:divBdr>
        </w:div>
        <w:div w:id="1298104100">
          <w:marLeft w:val="0"/>
          <w:marRight w:val="0"/>
          <w:marTop w:val="0"/>
          <w:marBottom w:val="0"/>
          <w:divBdr>
            <w:top w:val="none" w:sz="0" w:space="0" w:color="auto"/>
            <w:left w:val="none" w:sz="0" w:space="0" w:color="auto"/>
            <w:bottom w:val="none" w:sz="0" w:space="0" w:color="auto"/>
            <w:right w:val="none" w:sz="0" w:space="0" w:color="auto"/>
          </w:divBdr>
        </w:div>
        <w:div w:id="962345438">
          <w:marLeft w:val="0"/>
          <w:marRight w:val="0"/>
          <w:marTop w:val="0"/>
          <w:marBottom w:val="0"/>
          <w:divBdr>
            <w:top w:val="none" w:sz="0" w:space="0" w:color="auto"/>
            <w:left w:val="none" w:sz="0" w:space="0" w:color="auto"/>
            <w:bottom w:val="none" w:sz="0" w:space="0" w:color="auto"/>
            <w:right w:val="none" w:sz="0" w:space="0" w:color="auto"/>
          </w:divBdr>
        </w:div>
        <w:div w:id="438063133">
          <w:marLeft w:val="0"/>
          <w:marRight w:val="0"/>
          <w:marTop w:val="0"/>
          <w:marBottom w:val="0"/>
          <w:divBdr>
            <w:top w:val="none" w:sz="0" w:space="0" w:color="auto"/>
            <w:left w:val="none" w:sz="0" w:space="0" w:color="auto"/>
            <w:bottom w:val="none" w:sz="0" w:space="0" w:color="auto"/>
            <w:right w:val="none" w:sz="0" w:space="0" w:color="auto"/>
          </w:divBdr>
        </w:div>
        <w:div w:id="2030254147">
          <w:marLeft w:val="0"/>
          <w:marRight w:val="0"/>
          <w:marTop w:val="0"/>
          <w:marBottom w:val="0"/>
          <w:divBdr>
            <w:top w:val="none" w:sz="0" w:space="0" w:color="auto"/>
            <w:left w:val="none" w:sz="0" w:space="0" w:color="auto"/>
            <w:bottom w:val="none" w:sz="0" w:space="0" w:color="auto"/>
            <w:right w:val="none" w:sz="0" w:space="0" w:color="auto"/>
          </w:divBdr>
        </w:div>
        <w:div w:id="1857309740">
          <w:marLeft w:val="0"/>
          <w:marRight w:val="0"/>
          <w:marTop w:val="0"/>
          <w:marBottom w:val="0"/>
          <w:divBdr>
            <w:top w:val="none" w:sz="0" w:space="0" w:color="auto"/>
            <w:left w:val="none" w:sz="0" w:space="0" w:color="auto"/>
            <w:bottom w:val="none" w:sz="0" w:space="0" w:color="auto"/>
            <w:right w:val="none" w:sz="0" w:space="0" w:color="auto"/>
          </w:divBdr>
        </w:div>
        <w:div w:id="1421178078">
          <w:marLeft w:val="0"/>
          <w:marRight w:val="0"/>
          <w:marTop w:val="0"/>
          <w:marBottom w:val="0"/>
          <w:divBdr>
            <w:top w:val="none" w:sz="0" w:space="0" w:color="auto"/>
            <w:left w:val="none" w:sz="0" w:space="0" w:color="auto"/>
            <w:bottom w:val="none" w:sz="0" w:space="0" w:color="auto"/>
            <w:right w:val="none" w:sz="0" w:space="0" w:color="auto"/>
          </w:divBdr>
        </w:div>
        <w:div w:id="406540886">
          <w:marLeft w:val="0"/>
          <w:marRight w:val="0"/>
          <w:marTop w:val="0"/>
          <w:marBottom w:val="0"/>
          <w:divBdr>
            <w:top w:val="none" w:sz="0" w:space="0" w:color="auto"/>
            <w:left w:val="none" w:sz="0" w:space="0" w:color="auto"/>
            <w:bottom w:val="none" w:sz="0" w:space="0" w:color="auto"/>
            <w:right w:val="none" w:sz="0" w:space="0" w:color="auto"/>
          </w:divBdr>
        </w:div>
        <w:div w:id="1366521723">
          <w:marLeft w:val="0"/>
          <w:marRight w:val="0"/>
          <w:marTop w:val="0"/>
          <w:marBottom w:val="0"/>
          <w:divBdr>
            <w:top w:val="none" w:sz="0" w:space="0" w:color="auto"/>
            <w:left w:val="none" w:sz="0" w:space="0" w:color="auto"/>
            <w:bottom w:val="none" w:sz="0" w:space="0" w:color="auto"/>
            <w:right w:val="none" w:sz="0" w:space="0" w:color="auto"/>
          </w:divBdr>
        </w:div>
        <w:div w:id="1752198096">
          <w:marLeft w:val="0"/>
          <w:marRight w:val="0"/>
          <w:marTop w:val="0"/>
          <w:marBottom w:val="0"/>
          <w:divBdr>
            <w:top w:val="none" w:sz="0" w:space="0" w:color="auto"/>
            <w:left w:val="none" w:sz="0" w:space="0" w:color="auto"/>
            <w:bottom w:val="none" w:sz="0" w:space="0" w:color="auto"/>
            <w:right w:val="none" w:sz="0" w:space="0" w:color="auto"/>
          </w:divBdr>
        </w:div>
        <w:div w:id="796993044">
          <w:marLeft w:val="0"/>
          <w:marRight w:val="0"/>
          <w:marTop w:val="0"/>
          <w:marBottom w:val="0"/>
          <w:divBdr>
            <w:top w:val="none" w:sz="0" w:space="0" w:color="auto"/>
            <w:left w:val="none" w:sz="0" w:space="0" w:color="auto"/>
            <w:bottom w:val="none" w:sz="0" w:space="0" w:color="auto"/>
            <w:right w:val="none" w:sz="0" w:space="0" w:color="auto"/>
          </w:divBdr>
        </w:div>
        <w:div w:id="1547831201">
          <w:marLeft w:val="0"/>
          <w:marRight w:val="0"/>
          <w:marTop w:val="0"/>
          <w:marBottom w:val="0"/>
          <w:divBdr>
            <w:top w:val="none" w:sz="0" w:space="0" w:color="auto"/>
            <w:left w:val="none" w:sz="0" w:space="0" w:color="auto"/>
            <w:bottom w:val="none" w:sz="0" w:space="0" w:color="auto"/>
            <w:right w:val="none" w:sz="0" w:space="0" w:color="auto"/>
          </w:divBdr>
        </w:div>
        <w:div w:id="603348150">
          <w:marLeft w:val="0"/>
          <w:marRight w:val="0"/>
          <w:marTop w:val="0"/>
          <w:marBottom w:val="0"/>
          <w:divBdr>
            <w:top w:val="none" w:sz="0" w:space="0" w:color="auto"/>
            <w:left w:val="none" w:sz="0" w:space="0" w:color="auto"/>
            <w:bottom w:val="none" w:sz="0" w:space="0" w:color="auto"/>
            <w:right w:val="none" w:sz="0" w:space="0" w:color="auto"/>
          </w:divBdr>
        </w:div>
        <w:div w:id="1591042617">
          <w:marLeft w:val="0"/>
          <w:marRight w:val="0"/>
          <w:marTop w:val="0"/>
          <w:marBottom w:val="0"/>
          <w:divBdr>
            <w:top w:val="none" w:sz="0" w:space="0" w:color="auto"/>
            <w:left w:val="none" w:sz="0" w:space="0" w:color="auto"/>
            <w:bottom w:val="none" w:sz="0" w:space="0" w:color="auto"/>
            <w:right w:val="none" w:sz="0" w:space="0" w:color="auto"/>
          </w:divBdr>
        </w:div>
        <w:div w:id="1305701913">
          <w:marLeft w:val="0"/>
          <w:marRight w:val="0"/>
          <w:marTop w:val="0"/>
          <w:marBottom w:val="0"/>
          <w:divBdr>
            <w:top w:val="none" w:sz="0" w:space="0" w:color="auto"/>
            <w:left w:val="none" w:sz="0" w:space="0" w:color="auto"/>
            <w:bottom w:val="none" w:sz="0" w:space="0" w:color="auto"/>
            <w:right w:val="none" w:sz="0" w:space="0" w:color="auto"/>
          </w:divBdr>
        </w:div>
        <w:div w:id="1670325656">
          <w:marLeft w:val="0"/>
          <w:marRight w:val="0"/>
          <w:marTop w:val="0"/>
          <w:marBottom w:val="0"/>
          <w:divBdr>
            <w:top w:val="none" w:sz="0" w:space="0" w:color="auto"/>
            <w:left w:val="none" w:sz="0" w:space="0" w:color="auto"/>
            <w:bottom w:val="none" w:sz="0" w:space="0" w:color="auto"/>
            <w:right w:val="none" w:sz="0" w:space="0" w:color="auto"/>
          </w:divBdr>
        </w:div>
        <w:div w:id="1507552084">
          <w:marLeft w:val="0"/>
          <w:marRight w:val="0"/>
          <w:marTop w:val="0"/>
          <w:marBottom w:val="0"/>
          <w:divBdr>
            <w:top w:val="none" w:sz="0" w:space="0" w:color="auto"/>
            <w:left w:val="none" w:sz="0" w:space="0" w:color="auto"/>
            <w:bottom w:val="none" w:sz="0" w:space="0" w:color="auto"/>
            <w:right w:val="none" w:sz="0" w:space="0" w:color="auto"/>
          </w:divBdr>
        </w:div>
        <w:div w:id="331221022">
          <w:marLeft w:val="0"/>
          <w:marRight w:val="0"/>
          <w:marTop w:val="0"/>
          <w:marBottom w:val="0"/>
          <w:divBdr>
            <w:top w:val="none" w:sz="0" w:space="0" w:color="auto"/>
            <w:left w:val="none" w:sz="0" w:space="0" w:color="auto"/>
            <w:bottom w:val="none" w:sz="0" w:space="0" w:color="auto"/>
            <w:right w:val="none" w:sz="0" w:space="0" w:color="auto"/>
          </w:divBdr>
        </w:div>
        <w:div w:id="2126583388">
          <w:marLeft w:val="0"/>
          <w:marRight w:val="0"/>
          <w:marTop w:val="0"/>
          <w:marBottom w:val="0"/>
          <w:divBdr>
            <w:top w:val="none" w:sz="0" w:space="0" w:color="auto"/>
            <w:left w:val="none" w:sz="0" w:space="0" w:color="auto"/>
            <w:bottom w:val="none" w:sz="0" w:space="0" w:color="auto"/>
            <w:right w:val="none" w:sz="0" w:space="0" w:color="auto"/>
          </w:divBdr>
        </w:div>
        <w:div w:id="1689981979">
          <w:marLeft w:val="0"/>
          <w:marRight w:val="0"/>
          <w:marTop w:val="0"/>
          <w:marBottom w:val="0"/>
          <w:divBdr>
            <w:top w:val="none" w:sz="0" w:space="0" w:color="auto"/>
            <w:left w:val="none" w:sz="0" w:space="0" w:color="auto"/>
            <w:bottom w:val="none" w:sz="0" w:space="0" w:color="auto"/>
            <w:right w:val="none" w:sz="0" w:space="0" w:color="auto"/>
          </w:divBdr>
        </w:div>
        <w:div w:id="1848983298">
          <w:marLeft w:val="0"/>
          <w:marRight w:val="0"/>
          <w:marTop w:val="0"/>
          <w:marBottom w:val="0"/>
          <w:divBdr>
            <w:top w:val="none" w:sz="0" w:space="0" w:color="auto"/>
            <w:left w:val="none" w:sz="0" w:space="0" w:color="auto"/>
            <w:bottom w:val="none" w:sz="0" w:space="0" w:color="auto"/>
            <w:right w:val="none" w:sz="0" w:space="0" w:color="auto"/>
          </w:divBdr>
        </w:div>
        <w:div w:id="1224826226">
          <w:marLeft w:val="0"/>
          <w:marRight w:val="0"/>
          <w:marTop w:val="0"/>
          <w:marBottom w:val="0"/>
          <w:divBdr>
            <w:top w:val="none" w:sz="0" w:space="0" w:color="auto"/>
            <w:left w:val="none" w:sz="0" w:space="0" w:color="auto"/>
            <w:bottom w:val="none" w:sz="0" w:space="0" w:color="auto"/>
            <w:right w:val="none" w:sz="0" w:space="0" w:color="auto"/>
          </w:divBdr>
        </w:div>
        <w:div w:id="5253584">
          <w:marLeft w:val="0"/>
          <w:marRight w:val="0"/>
          <w:marTop w:val="0"/>
          <w:marBottom w:val="0"/>
          <w:divBdr>
            <w:top w:val="none" w:sz="0" w:space="0" w:color="auto"/>
            <w:left w:val="none" w:sz="0" w:space="0" w:color="auto"/>
            <w:bottom w:val="none" w:sz="0" w:space="0" w:color="auto"/>
            <w:right w:val="none" w:sz="0" w:space="0" w:color="auto"/>
          </w:divBdr>
        </w:div>
        <w:div w:id="665282266">
          <w:marLeft w:val="0"/>
          <w:marRight w:val="0"/>
          <w:marTop w:val="0"/>
          <w:marBottom w:val="0"/>
          <w:divBdr>
            <w:top w:val="none" w:sz="0" w:space="0" w:color="auto"/>
            <w:left w:val="none" w:sz="0" w:space="0" w:color="auto"/>
            <w:bottom w:val="none" w:sz="0" w:space="0" w:color="auto"/>
            <w:right w:val="none" w:sz="0" w:space="0" w:color="auto"/>
          </w:divBdr>
        </w:div>
        <w:div w:id="1511530968">
          <w:marLeft w:val="0"/>
          <w:marRight w:val="0"/>
          <w:marTop w:val="0"/>
          <w:marBottom w:val="0"/>
          <w:divBdr>
            <w:top w:val="none" w:sz="0" w:space="0" w:color="auto"/>
            <w:left w:val="none" w:sz="0" w:space="0" w:color="auto"/>
            <w:bottom w:val="none" w:sz="0" w:space="0" w:color="auto"/>
            <w:right w:val="none" w:sz="0" w:space="0" w:color="auto"/>
          </w:divBdr>
        </w:div>
        <w:div w:id="1566917036">
          <w:marLeft w:val="0"/>
          <w:marRight w:val="0"/>
          <w:marTop w:val="0"/>
          <w:marBottom w:val="0"/>
          <w:divBdr>
            <w:top w:val="none" w:sz="0" w:space="0" w:color="auto"/>
            <w:left w:val="none" w:sz="0" w:space="0" w:color="auto"/>
            <w:bottom w:val="none" w:sz="0" w:space="0" w:color="auto"/>
            <w:right w:val="none" w:sz="0" w:space="0" w:color="auto"/>
          </w:divBdr>
        </w:div>
        <w:div w:id="1841893746">
          <w:marLeft w:val="0"/>
          <w:marRight w:val="0"/>
          <w:marTop w:val="0"/>
          <w:marBottom w:val="0"/>
          <w:divBdr>
            <w:top w:val="none" w:sz="0" w:space="0" w:color="auto"/>
            <w:left w:val="none" w:sz="0" w:space="0" w:color="auto"/>
            <w:bottom w:val="none" w:sz="0" w:space="0" w:color="auto"/>
            <w:right w:val="none" w:sz="0" w:space="0" w:color="auto"/>
          </w:divBdr>
        </w:div>
        <w:div w:id="1326395818">
          <w:marLeft w:val="0"/>
          <w:marRight w:val="0"/>
          <w:marTop w:val="0"/>
          <w:marBottom w:val="0"/>
          <w:divBdr>
            <w:top w:val="none" w:sz="0" w:space="0" w:color="auto"/>
            <w:left w:val="none" w:sz="0" w:space="0" w:color="auto"/>
            <w:bottom w:val="none" w:sz="0" w:space="0" w:color="auto"/>
            <w:right w:val="none" w:sz="0" w:space="0" w:color="auto"/>
          </w:divBdr>
        </w:div>
        <w:div w:id="1612936489">
          <w:marLeft w:val="0"/>
          <w:marRight w:val="0"/>
          <w:marTop w:val="0"/>
          <w:marBottom w:val="0"/>
          <w:divBdr>
            <w:top w:val="none" w:sz="0" w:space="0" w:color="auto"/>
            <w:left w:val="none" w:sz="0" w:space="0" w:color="auto"/>
            <w:bottom w:val="none" w:sz="0" w:space="0" w:color="auto"/>
            <w:right w:val="none" w:sz="0" w:space="0" w:color="auto"/>
          </w:divBdr>
        </w:div>
        <w:div w:id="1035928813">
          <w:marLeft w:val="0"/>
          <w:marRight w:val="0"/>
          <w:marTop w:val="0"/>
          <w:marBottom w:val="0"/>
          <w:divBdr>
            <w:top w:val="none" w:sz="0" w:space="0" w:color="auto"/>
            <w:left w:val="none" w:sz="0" w:space="0" w:color="auto"/>
            <w:bottom w:val="none" w:sz="0" w:space="0" w:color="auto"/>
            <w:right w:val="none" w:sz="0" w:space="0" w:color="auto"/>
          </w:divBdr>
        </w:div>
        <w:div w:id="126050731">
          <w:marLeft w:val="0"/>
          <w:marRight w:val="0"/>
          <w:marTop w:val="0"/>
          <w:marBottom w:val="0"/>
          <w:divBdr>
            <w:top w:val="none" w:sz="0" w:space="0" w:color="auto"/>
            <w:left w:val="none" w:sz="0" w:space="0" w:color="auto"/>
            <w:bottom w:val="none" w:sz="0" w:space="0" w:color="auto"/>
            <w:right w:val="none" w:sz="0" w:space="0" w:color="auto"/>
          </w:divBdr>
        </w:div>
        <w:div w:id="66156282">
          <w:marLeft w:val="0"/>
          <w:marRight w:val="0"/>
          <w:marTop w:val="0"/>
          <w:marBottom w:val="0"/>
          <w:divBdr>
            <w:top w:val="none" w:sz="0" w:space="0" w:color="auto"/>
            <w:left w:val="none" w:sz="0" w:space="0" w:color="auto"/>
            <w:bottom w:val="none" w:sz="0" w:space="0" w:color="auto"/>
            <w:right w:val="none" w:sz="0" w:space="0" w:color="auto"/>
          </w:divBdr>
        </w:div>
        <w:div w:id="2065055564">
          <w:marLeft w:val="0"/>
          <w:marRight w:val="0"/>
          <w:marTop w:val="0"/>
          <w:marBottom w:val="0"/>
          <w:divBdr>
            <w:top w:val="none" w:sz="0" w:space="0" w:color="auto"/>
            <w:left w:val="none" w:sz="0" w:space="0" w:color="auto"/>
            <w:bottom w:val="none" w:sz="0" w:space="0" w:color="auto"/>
            <w:right w:val="none" w:sz="0" w:space="0" w:color="auto"/>
          </w:divBdr>
        </w:div>
        <w:div w:id="1670132958">
          <w:marLeft w:val="0"/>
          <w:marRight w:val="0"/>
          <w:marTop w:val="0"/>
          <w:marBottom w:val="0"/>
          <w:divBdr>
            <w:top w:val="none" w:sz="0" w:space="0" w:color="auto"/>
            <w:left w:val="none" w:sz="0" w:space="0" w:color="auto"/>
            <w:bottom w:val="none" w:sz="0" w:space="0" w:color="auto"/>
            <w:right w:val="none" w:sz="0" w:space="0" w:color="auto"/>
          </w:divBdr>
        </w:div>
        <w:div w:id="1399211913">
          <w:marLeft w:val="0"/>
          <w:marRight w:val="0"/>
          <w:marTop w:val="0"/>
          <w:marBottom w:val="0"/>
          <w:divBdr>
            <w:top w:val="none" w:sz="0" w:space="0" w:color="auto"/>
            <w:left w:val="none" w:sz="0" w:space="0" w:color="auto"/>
            <w:bottom w:val="none" w:sz="0" w:space="0" w:color="auto"/>
            <w:right w:val="none" w:sz="0" w:space="0" w:color="auto"/>
          </w:divBdr>
        </w:div>
        <w:div w:id="1918906431">
          <w:marLeft w:val="0"/>
          <w:marRight w:val="0"/>
          <w:marTop w:val="0"/>
          <w:marBottom w:val="0"/>
          <w:divBdr>
            <w:top w:val="none" w:sz="0" w:space="0" w:color="auto"/>
            <w:left w:val="none" w:sz="0" w:space="0" w:color="auto"/>
            <w:bottom w:val="none" w:sz="0" w:space="0" w:color="auto"/>
            <w:right w:val="none" w:sz="0" w:space="0" w:color="auto"/>
          </w:divBdr>
        </w:div>
        <w:div w:id="1820925012">
          <w:marLeft w:val="0"/>
          <w:marRight w:val="0"/>
          <w:marTop w:val="0"/>
          <w:marBottom w:val="0"/>
          <w:divBdr>
            <w:top w:val="none" w:sz="0" w:space="0" w:color="auto"/>
            <w:left w:val="none" w:sz="0" w:space="0" w:color="auto"/>
            <w:bottom w:val="none" w:sz="0" w:space="0" w:color="auto"/>
            <w:right w:val="none" w:sz="0" w:space="0" w:color="auto"/>
          </w:divBdr>
        </w:div>
        <w:div w:id="1534420178">
          <w:marLeft w:val="0"/>
          <w:marRight w:val="0"/>
          <w:marTop w:val="0"/>
          <w:marBottom w:val="0"/>
          <w:divBdr>
            <w:top w:val="none" w:sz="0" w:space="0" w:color="auto"/>
            <w:left w:val="none" w:sz="0" w:space="0" w:color="auto"/>
            <w:bottom w:val="none" w:sz="0" w:space="0" w:color="auto"/>
            <w:right w:val="none" w:sz="0" w:space="0" w:color="auto"/>
          </w:divBdr>
        </w:div>
        <w:div w:id="2144806700">
          <w:marLeft w:val="0"/>
          <w:marRight w:val="0"/>
          <w:marTop w:val="0"/>
          <w:marBottom w:val="0"/>
          <w:divBdr>
            <w:top w:val="none" w:sz="0" w:space="0" w:color="auto"/>
            <w:left w:val="none" w:sz="0" w:space="0" w:color="auto"/>
            <w:bottom w:val="none" w:sz="0" w:space="0" w:color="auto"/>
            <w:right w:val="none" w:sz="0" w:space="0" w:color="auto"/>
          </w:divBdr>
        </w:div>
        <w:div w:id="1555046625">
          <w:marLeft w:val="0"/>
          <w:marRight w:val="0"/>
          <w:marTop w:val="0"/>
          <w:marBottom w:val="0"/>
          <w:divBdr>
            <w:top w:val="none" w:sz="0" w:space="0" w:color="auto"/>
            <w:left w:val="none" w:sz="0" w:space="0" w:color="auto"/>
            <w:bottom w:val="none" w:sz="0" w:space="0" w:color="auto"/>
            <w:right w:val="none" w:sz="0" w:space="0" w:color="auto"/>
          </w:divBdr>
        </w:div>
        <w:div w:id="2071686239">
          <w:marLeft w:val="0"/>
          <w:marRight w:val="0"/>
          <w:marTop w:val="0"/>
          <w:marBottom w:val="0"/>
          <w:divBdr>
            <w:top w:val="none" w:sz="0" w:space="0" w:color="auto"/>
            <w:left w:val="none" w:sz="0" w:space="0" w:color="auto"/>
            <w:bottom w:val="none" w:sz="0" w:space="0" w:color="auto"/>
            <w:right w:val="none" w:sz="0" w:space="0" w:color="auto"/>
          </w:divBdr>
        </w:div>
        <w:div w:id="617837869">
          <w:marLeft w:val="0"/>
          <w:marRight w:val="0"/>
          <w:marTop w:val="0"/>
          <w:marBottom w:val="0"/>
          <w:divBdr>
            <w:top w:val="none" w:sz="0" w:space="0" w:color="auto"/>
            <w:left w:val="none" w:sz="0" w:space="0" w:color="auto"/>
            <w:bottom w:val="none" w:sz="0" w:space="0" w:color="auto"/>
            <w:right w:val="none" w:sz="0" w:space="0" w:color="auto"/>
          </w:divBdr>
        </w:div>
        <w:div w:id="2104720722">
          <w:marLeft w:val="0"/>
          <w:marRight w:val="0"/>
          <w:marTop w:val="0"/>
          <w:marBottom w:val="0"/>
          <w:divBdr>
            <w:top w:val="none" w:sz="0" w:space="0" w:color="auto"/>
            <w:left w:val="none" w:sz="0" w:space="0" w:color="auto"/>
            <w:bottom w:val="none" w:sz="0" w:space="0" w:color="auto"/>
            <w:right w:val="none" w:sz="0" w:space="0" w:color="auto"/>
          </w:divBdr>
        </w:div>
        <w:div w:id="1862738181">
          <w:marLeft w:val="0"/>
          <w:marRight w:val="0"/>
          <w:marTop w:val="0"/>
          <w:marBottom w:val="0"/>
          <w:divBdr>
            <w:top w:val="none" w:sz="0" w:space="0" w:color="auto"/>
            <w:left w:val="none" w:sz="0" w:space="0" w:color="auto"/>
            <w:bottom w:val="none" w:sz="0" w:space="0" w:color="auto"/>
            <w:right w:val="none" w:sz="0" w:space="0" w:color="auto"/>
          </w:divBdr>
        </w:div>
        <w:div w:id="1363551215">
          <w:marLeft w:val="0"/>
          <w:marRight w:val="0"/>
          <w:marTop w:val="0"/>
          <w:marBottom w:val="0"/>
          <w:divBdr>
            <w:top w:val="none" w:sz="0" w:space="0" w:color="auto"/>
            <w:left w:val="none" w:sz="0" w:space="0" w:color="auto"/>
            <w:bottom w:val="none" w:sz="0" w:space="0" w:color="auto"/>
            <w:right w:val="none" w:sz="0" w:space="0" w:color="auto"/>
          </w:divBdr>
        </w:div>
        <w:div w:id="406732400">
          <w:marLeft w:val="0"/>
          <w:marRight w:val="0"/>
          <w:marTop w:val="0"/>
          <w:marBottom w:val="0"/>
          <w:divBdr>
            <w:top w:val="none" w:sz="0" w:space="0" w:color="auto"/>
            <w:left w:val="none" w:sz="0" w:space="0" w:color="auto"/>
            <w:bottom w:val="none" w:sz="0" w:space="0" w:color="auto"/>
            <w:right w:val="none" w:sz="0" w:space="0" w:color="auto"/>
          </w:divBdr>
        </w:div>
        <w:div w:id="1801992850">
          <w:marLeft w:val="0"/>
          <w:marRight w:val="0"/>
          <w:marTop w:val="0"/>
          <w:marBottom w:val="0"/>
          <w:divBdr>
            <w:top w:val="none" w:sz="0" w:space="0" w:color="auto"/>
            <w:left w:val="none" w:sz="0" w:space="0" w:color="auto"/>
            <w:bottom w:val="none" w:sz="0" w:space="0" w:color="auto"/>
            <w:right w:val="none" w:sz="0" w:space="0" w:color="auto"/>
          </w:divBdr>
        </w:div>
        <w:div w:id="358699165">
          <w:marLeft w:val="0"/>
          <w:marRight w:val="0"/>
          <w:marTop w:val="0"/>
          <w:marBottom w:val="0"/>
          <w:divBdr>
            <w:top w:val="none" w:sz="0" w:space="0" w:color="auto"/>
            <w:left w:val="none" w:sz="0" w:space="0" w:color="auto"/>
            <w:bottom w:val="none" w:sz="0" w:space="0" w:color="auto"/>
            <w:right w:val="none" w:sz="0" w:space="0" w:color="auto"/>
          </w:divBdr>
        </w:div>
        <w:div w:id="612589938">
          <w:marLeft w:val="0"/>
          <w:marRight w:val="0"/>
          <w:marTop w:val="0"/>
          <w:marBottom w:val="0"/>
          <w:divBdr>
            <w:top w:val="none" w:sz="0" w:space="0" w:color="auto"/>
            <w:left w:val="none" w:sz="0" w:space="0" w:color="auto"/>
            <w:bottom w:val="none" w:sz="0" w:space="0" w:color="auto"/>
            <w:right w:val="none" w:sz="0" w:space="0" w:color="auto"/>
          </w:divBdr>
        </w:div>
        <w:div w:id="133377938">
          <w:marLeft w:val="0"/>
          <w:marRight w:val="0"/>
          <w:marTop w:val="0"/>
          <w:marBottom w:val="0"/>
          <w:divBdr>
            <w:top w:val="none" w:sz="0" w:space="0" w:color="auto"/>
            <w:left w:val="none" w:sz="0" w:space="0" w:color="auto"/>
            <w:bottom w:val="none" w:sz="0" w:space="0" w:color="auto"/>
            <w:right w:val="none" w:sz="0" w:space="0" w:color="auto"/>
          </w:divBdr>
        </w:div>
        <w:div w:id="65887161">
          <w:marLeft w:val="0"/>
          <w:marRight w:val="0"/>
          <w:marTop w:val="0"/>
          <w:marBottom w:val="0"/>
          <w:divBdr>
            <w:top w:val="none" w:sz="0" w:space="0" w:color="auto"/>
            <w:left w:val="none" w:sz="0" w:space="0" w:color="auto"/>
            <w:bottom w:val="none" w:sz="0" w:space="0" w:color="auto"/>
            <w:right w:val="none" w:sz="0" w:space="0" w:color="auto"/>
          </w:divBdr>
        </w:div>
        <w:div w:id="1869181147">
          <w:marLeft w:val="0"/>
          <w:marRight w:val="0"/>
          <w:marTop w:val="0"/>
          <w:marBottom w:val="0"/>
          <w:divBdr>
            <w:top w:val="none" w:sz="0" w:space="0" w:color="auto"/>
            <w:left w:val="none" w:sz="0" w:space="0" w:color="auto"/>
            <w:bottom w:val="none" w:sz="0" w:space="0" w:color="auto"/>
            <w:right w:val="none" w:sz="0" w:space="0" w:color="auto"/>
          </w:divBdr>
        </w:div>
        <w:div w:id="552275906">
          <w:marLeft w:val="0"/>
          <w:marRight w:val="0"/>
          <w:marTop w:val="0"/>
          <w:marBottom w:val="0"/>
          <w:divBdr>
            <w:top w:val="none" w:sz="0" w:space="0" w:color="auto"/>
            <w:left w:val="none" w:sz="0" w:space="0" w:color="auto"/>
            <w:bottom w:val="none" w:sz="0" w:space="0" w:color="auto"/>
            <w:right w:val="none" w:sz="0" w:space="0" w:color="auto"/>
          </w:divBdr>
        </w:div>
        <w:div w:id="237135066">
          <w:marLeft w:val="0"/>
          <w:marRight w:val="0"/>
          <w:marTop w:val="0"/>
          <w:marBottom w:val="0"/>
          <w:divBdr>
            <w:top w:val="none" w:sz="0" w:space="0" w:color="auto"/>
            <w:left w:val="none" w:sz="0" w:space="0" w:color="auto"/>
            <w:bottom w:val="none" w:sz="0" w:space="0" w:color="auto"/>
            <w:right w:val="none" w:sz="0" w:space="0" w:color="auto"/>
          </w:divBdr>
        </w:div>
        <w:div w:id="578563458">
          <w:marLeft w:val="0"/>
          <w:marRight w:val="0"/>
          <w:marTop w:val="0"/>
          <w:marBottom w:val="0"/>
          <w:divBdr>
            <w:top w:val="none" w:sz="0" w:space="0" w:color="auto"/>
            <w:left w:val="none" w:sz="0" w:space="0" w:color="auto"/>
            <w:bottom w:val="none" w:sz="0" w:space="0" w:color="auto"/>
            <w:right w:val="none" w:sz="0" w:space="0" w:color="auto"/>
          </w:divBdr>
        </w:div>
        <w:div w:id="1719276137">
          <w:marLeft w:val="0"/>
          <w:marRight w:val="0"/>
          <w:marTop w:val="0"/>
          <w:marBottom w:val="0"/>
          <w:divBdr>
            <w:top w:val="none" w:sz="0" w:space="0" w:color="auto"/>
            <w:left w:val="none" w:sz="0" w:space="0" w:color="auto"/>
            <w:bottom w:val="none" w:sz="0" w:space="0" w:color="auto"/>
            <w:right w:val="none" w:sz="0" w:space="0" w:color="auto"/>
          </w:divBdr>
        </w:div>
        <w:div w:id="1256668517">
          <w:marLeft w:val="0"/>
          <w:marRight w:val="0"/>
          <w:marTop w:val="0"/>
          <w:marBottom w:val="0"/>
          <w:divBdr>
            <w:top w:val="none" w:sz="0" w:space="0" w:color="auto"/>
            <w:left w:val="none" w:sz="0" w:space="0" w:color="auto"/>
            <w:bottom w:val="none" w:sz="0" w:space="0" w:color="auto"/>
            <w:right w:val="none" w:sz="0" w:space="0" w:color="auto"/>
          </w:divBdr>
        </w:div>
        <w:div w:id="1526944902">
          <w:marLeft w:val="0"/>
          <w:marRight w:val="0"/>
          <w:marTop w:val="0"/>
          <w:marBottom w:val="0"/>
          <w:divBdr>
            <w:top w:val="none" w:sz="0" w:space="0" w:color="auto"/>
            <w:left w:val="none" w:sz="0" w:space="0" w:color="auto"/>
            <w:bottom w:val="none" w:sz="0" w:space="0" w:color="auto"/>
            <w:right w:val="none" w:sz="0" w:space="0" w:color="auto"/>
          </w:divBdr>
        </w:div>
        <w:div w:id="1131749548">
          <w:marLeft w:val="0"/>
          <w:marRight w:val="0"/>
          <w:marTop w:val="0"/>
          <w:marBottom w:val="0"/>
          <w:divBdr>
            <w:top w:val="none" w:sz="0" w:space="0" w:color="auto"/>
            <w:left w:val="none" w:sz="0" w:space="0" w:color="auto"/>
            <w:bottom w:val="none" w:sz="0" w:space="0" w:color="auto"/>
            <w:right w:val="none" w:sz="0" w:space="0" w:color="auto"/>
          </w:divBdr>
        </w:div>
        <w:div w:id="2118984809">
          <w:marLeft w:val="0"/>
          <w:marRight w:val="0"/>
          <w:marTop w:val="0"/>
          <w:marBottom w:val="0"/>
          <w:divBdr>
            <w:top w:val="none" w:sz="0" w:space="0" w:color="auto"/>
            <w:left w:val="none" w:sz="0" w:space="0" w:color="auto"/>
            <w:bottom w:val="none" w:sz="0" w:space="0" w:color="auto"/>
            <w:right w:val="none" w:sz="0" w:space="0" w:color="auto"/>
          </w:divBdr>
        </w:div>
        <w:div w:id="1656910712">
          <w:marLeft w:val="0"/>
          <w:marRight w:val="0"/>
          <w:marTop w:val="0"/>
          <w:marBottom w:val="0"/>
          <w:divBdr>
            <w:top w:val="none" w:sz="0" w:space="0" w:color="auto"/>
            <w:left w:val="none" w:sz="0" w:space="0" w:color="auto"/>
            <w:bottom w:val="none" w:sz="0" w:space="0" w:color="auto"/>
            <w:right w:val="none" w:sz="0" w:space="0" w:color="auto"/>
          </w:divBdr>
        </w:div>
        <w:div w:id="1594053258">
          <w:marLeft w:val="0"/>
          <w:marRight w:val="0"/>
          <w:marTop w:val="0"/>
          <w:marBottom w:val="0"/>
          <w:divBdr>
            <w:top w:val="none" w:sz="0" w:space="0" w:color="auto"/>
            <w:left w:val="none" w:sz="0" w:space="0" w:color="auto"/>
            <w:bottom w:val="none" w:sz="0" w:space="0" w:color="auto"/>
            <w:right w:val="none" w:sz="0" w:space="0" w:color="auto"/>
          </w:divBdr>
        </w:div>
        <w:div w:id="690256063">
          <w:marLeft w:val="0"/>
          <w:marRight w:val="0"/>
          <w:marTop w:val="0"/>
          <w:marBottom w:val="0"/>
          <w:divBdr>
            <w:top w:val="none" w:sz="0" w:space="0" w:color="auto"/>
            <w:left w:val="none" w:sz="0" w:space="0" w:color="auto"/>
            <w:bottom w:val="none" w:sz="0" w:space="0" w:color="auto"/>
            <w:right w:val="none" w:sz="0" w:space="0" w:color="auto"/>
          </w:divBdr>
        </w:div>
        <w:div w:id="1405950783">
          <w:marLeft w:val="0"/>
          <w:marRight w:val="0"/>
          <w:marTop w:val="0"/>
          <w:marBottom w:val="0"/>
          <w:divBdr>
            <w:top w:val="none" w:sz="0" w:space="0" w:color="auto"/>
            <w:left w:val="none" w:sz="0" w:space="0" w:color="auto"/>
            <w:bottom w:val="none" w:sz="0" w:space="0" w:color="auto"/>
            <w:right w:val="none" w:sz="0" w:space="0" w:color="auto"/>
          </w:divBdr>
        </w:div>
        <w:div w:id="1734084114">
          <w:marLeft w:val="0"/>
          <w:marRight w:val="0"/>
          <w:marTop w:val="0"/>
          <w:marBottom w:val="0"/>
          <w:divBdr>
            <w:top w:val="none" w:sz="0" w:space="0" w:color="auto"/>
            <w:left w:val="none" w:sz="0" w:space="0" w:color="auto"/>
            <w:bottom w:val="none" w:sz="0" w:space="0" w:color="auto"/>
            <w:right w:val="none" w:sz="0" w:space="0" w:color="auto"/>
          </w:divBdr>
        </w:div>
        <w:div w:id="1898737365">
          <w:marLeft w:val="0"/>
          <w:marRight w:val="0"/>
          <w:marTop w:val="0"/>
          <w:marBottom w:val="0"/>
          <w:divBdr>
            <w:top w:val="none" w:sz="0" w:space="0" w:color="auto"/>
            <w:left w:val="none" w:sz="0" w:space="0" w:color="auto"/>
            <w:bottom w:val="none" w:sz="0" w:space="0" w:color="auto"/>
            <w:right w:val="none" w:sz="0" w:space="0" w:color="auto"/>
          </w:divBdr>
        </w:div>
        <w:div w:id="92559033">
          <w:marLeft w:val="0"/>
          <w:marRight w:val="0"/>
          <w:marTop w:val="0"/>
          <w:marBottom w:val="0"/>
          <w:divBdr>
            <w:top w:val="none" w:sz="0" w:space="0" w:color="auto"/>
            <w:left w:val="none" w:sz="0" w:space="0" w:color="auto"/>
            <w:bottom w:val="none" w:sz="0" w:space="0" w:color="auto"/>
            <w:right w:val="none" w:sz="0" w:space="0" w:color="auto"/>
          </w:divBdr>
        </w:div>
        <w:div w:id="715619190">
          <w:marLeft w:val="0"/>
          <w:marRight w:val="0"/>
          <w:marTop w:val="0"/>
          <w:marBottom w:val="0"/>
          <w:divBdr>
            <w:top w:val="none" w:sz="0" w:space="0" w:color="auto"/>
            <w:left w:val="none" w:sz="0" w:space="0" w:color="auto"/>
            <w:bottom w:val="none" w:sz="0" w:space="0" w:color="auto"/>
            <w:right w:val="none" w:sz="0" w:space="0" w:color="auto"/>
          </w:divBdr>
        </w:div>
        <w:div w:id="2079399023">
          <w:marLeft w:val="0"/>
          <w:marRight w:val="0"/>
          <w:marTop w:val="0"/>
          <w:marBottom w:val="0"/>
          <w:divBdr>
            <w:top w:val="none" w:sz="0" w:space="0" w:color="auto"/>
            <w:left w:val="none" w:sz="0" w:space="0" w:color="auto"/>
            <w:bottom w:val="none" w:sz="0" w:space="0" w:color="auto"/>
            <w:right w:val="none" w:sz="0" w:space="0" w:color="auto"/>
          </w:divBdr>
        </w:div>
        <w:div w:id="1407872901">
          <w:marLeft w:val="0"/>
          <w:marRight w:val="0"/>
          <w:marTop w:val="0"/>
          <w:marBottom w:val="0"/>
          <w:divBdr>
            <w:top w:val="none" w:sz="0" w:space="0" w:color="auto"/>
            <w:left w:val="none" w:sz="0" w:space="0" w:color="auto"/>
            <w:bottom w:val="none" w:sz="0" w:space="0" w:color="auto"/>
            <w:right w:val="none" w:sz="0" w:space="0" w:color="auto"/>
          </w:divBdr>
        </w:div>
        <w:div w:id="2000496476">
          <w:marLeft w:val="0"/>
          <w:marRight w:val="0"/>
          <w:marTop w:val="0"/>
          <w:marBottom w:val="0"/>
          <w:divBdr>
            <w:top w:val="none" w:sz="0" w:space="0" w:color="auto"/>
            <w:left w:val="none" w:sz="0" w:space="0" w:color="auto"/>
            <w:bottom w:val="none" w:sz="0" w:space="0" w:color="auto"/>
            <w:right w:val="none" w:sz="0" w:space="0" w:color="auto"/>
          </w:divBdr>
        </w:div>
        <w:div w:id="233900467">
          <w:marLeft w:val="0"/>
          <w:marRight w:val="0"/>
          <w:marTop w:val="0"/>
          <w:marBottom w:val="0"/>
          <w:divBdr>
            <w:top w:val="none" w:sz="0" w:space="0" w:color="auto"/>
            <w:left w:val="none" w:sz="0" w:space="0" w:color="auto"/>
            <w:bottom w:val="none" w:sz="0" w:space="0" w:color="auto"/>
            <w:right w:val="none" w:sz="0" w:space="0" w:color="auto"/>
          </w:divBdr>
        </w:div>
        <w:div w:id="611668884">
          <w:marLeft w:val="0"/>
          <w:marRight w:val="0"/>
          <w:marTop w:val="0"/>
          <w:marBottom w:val="0"/>
          <w:divBdr>
            <w:top w:val="none" w:sz="0" w:space="0" w:color="auto"/>
            <w:left w:val="none" w:sz="0" w:space="0" w:color="auto"/>
            <w:bottom w:val="none" w:sz="0" w:space="0" w:color="auto"/>
            <w:right w:val="none" w:sz="0" w:space="0" w:color="auto"/>
          </w:divBdr>
        </w:div>
        <w:div w:id="1877542520">
          <w:marLeft w:val="0"/>
          <w:marRight w:val="0"/>
          <w:marTop w:val="0"/>
          <w:marBottom w:val="0"/>
          <w:divBdr>
            <w:top w:val="none" w:sz="0" w:space="0" w:color="auto"/>
            <w:left w:val="none" w:sz="0" w:space="0" w:color="auto"/>
            <w:bottom w:val="none" w:sz="0" w:space="0" w:color="auto"/>
            <w:right w:val="none" w:sz="0" w:space="0" w:color="auto"/>
          </w:divBdr>
        </w:div>
        <w:div w:id="591546940">
          <w:marLeft w:val="0"/>
          <w:marRight w:val="0"/>
          <w:marTop w:val="0"/>
          <w:marBottom w:val="0"/>
          <w:divBdr>
            <w:top w:val="none" w:sz="0" w:space="0" w:color="auto"/>
            <w:left w:val="none" w:sz="0" w:space="0" w:color="auto"/>
            <w:bottom w:val="none" w:sz="0" w:space="0" w:color="auto"/>
            <w:right w:val="none" w:sz="0" w:space="0" w:color="auto"/>
          </w:divBdr>
        </w:div>
        <w:div w:id="258294663">
          <w:marLeft w:val="0"/>
          <w:marRight w:val="0"/>
          <w:marTop w:val="0"/>
          <w:marBottom w:val="0"/>
          <w:divBdr>
            <w:top w:val="none" w:sz="0" w:space="0" w:color="auto"/>
            <w:left w:val="none" w:sz="0" w:space="0" w:color="auto"/>
            <w:bottom w:val="none" w:sz="0" w:space="0" w:color="auto"/>
            <w:right w:val="none" w:sz="0" w:space="0" w:color="auto"/>
          </w:divBdr>
        </w:div>
        <w:div w:id="455635337">
          <w:marLeft w:val="0"/>
          <w:marRight w:val="0"/>
          <w:marTop w:val="0"/>
          <w:marBottom w:val="0"/>
          <w:divBdr>
            <w:top w:val="none" w:sz="0" w:space="0" w:color="auto"/>
            <w:left w:val="none" w:sz="0" w:space="0" w:color="auto"/>
            <w:bottom w:val="none" w:sz="0" w:space="0" w:color="auto"/>
            <w:right w:val="none" w:sz="0" w:space="0" w:color="auto"/>
          </w:divBdr>
        </w:div>
        <w:div w:id="950628602">
          <w:marLeft w:val="0"/>
          <w:marRight w:val="0"/>
          <w:marTop w:val="0"/>
          <w:marBottom w:val="0"/>
          <w:divBdr>
            <w:top w:val="none" w:sz="0" w:space="0" w:color="auto"/>
            <w:left w:val="none" w:sz="0" w:space="0" w:color="auto"/>
            <w:bottom w:val="none" w:sz="0" w:space="0" w:color="auto"/>
            <w:right w:val="none" w:sz="0" w:space="0" w:color="auto"/>
          </w:divBdr>
        </w:div>
        <w:div w:id="1602028882">
          <w:marLeft w:val="0"/>
          <w:marRight w:val="0"/>
          <w:marTop w:val="0"/>
          <w:marBottom w:val="0"/>
          <w:divBdr>
            <w:top w:val="none" w:sz="0" w:space="0" w:color="auto"/>
            <w:left w:val="none" w:sz="0" w:space="0" w:color="auto"/>
            <w:bottom w:val="none" w:sz="0" w:space="0" w:color="auto"/>
            <w:right w:val="none" w:sz="0" w:space="0" w:color="auto"/>
          </w:divBdr>
        </w:div>
        <w:div w:id="432285749">
          <w:marLeft w:val="0"/>
          <w:marRight w:val="0"/>
          <w:marTop w:val="0"/>
          <w:marBottom w:val="0"/>
          <w:divBdr>
            <w:top w:val="none" w:sz="0" w:space="0" w:color="auto"/>
            <w:left w:val="none" w:sz="0" w:space="0" w:color="auto"/>
            <w:bottom w:val="none" w:sz="0" w:space="0" w:color="auto"/>
            <w:right w:val="none" w:sz="0" w:space="0" w:color="auto"/>
          </w:divBdr>
        </w:div>
        <w:div w:id="400834384">
          <w:marLeft w:val="0"/>
          <w:marRight w:val="0"/>
          <w:marTop w:val="0"/>
          <w:marBottom w:val="0"/>
          <w:divBdr>
            <w:top w:val="none" w:sz="0" w:space="0" w:color="auto"/>
            <w:left w:val="none" w:sz="0" w:space="0" w:color="auto"/>
            <w:bottom w:val="none" w:sz="0" w:space="0" w:color="auto"/>
            <w:right w:val="none" w:sz="0" w:space="0" w:color="auto"/>
          </w:divBdr>
        </w:div>
        <w:div w:id="178587562">
          <w:marLeft w:val="0"/>
          <w:marRight w:val="0"/>
          <w:marTop w:val="0"/>
          <w:marBottom w:val="0"/>
          <w:divBdr>
            <w:top w:val="none" w:sz="0" w:space="0" w:color="auto"/>
            <w:left w:val="none" w:sz="0" w:space="0" w:color="auto"/>
            <w:bottom w:val="none" w:sz="0" w:space="0" w:color="auto"/>
            <w:right w:val="none" w:sz="0" w:space="0" w:color="auto"/>
          </w:divBdr>
        </w:div>
        <w:div w:id="327952317">
          <w:marLeft w:val="0"/>
          <w:marRight w:val="0"/>
          <w:marTop w:val="0"/>
          <w:marBottom w:val="0"/>
          <w:divBdr>
            <w:top w:val="none" w:sz="0" w:space="0" w:color="auto"/>
            <w:left w:val="none" w:sz="0" w:space="0" w:color="auto"/>
            <w:bottom w:val="none" w:sz="0" w:space="0" w:color="auto"/>
            <w:right w:val="none" w:sz="0" w:space="0" w:color="auto"/>
          </w:divBdr>
        </w:div>
        <w:div w:id="228153021">
          <w:marLeft w:val="0"/>
          <w:marRight w:val="0"/>
          <w:marTop w:val="0"/>
          <w:marBottom w:val="0"/>
          <w:divBdr>
            <w:top w:val="none" w:sz="0" w:space="0" w:color="auto"/>
            <w:left w:val="none" w:sz="0" w:space="0" w:color="auto"/>
            <w:bottom w:val="none" w:sz="0" w:space="0" w:color="auto"/>
            <w:right w:val="none" w:sz="0" w:space="0" w:color="auto"/>
          </w:divBdr>
        </w:div>
        <w:div w:id="730082050">
          <w:marLeft w:val="0"/>
          <w:marRight w:val="0"/>
          <w:marTop w:val="0"/>
          <w:marBottom w:val="0"/>
          <w:divBdr>
            <w:top w:val="none" w:sz="0" w:space="0" w:color="auto"/>
            <w:left w:val="none" w:sz="0" w:space="0" w:color="auto"/>
            <w:bottom w:val="none" w:sz="0" w:space="0" w:color="auto"/>
            <w:right w:val="none" w:sz="0" w:space="0" w:color="auto"/>
          </w:divBdr>
        </w:div>
        <w:div w:id="2063476812">
          <w:marLeft w:val="0"/>
          <w:marRight w:val="0"/>
          <w:marTop w:val="0"/>
          <w:marBottom w:val="0"/>
          <w:divBdr>
            <w:top w:val="none" w:sz="0" w:space="0" w:color="auto"/>
            <w:left w:val="none" w:sz="0" w:space="0" w:color="auto"/>
            <w:bottom w:val="none" w:sz="0" w:space="0" w:color="auto"/>
            <w:right w:val="none" w:sz="0" w:space="0" w:color="auto"/>
          </w:divBdr>
        </w:div>
        <w:div w:id="1861701248">
          <w:marLeft w:val="0"/>
          <w:marRight w:val="0"/>
          <w:marTop w:val="0"/>
          <w:marBottom w:val="0"/>
          <w:divBdr>
            <w:top w:val="none" w:sz="0" w:space="0" w:color="auto"/>
            <w:left w:val="none" w:sz="0" w:space="0" w:color="auto"/>
            <w:bottom w:val="none" w:sz="0" w:space="0" w:color="auto"/>
            <w:right w:val="none" w:sz="0" w:space="0" w:color="auto"/>
          </w:divBdr>
        </w:div>
        <w:div w:id="467287896">
          <w:marLeft w:val="0"/>
          <w:marRight w:val="0"/>
          <w:marTop w:val="0"/>
          <w:marBottom w:val="0"/>
          <w:divBdr>
            <w:top w:val="none" w:sz="0" w:space="0" w:color="auto"/>
            <w:left w:val="none" w:sz="0" w:space="0" w:color="auto"/>
            <w:bottom w:val="none" w:sz="0" w:space="0" w:color="auto"/>
            <w:right w:val="none" w:sz="0" w:space="0" w:color="auto"/>
          </w:divBdr>
        </w:div>
        <w:div w:id="763306242">
          <w:marLeft w:val="0"/>
          <w:marRight w:val="0"/>
          <w:marTop w:val="0"/>
          <w:marBottom w:val="0"/>
          <w:divBdr>
            <w:top w:val="none" w:sz="0" w:space="0" w:color="auto"/>
            <w:left w:val="none" w:sz="0" w:space="0" w:color="auto"/>
            <w:bottom w:val="none" w:sz="0" w:space="0" w:color="auto"/>
            <w:right w:val="none" w:sz="0" w:space="0" w:color="auto"/>
          </w:divBdr>
        </w:div>
        <w:div w:id="1523201813">
          <w:marLeft w:val="0"/>
          <w:marRight w:val="0"/>
          <w:marTop w:val="0"/>
          <w:marBottom w:val="0"/>
          <w:divBdr>
            <w:top w:val="none" w:sz="0" w:space="0" w:color="auto"/>
            <w:left w:val="none" w:sz="0" w:space="0" w:color="auto"/>
            <w:bottom w:val="none" w:sz="0" w:space="0" w:color="auto"/>
            <w:right w:val="none" w:sz="0" w:space="0" w:color="auto"/>
          </w:divBdr>
        </w:div>
        <w:div w:id="733550198">
          <w:marLeft w:val="0"/>
          <w:marRight w:val="0"/>
          <w:marTop w:val="0"/>
          <w:marBottom w:val="0"/>
          <w:divBdr>
            <w:top w:val="none" w:sz="0" w:space="0" w:color="auto"/>
            <w:left w:val="none" w:sz="0" w:space="0" w:color="auto"/>
            <w:bottom w:val="none" w:sz="0" w:space="0" w:color="auto"/>
            <w:right w:val="none" w:sz="0" w:space="0" w:color="auto"/>
          </w:divBdr>
        </w:div>
        <w:div w:id="1026294879">
          <w:marLeft w:val="0"/>
          <w:marRight w:val="0"/>
          <w:marTop w:val="0"/>
          <w:marBottom w:val="0"/>
          <w:divBdr>
            <w:top w:val="none" w:sz="0" w:space="0" w:color="auto"/>
            <w:left w:val="none" w:sz="0" w:space="0" w:color="auto"/>
            <w:bottom w:val="none" w:sz="0" w:space="0" w:color="auto"/>
            <w:right w:val="none" w:sz="0" w:space="0" w:color="auto"/>
          </w:divBdr>
        </w:div>
        <w:div w:id="1114055192">
          <w:marLeft w:val="0"/>
          <w:marRight w:val="0"/>
          <w:marTop w:val="0"/>
          <w:marBottom w:val="0"/>
          <w:divBdr>
            <w:top w:val="none" w:sz="0" w:space="0" w:color="auto"/>
            <w:left w:val="none" w:sz="0" w:space="0" w:color="auto"/>
            <w:bottom w:val="none" w:sz="0" w:space="0" w:color="auto"/>
            <w:right w:val="none" w:sz="0" w:space="0" w:color="auto"/>
          </w:divBdr>
        </w:div>
        <w:div w:id="384835251">
          <w:marLeft w:val="0"/>
          <w:marRight w:val="0"/>
          <w:marTop w:val="0"/>
          <w:marBottom w:val="0"/>
          <w:divBdr>
            <w:top w:val="none" w:sz="0" w:space="0" w:color="auto"/>
            <w:left w:val="none" w:sz="0" w:space="0" w:color="auto"/>
            <w:bottom w:val="none" w:sz="0" w:space="0" w:color="auto"/>
            <w:right w:val="none" w:sz="0" w:space="0" w:color="auto"/>
          </w:divBdr>
        </w:div>
        <w:div w:id="960919067">
          <w:marLeft w:val="0"/>
          <w:marRight w:val="0"/>
          <w:marTop w:val="0"/>
          <w:marBottom w:val="0"/>
          <w:divBdr>
            <w:top w:val="none" w:sz="0" w:space="0" w:color="auto"/>
            <w:left w:val="none" w:sz="0" w:space="0" w:color="auto"/>
            <w:bottom w:val="none" w:sz="0" w:space="0" w:color="auto"/>
            <w:right w:val="none" w:sz="0" w:space="0" w:color="auto"/>
          </w:divBdr>
        </w:div>
        <w:div w:id="445082384">
          <w:marLeft w:val="0"/>
          <w:marRight w:val="0"/>
          <w:marTop w:val="0"/>
          <w:marBottom w:val="0"/>
          <w:divBdr>
            <w:top w:val="none" w:sz="0" w:space="0" w:color="auto"/>
            <w:left w:val="none" w:sz="0" w:space="0" w:color="auto"/>
            <w:bottom w:val="none" w:sz="0" w:space="0" w:color="auto"/>
            <w:right w:val="none" w:sz="0" w:space="0" w:color="auto"/>
          </w:divBdr>
        </w:div>
        <w:div w:id="2054769325">
          <w:marLeft w:val="0"/>
          <w:marRight w:val="0"/>
          <w:marTop w:val="0"/>
          <w:marBottom w:val="0"/>
          <w:divBdr>
            <w:top w:val="none" w:sz="0" w:space="0" w:color="auto"/>
            <w:left w:val="none" w:sz="0" w:space="0" w:color="auto"/>
            <w:bottom w:val="none" w:sz="0" w:space="0" w:color="auto"/>
            <w:right w:val="none" w:sz="0" w:space="0" w:color="auto"/>
          </w:divBdr>
        </w:div>
        <w:div w:id="1984655092">
          <w:marLeft w:val="0"/>
          <w:marRight w:val="0"/>
          <w:marTop w:val="0"/>
          <w:marBottom w:val="0"/>
          <w:divBdr>
            <w:top w:val="none" w:sz="0" w:space="0" w:color="auto"/>
            <w:left w:val="none" w:sz="0" w:space="0" w:color="auto"/>
            <w:bottom w:val="none" w:sz="0" w:space="0" w:color="auto"/>
            <w:right w:val="none" w:sz="0" w:space="0" w:color="auto"/>
          </w:divBdr>
        </w:div>
        <w:div w:id="552814899">
          <w:marLeft w:val="0"/>
          <w:marRight w:val="0"/>
          <w:marTop w:val="0"/>
          <w:marBottom w:val="0"/>
          <w:divBdr>
            <w:top w:val="none" w:sz="0" w:space="0" w:color="auto"/>
            <w:left w:val="none" w:sz="0" w:space="0" w:color="auto"/>
            <w:bottom w:val="none" w:sz="0" w:space="0" w:color="auto"/>
            <w:right w:val="none" w:sz="0" w:space="0" w:color="auto"/>
          </w:divBdr>
        </w:div>
        <w:div w:id="1097746344">
          <w:marLeft w:val="0"/>
          <w:marRight w:val="0"/>
          <w:marTop w:val="0"/>
          <w:marBottom w:val="0"/>
          <w:divBdr>
            <w:top w:val="none" w:sz="0" w:space="0" w:color="auto"/>
            <w:left w:val="none" w:sz="0" w:space="0" w:color="auto"/>
            <w:bottom w:val="none" w:sz="0" w:space="0" w:color="auto"/>
            <w:right w:val="none" w:sz="0" w:space="0" w:color="auto"/>
          </w:divBdr>
        </w:div>
        <w:div w:id="627246060">
          <w:marLeft w:val="0"/>
          <w:marRight w:val="0"/>
          <w:marTop w:val="0"/>
          <w:marBottom w:val="0"/>
          <w:divBdr>
            <w:top w:val="none" w:sz="0" w:space="0" w:color="auto"/>
            <w:left w:val="none" w:sz="0" w:space="0" w:color="auto"/>
            <w:bottom w:val="none" w:sz="0" w:space="0" w:color="auto"/>
            <w:right w:val="none" w:sz="0" w:space="0" w:color="auto"/>
          </w:divBdr>
        </w:div>
        <w:div w:id="1976829966">
          <w:marLeft w:val="0"/>
          <w:marRight w:val="0"/>
          <w:marTop w:val="0"/>
          <w:marBottom w:val="0"/>
          <w:divBdr>
            <w:top w:val="none" w:sz="0" w:space="0" w:color="auto"/>
            <w:left w:val="none" w:sz="0" w:space="0" w:color="auto"/>
            <w:bottom w:val="none" w:sz="0" w:space="0" w:color="auto"/>
            <w:right w:val="none" w:sz="0" w:space="0" w:color="auto"/>
          </w:divBdr>
        </w:div>
        <w:div w:id="2038775071">
          <w:marLeft w:val="0"/>
          <w:marRight w:val="0"/>
          <w:marTop w:val="0"/>
          <w:marBottom w:val="0"/>
          <w:divBdr>
            <w:top w:val="none" w:sz="0" w:space="0" w:color="auto"/>
            <w:left w:val="none" w:sz="0" w:space="0" w:color="auto"/>
            <w:bottom w:val="none" w:sz="0" w:space="0" w:color="auto"/>
            <w:right w:val="none" w:sz="0" w:space="0" w:color="auto"/>
          </w:divBdr>
        </w:div>
        <w:div w:id="1966306281">
          <w:marLeft w:val="0"/>
          <w:marRight w:val="0"/>
          <w:marTop w:val="0"/>
          <w:marBottom w:val="0"/>
          <w:divBdr>
            <w:top w:val="none" w:sz="0" w:space="0" w:color="auto"/>
            <w:left w:val="none" w:sz="0" w:space="0" w:color="auto"/>
            <w:bottom w:val="none" w:sz="0" w:space="0" w:color="auto"/>
            <w:right w:val="none" w:sz="0" w:space="0" w:color="auto"/>
          </w:divBdr>
        </w:div>
        <w:div w:id="1672564225">
          <w:marLeft w:val="0"/>
          <w:marRight w:val="0"/>
          <w:marTop w:val="0"/>
          <w:marBottom w:val="0"/>
          <w:divBdr>
            <w:top w:val="none" w:sz="0" w:space="0" w:color="auto"/>
            <w:left w:val="none" w:sz="0" w:space="0" w:color="auto"/>
            <w:bottom w:val="none" w:sz="0" w:space="0" w:color="auto"/>
            <w:right w:val="none" w:sz="0" w:space="0" w:color="auto"/>
          </w:divBdr>
        </w:div>
        <w:div w:id="724107923">
          <w:marLeft w:val="0"/>
          <w:marRight w:val="0"/>
          <w:marTop w:val="0"/>
          <w:marBottom w:val="0"/>
          <w:divBdr>
            <w:top w:val="none" w:sz="0" w:space="0" w:color="auto"/>
            <w:left w:val="none" w:sz="0" w:space="0" w:color="auto"/>
            <w:bottom w:val="none" w:sz="0" w:space="0" w:color="auto"/>
            <w:right w:val="none" w:sz="0" w:space="0" w:color="auto"/>
          </w:divBdr>
        </w:div>
        <w:div w:id="1215507770">
          <w:marLeft w:val="0"/>
          <w:marRight w:val="0"/>
          <w:marTop w:val="0"/>
          <w:marBottom w:val="0"/>
          <w:divBdr>
            <w:top w:val="none" w:sz="0" w:space="0" w:color="auto"/>
            <w:left w:val="none" w:sz="0" w:space="0" w:color="auto"/>
            <w:bottom w:val="none" w:sz="0" w:space="0" w:color="auto"/>
            <w:right w:val="none" w:sz="0" w:space="0" w:color="auto"/>
          </w:divBdr>
        </w:div>
        <w:div w:id="283270139">
          <w:marLeft w:val="0"/>
          <w:marRight w:val="0"/>
          <w:marTop w:val="0"/>
          <w:marBottom w:val="0"/>
          <w:divBdr>
            <w:top w:val="none" w:sz="0" w:space="0" w:color="auto"/>
            <w:left w:val="none" w:sz="0" w:space="0" w:color="auto"/>
            <w:bottom w:val="none" w:sz="0" w:space="0" w:color="auto"/>
            <w:right w:val="none" w:sz="0" w:space="0" w:color="auto"/>
          </w:divBdr>
        </w:div>
        <w:div w:id="1611741691">
          <w:marLeft w:val="0"/>
          <w:marRight w:val="0"/>
          <w:marTop w:val="0"/>
          <w:marBottom w:val="0"/>
          <w:divBdr>
            <w:top w:val="none" w:sz="0" w:space="0" w:color="auto"/>
            <w:left w:val="none" w:sz="0" w:space="0" w:color="auto"/>
            <w:bottom w:val="none" w:sz="0" w:space="0" w:color="auto"/>
            <w:right w:val="none" w:sz="0" w:space="0" w:color="auto"/>
          </w:divBdr>
        </w:div>
        <w:div w:id="2107462586">
          <w:marLeft w:val="0"/>
          <w:marRight w:val="0"/>
          <w:marTop w:val="0"/>
          <w:marBottom w:val="0"/>
          <w:divBdr>
            <w:top w:val="none" w:sz="0" w:space="0" w:color="auto"/>
            <w:left w:val="none" w:sz="0" w:space="0" w:color="auto"/>
            <w:bottom w:val="none" w:sz="0" w:space="0" w:color="auto"/>
            <w:right w:val="none" w:sz="0" w:space="0" w:color="auto"/>
          </w:divBdr>
        </w:div>
        <w:div w:id="722564200">
          <w:marLeft w:val="0"/>
          <w:marRight w:val="0"/>
          <w:marTop w:val="0"/>
          <w:marBottom w:val="0"/>
          <w:divBdr>
            <w:top w:val="none" w:sz="0" w:space="0" w:color="auto"/>
            <w:left w:val="none" w:sz="0" w:space="0" w:color="auto"/>
            <w:bottom w:val="none" w:sz="0" w:space="0" w:color="auto"/>
            <w:right w:val="none" w:sz="0" w:space="0" w:color="auto"/>
          </w:divBdr>
        </w:div>
        <w:div w:id="1956331521">
          <w:marLeft w:val="0"/>
          <w:marRight w:val="0"/>
          <w:marTop w:val="0"/>
          <w:marBottom w:val="0"/>
          <w:divBdr>
            <w:top w:val="none" w:sz="0" w:space="0" w:color="auto"/>
            <w:left w:val="none" w:sz="0" w:space="0" w:color="auto"/>
            <w:bottom w:val="none" w:sz="0" w:space="0" w:color="auto"/>
            <w:right w:val="none" w:sz="0" w:space="0" w:color="auto"/>
          </w:divBdr>
        </w:div>
        <w:div w:id="1970937565">
          <w:marLeft w:val="0"/>
          <w:marRight w:val="0"/>
          <w:marTop w:val="0"/>
          <w:marBottom w:val="0"/>
          <w:divBdr>
            <w:top w:val="none" w:sz="0" w:space="0" w:color="auto"/>
            <w:left w:val="none" w:sz="0" w:space="0" w:color="auto"/>
            <w:bottom w:val="none" w:sz="0" w:space="0" w:color="auto"/>
            <w:right w:val="none" w:sz="0" w:space="0" w:color="auto"/>
          </w:divBdr>
        </w:div>
        <w:div w:id="604845024">
          <w:marLeft w:val="0"/>
          <w:marRight w:val="0"/>
          <w:marTop w:val="0"/>
          <w:marBottom w:val="0"/>
          <w:divBdr>
            <w:top w:val="none" w:sz="0" w:space="0" w:color="auto"/>
            <w:left w:val="none" w:sz="0" w:space="0" w:color="auto"/>
            <w:bottom w:val="none" w:sz="0" w:space="0" w:color="auto"/>
            <w:right w:val="none" w:sz="0" w:space="0" w:color="auto"/>
          </w:divBdr>
        </w:div>
        <w:div w:id="716123741">
          <w:marLeft w:val="0"/>
          <w:marRight w:val="0"/>
          <w:marTop w:val="0"/>
          <w:marBottom w:val="0"/>
          <w:divBdr>
            <w:top w:val="none" w:sz="0" w:space="0" w:color="auto"/>
            <w:left w:val="none" w:sz="0" w:space="0" w:color="auto"/>
            <w:bottom w:val="none" w:sz="0" w:space="0" w:color="auto"/>
            <w:right w:val="none" w:sz="0" w:space="0" w:color="auto"/>
          </w:divBdr>
        </w:div>
        <w:div w:id="1295210387">
          <w:marLeft w:val="0"/>
          <w:marRight w:val="0"/>
          <w:marTop w:val="0"/>
          <w:marBottom w:val="0"/>
          <w:divBdr>
            <w:top w:val="none" w:sz="0" w:space="0" w:color="auto"/>
            <w:left w:val="none" w:sz="0" w:space="0" w:color="auto"/>
            <w:bottom w:val="none" w:sz="0" w:space="0" w:color="auto"/>
            <w:right w:val="none" w:sz="0" w:space="0" w:color="auto"/>
          </w:divBdr>
        </w:div>
        <w:div w:id="1155295436">
          <w:marLeft w:val="0"/>
          <w:marRight w:val="0"/>
          <w:marTop w:val="0"/>
          <w:marBottom w:val="0"/>
          <w:divBdr>
            <w:top w:val="none" w:sz="0" w:space="0" w:color="auto"/>
            <w:left w:val="none" w:sz="0" w:space="0" w:color="auto"/>
            <w:bottom w:val="none" w:sz="0" w:space="0" w:color="auto"/>
            <w:right w:val="none" w:sz="0" w:space="0" w:color="auto"/>
          </w:divBdr>
        </w:div>
        <w:div w:id="2032486447">
          <w:marLeft w:val="0"/>
          <w:marRight w:val="0"/>
          <w:marTop w:val="0"/>
          <w:marBottom w:val="0"/>
          <w:divBdr>
            <w:top w:val="none" w:sz="0" w:space="0" w:color="auto"/>
            <w:left w:val="none" w:sz="0" w:space="0" w:color="auto"/>
            <w:bottom w:val="none" w:sz="0" w:space="0" w:color="auto"/>
            <w:right w:val="none" w:sz="0" w:space="0" w:color="auto"/>
          </w:divBdr>
        </w:div>
        <w:div w:id="1527518431">
          <w:marLeft w:val="0"/>
          <w:marRight w:val="0"/>
          <w:marTop w:val="0"/>
          <w:marBottom w:val="0"/>
          <w:divBdr>
            <w:top w:val="none" w:sz="0" w:space="0" w:color="auto"/>
            <w:left w:val="none" w:sz="0" w:space="0" w:color="auto"/>
            <w:bottom w:val="none" w:sz="0" w:space="0" w:color="auto"/>
            <w:right w:val="none" w:sz="0" w:space="0" w:color="auto"/>
          </w:divBdr>
        </w:div>
        <w:div w:id="1017266753">
          <w:marLeft w:val="0"/>
          <w:marRight w:val="0"/>
          <w:marTop w:val="0"/>
          <w:marBottom w:val="0"/>
          <w:divBdr>
            <w:top w:val="none" w:sz="0" w:space="0" w:color="auto"/>
            <w:left w:val="none" w:sz="0" w:space="0" w:color="auto"/>
            <w:bottom w:val="none" w:sz="0" w:space="0" w:color="auto"/>
            <w:right w:val="none" w:sz="0" w:space="0" w:color="auto"/>
          </w:divBdr>
        </w:div>
        <w:div w:id="1656563587">
          <w:marLeft w:val="0"/>
          <w:marRight w:val="0"/>
          <w:marTop w:val="0"/>
          <w:marBottom w:val="0"/>
          <w:divBdr>
            <w:top w:val="none" w:sz="0" w:space="0" w:color="auto"/>
            <w:left w:val="none" w:sz="0" w:space="0" w:color="auto"/>
            <w:bottom w:val="none" w:sz="0" w:space="0" w:color="auto"/>
            <w:right w:val="none" w:sz="0" w:space="0" w:color="auto"/>
          </w:divBdr>
        </w:div>
        <w:div w:id="1874802057">
          <w:marLeft w:val="0"/>
          <w:marRight w:val="0"/>
          <w:marTop w:val="0"/>
          <w:marBottom w:val="0"/>
          <w:divBdr>
            <w:top w:val="none" w:sz="0" w:space="0" w:color="auto"/>
            <w:left w:val="none" w:sz="0" w:space="0" w:color="auto"/>
            <w:bottom w:val="none" w:sz="0" w:space="0" w:color="auto"/>
            <w:right w:val="none" w:sz="0" w:space="0" w:color="auto"/>
          </w:divBdr>
        </w:div>
        <w:div w:id="1429228631">
          <w:marLeft w:val="0"/>
          <w:marRight w:val="0"/>
          <w:marTop w:val="0"/>
          <w:marBottom w:val="0"/>
          <w:divBdr>
            <w:top w:val="none" w:sz="0" w:space="0" w:color="auto"/>
            <w:left w:val="none" w:sz="0" w:space="0" w:color="auto"/>
            <w:bottom w:val="none" w:sz="0" w:space="0" w:color="auto"/>
            <w:right w:val="none" w:sz="0" w:space="0" w:color="auto"/>
          </w:divBdr>
        </w:div>
        <w:div w:id="958143433">
          <w:marLeft w:val="0"/>
          <w:marRight w:val="0"/>
          <w:marTop w:val="0"/>
          <w:marBottom w:val="0"/>
          <w:divBdr>
            <w:top w:val="none" w:sz="0" w:space="0" w:color="auto"/>
            <w:left w:val="none" w:sz="0" w:space="0" w:color="auto"/>
            <w:bottom w:val="none" w:sz="0" w:space="0" w:color="auto"/>
            <w:right w:val="none" w:sz="0" w:space="0" w:color="auto"/>
          </w:divBdr>
        </w:div>
        <w:div w:id="46491737">
          <w:marLeft w:val="0"/>
          <w:marRight w:val="0"/>
          <w:marTop w:val="0"/>
          <w:marBottom w:val="0"/>
          <w:divBdr>
            <w:top w:val="none" w:sz="0" w:space="0" w:color="auto"/>
            <w:left w:val="none" w:sz="0" w:space="0" w:color="auto"/>
            <w:bottom w:val="none" w:sz="0" w:space="0" w:color="auto"/>
            <w:right w:val="none" w:sz="0" w:space="0" w:color="auto"/>
          </w:divBdr>
        </w:div>
        <w:div w:id="1300915945">
          <w:marLeft w:val="0"/>
          <w:marRight w:val="0"/>
          <w:marTop w:val="0"/>
          <w:marBottom w:val="0"/>
          <w:divBdr>
            <w:top w:val="none" w:sz="0" w:space="0" w:color="auto"/>
            <w:left w:val="none" w:sz="0" w:space="0" w:color="auto"/>
            <w:bottom w:val="none" w:sz="0" w:space="0" w:color="auto"/>
            <w:right w:val="none" w:sz="0" w:space="0" w:color="auto"/>
          </w:divBdr>
        </w:div>
        <w:div w:id="1519586751">
          <w:marLeft w:val="0"/>
          <w:marRight w:val="0"/>
          <w:marTop w:val="0"/>
          <w:marBottom w:val="0"/>
          <w:divBdr>
            <w:top w:val="none" w:sz="0" w:space="0" w:color="auto"/>
            <w:left w:val="none" w:sz="0" w:space="0" w:color="auto"/>
            <w:bottom w:val="none" w:sz="0" w:space="0" w:color="auto"/>
            <w:right w:val="none" w:sz="0" w:space="0" w:color="auto"/>
          </w:divBdr>
        </w:div>
        <w:div w:id="1410418451">
          <w:marLeft w:val="0"/>
          <w:marRight w:val="0"/>
          <w:marTop w:val="0"/>
          <w:marBottom w:val="0"/>
          <w:divBdr>
            <w:top w:val="none" w:sz="0" w:space="0" w:color="auto"/>
            <w:left w:val="none" w:sz="0" w:space="0" w:color="auto"/>
            <w:bottom w:val="none" w:sz="0" w:space="0" w:color="auto"/>
            <w:right w:val="none" w:sz="0" w:space="0" w:color="auto"/>
          </w:divBdr>
        </w:div>
        <w:div w:id="945695806">
          <w:marLeft w:val="0"/>
          <w:marRight w:val="0"/>
          <w:marTop w:val="0"/>
          <w:marBottom w:val="0"/>
          <w:divBdr>
            <w:top w:val="none" w:sz="0" w:space="0" w:color="auto"/>
            <w:left w:val="none" w:sz="0" w:space="0" w:color="auto"/>
            <w:bottom w:val="none" w:sz="0" w:space="0" w:color="auto"/>
            <w:right w:val="none" w:sz="0" w:space="0" w:color="auto"/>
          </w:divBdr>
        </w:div>
        <w:div w:id="1517502131">
          <w:marLeft w:val="0"/>
          <w:marRight w:val="0"/>
          <w:marTop w:val="0"/>
          <w:marBottom w:val="0"/>
          <w:divBdr>
            <w:top w:val="none" w:sz="0" w:space="0" w:color="auto"/>
            <w:left w:val="none" w:sz="0" w:space="0" w:color="auto"/>
            <w:bottom w:val="none" w:sz="0" w:space="0" w:color="auto"/>
            <w:right w:val="none" w:sz="0" w:space="0" w:color="auto"/>
          </w:divBdr>
        </w:div>
        <w:div w:id="1886023377">
          <w:marLeft w:val="0"/>
          <w:marRight w:val="0"/>
          <w:marTop w:val="0"/>
          <w:marBottom w:val="0"/>
          <w:divBdr>
            <w:top w:val="none" w:sz="0" w:space="0" w:color="auto"/>
            <w:left w:val="none" w:sz="0" w:space="0" w:color="auto"/>
            <w:bottom w:val="none" w:sz="0" w:space="0" w:color="auto"/>
            <w:right w:val="none" w:sz="0" w:space="0" w:color="auto"/>
          </w:divBdr>
        </w:div>
        <w:div w:id="1602910428">
          <w:marLeft w:val="0"/>
          <w:marRight w:val="0"/>
          <w:marTop w:val="0"/>
          <w:marBottom w:val="0"/>
          <w:divBdr>
            <w:top w:val="none" w:sz="0" w:space="0" w:color="auto"/>
            <w:left w:val="none" w:sz="0" w:space="0" w:color="auto"/>
            <w:bottom w:val="none" w:sz="0" w:space="0" w:color="auto"/>
            <w:right w:val="none" w:sz="0" w:space="0" w:color="auto"/>
          </w:divBdr>
        </w:div>
        <w:div w:id="1029184862">
          <w:marLeft w:val="0"/>
          <w:marRight w:val="0"/>
          <w:marTop w:val="0"/>
          <w:marBottom w:val="0"/>
          <w:divBdr>
            <w:top w:val="none" w:sz="0" w:space="0" w:color="auto"/>
            <w:left w:val="none" w:sz="0" w:space="0" w:color="auto"/>
            <w:bottom w:val="none" w:sz="0" w:space="0" w:color="auto"/>
            <w:right w:val="none" w:sz="0" w:space="0" w:color="auto"/>
          </w:divBdr>
        </w:div>
        <w:div w:id="668562001">
          <w:marLeft w:val="0"/>
          <w:marRight w:val="0"/>
          <w:marTop w:val="0"/>
          <w:marBottom w:val="0"/>
          <w:divBdr>
            <w:top w:val="none" w:sz="0" w:space="0" w:color="auto"/>
            <w:left w:val="none" w:sz="0" w:space="0" w:color="auto"/>
            <w:bottom w:val="none" w:sz="0" w:space="0" w:color="auto"/>
            <w:right w:val="none" w:sz="0" w:space="0" w:color="auto"/>
          </w:divBdr>
        </w:div>
        <w:div w:id="962035042">
          <w:marLeft w:val="0"/>
          <w:marRight w:val="0"/>
          <w:marTop w:val="0"/>
          <w:marBottom w:val="0"/>
          <w:divBdr>
            <w:top w:val="none" w:sz="0" w:space="0" w:color="auto"/>
            <w:left w:val="none" w:sz="0" w:space="0" w:color="auto"/>
            <w:bottom w:val="none" w:sz="0" w:space="0" w:color="auto"/>
            <w:right w:val="none" w:sz="0" w:space="0" w:color="auto"/>
          </w:divBdr>
        </w:div>
        <w:div w:id="1193887158">
          <w:marLeft w:val="0"/>
          <w:marRight w:val="0"/>
          <w:marTop w:val="0"/>
          <w:marBottom w:val="0"/>
          <w:divBdr>
            <w:top w:val="none" w:sz="0" w:space="0" w:color="auto"/>
            <w:left w:val="none" w:sz="0" w:space="0" w:color="auto"/>
            <w:bottom w:val="none" w:sz="0" w:space="0" w:color="auto"/>
            <w:right w:val="none" w:sz="0" w:space="0" w:color="auto"/>
          </w:divBdr>
        </w:div>
        <w:div w:id="1737320738">
          <w:marLeft w:val="0"/>
          <w:marRight w:val="0"/>
          <w:marTop w:val="0"/>
          <w:marBottom w:val="0"/>
          <w:divBdr>
            <w:top w:val="none" w:sz="0" w:space="0" w:color="auto"/>
            <w:left w:val="none" w:sz="0" w:space="0" w:color="auto"/>
            <w:bottom w:val="none" w:sz="0" w:space="0" w:color="auto"/>
            <w:right w:val="none" w:sz="0" w:space="0" w:color="auto"/>
          </w:divBdr>
        </w:div>
        <w:div w:id="1502432247">
          <w:marLeft w:val="0"/>
          <w:marRight w:val="0"/>
          <w:marTop w:val="0"/>
          <w:marBottom w:val="0"/>
          <w:divBdr>
            <w:top w:val="none" w:sz="0" w:space="0" w:color="auto"/>
            <w:left w:val="none" w:sz="0" w:space="0" w:color="auto"/>
            <w:bottom w:val="none" w:sz="0" w:space="0" w:color="auto"/>
            <w:right w:val="none" w:sz="0" w:space="0" w:color="auto"/>
          </w:divBdr>
        </w:div>
        <w:div w:id="1833721357">
          <w:marLeft w:val="0"/>
          <w:marRight w:val="0"/>
          <w:marTop w:val="0"/>
          <w:marBottom w:val="0"/>
          <w:divBdr>
            <w:top w:val="none" w:sz="0" w:space="0" w:color="auto"/>
            <w:left w:val="none" w:sz="0" w:space="0" w:color="auto"/>
            <w:bottom w:val="none" w:sz="0" w:space="0" w:color="auto"/>
            <w:right w:val="none" w:sz="0" w:space="0" w:color="auto"/>
          </w:divBdr>
        </w:div>
        <w:div w:id="1137262432">
          <w:marLeft w:val="0"/>
          <w:marRight w:val="0"/>
          <w:marTop w:val="0"/>
          <w:marBottom w:val="0"/>
          <w:divBdr>
            <w:top w:val="none" w:sz="0" w:space="0" w:color="auto"/>
            <w:left w:val="none" w:sz="0" w:space="0" w:color="auto"/>
            <w:bottom w:val="none" w:sz="0" w:space="0" w:color="auto"/>
            <w:right w:val="none" w:sz="0" w:space="0" w:color="auto"/>
          </w:divBdr>
        </w:div>
        <w:div w:id="1577671259">
          <w:marLeft w:val="0"/>
          <w:marRight w:val="0"/>
          <w:marTop w:val="0"/>
          <w:marBottom w:val="0"/>
          <w:divBdr>
            <w:top w:val="none" w:sz="0" w:space="0" w:color="auto"/>
            <w:left w:val="none" w:sz="0" w:space="0" w:color="auto"/>
            <w:bottom w:val="none" w:sz="0" w:space="0" w:color="auto"/>
            <w:right w:val="none" w:sz="0" w:space="0" w:color="auto"/>
          </w:divBdr>
        </w:div>
        <w:div w:id="1860504210">
          <w:marLeft w:val="0"/>
          <w:marRight w:val="0"/>
          <w:marTop w:val="0"/>
          <w:marBottom w:val="0"/>
          <w:divBdr>
            <w:top w:val="none" w:sz="0" w:space="0" w:color="auto"/>
            <w:left w:val="none" w:sz="0" w:space="0" w:color="auto"/>
            <w:bottom w:val="none" w:sz="0" w:space="0" w:color="auto"/>
            <w:right w:val="none" w:sz="0" w:space="0" w:color="auto"/>
          </w:divBdr>
        </w:div>
        <w:div w:id="75565278">
          <w:marLeft w:val="0"/>
          <w:marRight w:val="0"/>
          <w:marTop w:val="0"/>
          <w:marBottom w:val="0"/>
          <w:divBdr>
            <w:top w:val="none" w:sz="0" w:space="0" w:color="auto"/>
            <w:left w:val="none" w:sz="0" w:space="0" w:color="auto"/>
            <w:bottom w:val="none" w:sz="0" w:space="0" w:color="auto"/>
            <w:right w:val="none" w:sz="0" w:space="0" w:color="auto"/>
          </w:divBdr>
        </w:div>
        <w:div w:id="1022441140">
          <w:marLeft w:val="0"/>
          <w:marRight w:val="0"/>
          <w:marTop w:val="0"/>
          <w:marBottom w:val="0"/>
          <w:divBdr>
            <w:top w:val="none" w:sz="0" w:space="0" w:color="auto"/>
            <w:left w:val="none" w:sz="0" w:space="0" w:color="auto"/>
            <w:bottom w:val="none" w:sz="0" w:space="0" w:color="auto"/>
            <w:right w:val="none" w:sz="0" w:space="0" w:color="auto"/>
          </w:divBdr>
        </w:div>
        <w:div w:id="846137558">
          <w:marLeft w:val="0"/>
          <w:marRight w:val="0"/>
          <w:marTop w:val="0"/>
          <w:marBottom w:val="0"/>
          <w:divBdr>
            <w:top w:val="none" w:sz="0" w:space="0" w:color="auto"/>
            <w:left w:val="none" w:sz="0" w:space="0" w:color="auto"/>
            <w:bottom w:val="none" w:sz="0" w:space="0" w:color="auto"/>
            <w:right w:val="none" w:sz="0" w:space="0" w:color="auto"/>
          </w:divBdr>
        </w:div>
        <w:div w:id="65341423">
          <w:marLeft w:val="0"/>
          <w:marRight w:val="0"/>
          <w:marTop w:val="0"/>
          <w:marBottom w:val="0"/>
          <w:divBdr>
            <w:top w:val="none" w:sz="0" w:space="0" w:color="auto"/>
            <w:left w:val="none" w:sz="0" w:space="0" w:color="auto"/>
            <w:bottom w:val="none" w:sz="0" w:space="0" w:color="auto"/>
            <w:right w:val="none" w:sz="0" w:space="0" w:color="auto"/>
          </w:divBdr>
        </w:div>
        <w:div w:id="1870487335">
          <w:marLeft w:val="0"/>
          <w:marRight w:val="0"/>
          <w:marTop w:val="0"/>
          <w:marBottom w:val="0"/>
          <w:divBdr>
            <w:top w:val="none" w:sz="0" w:space="0" w:color="auto"/>
            <w:left w:val="none" w:sz="0" w:space="0" w:color="auto"/>
            <w:bottom w:val="none" w:sz="0" w:space="0" w:color="auto"/>
            <w:right w:val="none" w:sz="0" w:space="0" w:color="auto"/>
          </w:divBdr>
        </w:div>
        <w:div w:id="192622121">
          <w:marLeft w:val="0"/>
          <w:marRight w:val="0"/>
          <w:marTop w:val="0"/>
          <w:marBottom w:val="0"/>
          <w:divBdr>
            <w:top w:val="none" w:sz="0" w:space="0" w:color="auto"/>
            <w:left w:val="none" w:sz="0" w:space="0" w:color="auto"/>
            <w:bottom w:val="none" w:sz="0" w:space="0" w:color="auto"/>
            <w:right w:val="none" w:sz="0" w:space="0" w:color="auto"/>
          </w:divBdr>
        </w:div>
        <w:div w:id="1712653807">
          <w:marLeft w:val="0"/>
          <w:marRight w:val="0"/>
          <w:marTop w:val="0"/>
          <w:marBottom w:val="0"/>
          <w:divBdr>
            <w:top w:val="none" w:sz="0" w:space="0" w:color="auto"/>
            <w:left w:val="none" w:sz="0" w:space="0" w:color="auto"/>
            <w:bottom w:val="none" w:sz="0" w:space="0" w:color="auto"/>
            <w:right w:val="none" w:sz="0" w:space="0" w:color="auto"/>
          </w:divBdr>
        </w:div>
        <w:div w:id="631254940">
          <w:marLeft w:val="0"/>
          <w:marRight w:val="0"/>
          <w:marTop w:val="0"/>
          <w:marBottom w:val="0"/>
          <w:divBdr>
            <w:top w:val="none" w:sz="0" w:space="0" w:color="auto"/>
            <w:left w:val="none" w:sz="0" w:space="0" w:color="auto"/>
            <w:bottom w:val="none" w:sz="0" w:space="0" w:color="auto"/>
            <w:right w:val="none" w:sz="0" w:space="0" w:color="auto"/>
          </w:divBdr>
        </w:div>
        <w:div w:id="4357957">
          <w:marLeft w:val="0"/>
          <w:marRight w:val="0"/>
          <w:marTop w:val="0"/>
          <w:marBottom w:val="0"/>
          <w:divBdr>
            <w:top w:val="none" w:sz="0" w:space="0" w:color="auto"/>
            <w:left w:val="none" w:sz="0" w:space="0" w:color="auto"/>
            <w:bottom w:val="none" w:sz="0" w:space="0" w:color="auto"/>
            <w:right w:val="none" w:sz="0" w:space="0" w:color="auto"/>
          </w:divBdr>
        </w:div>
        <w:div w:id="651953297">
          <w:marLeft w:val="0"/>
          <w:marRight w:val="0"/>
          <w:marTop w:val="0"/>
          <w:marBottom w:val="0"/>
          <w:divBdr>
            <w:top w:val="none" w:sz="0" w:space="0" w:color="auto"/>
            <w:left w:val="none" w:sz="0" w:space="0" w:color="auto"/>
            <w:bottom w:val="none" w:sz="0" w:space="0" w:color="auto"/>
            <w:right w:val="none" w:sz="0" w:space="0" w:color="auto"/>
          </w:divBdr>
        </w:div>
        <w:div w:id="1138255833">
          <w:marLeft w:val="0"/>
          <w:marRight w:val="0"/>
          <w:marTop w:val="0"/>
          <w:marBottom w:val="0"/>
          <w:divBdr>
            <w:top w:val="none" w:sz="0" w:space="0" w:color="auto"/>
            <w:left w:val="none" w:sz="0" w:space="0" w:color="auto"/>
            <w:bottom w:val="none" w:sz="0" w:space="0" w:color="auto"/>
            <w:right w:val="none" w:sz="0" w:space="0" w:color="auto"/>
          </w:divBdr>
        </w:div>
        <w:div w:id="528299989">
          <w:marLeft w:val="0"/>
          <w:marRight w:val="0"/>
          <w:marTop w:val="0"/>
          <w:marBottom w:val="0"/>
          <w:divBdr>
            <w:top w:val="none" w:sz="0" w:space="0" w:color="auto"/>
            <w:left w:val="none" w:sz="0" w:space="0" w:color="auto"/>
            <w:bottom w:val="none" w:sz="0" w:space="0" w:color="auto"/>
            <w:right w:val="none" w:sz="0" w:space="0" w:color="auto"/>
          </w:divBdr>
        </w:div>
        <w:div w:id="21517725">
          <w:marLeft w:val="0"/>
          <w:marRight w:val="0"/>
          <w:marTop w:val="0"/>
          <w:marBottom w:val="0"/>
          <w:divBdr>
            <w:top w:val="none" w:sz="0" w:space="0" w:color="auto"/>
            <w:left w:val="none" w:sz="0" w:space="0" w:color="auto"/>
            <w:bottom w:val="none" w:sz="0" w:space="0" w:color="auto"/>
            <w:right w:val="none" w:sz="0" w:space="0" w:color="auto"/>
          </w:divBdr>
        </w:div>
        <w:div w:id="343015782">
          <w:marLeft w:val="0"/>
          <w:marRight w:val="0"/>
          <w:marTop w:val="0"/>
          <w:marBottom w:val="0"/>
          <w:divBdr>
            <w:top w:val="none" w:sz="0" w:space="0" w:color="auto"/>
            <w:left w:val="none" w:sz="0" w:space="0" w:color="auto"/>
            <w:bottom w:val="none" w:sz="0" w:space="0" w:color="auto"/>
            <w:right w:val="none" w:sz="0" w:space="0" w:color="auto"/>
          </w:divBdr>
        </w:div>
        <w:div w:id="852577063">
          <w:marLeft w:val="0"/>
          <w:marRight w:val="0"/>
          <w:marTop w:val="0"/>
          <w:marBottom w:val="0"/>
          <w:divBdr>
            <w:top w:val="none" w:sz="0" w:space="0" w:color="auto"/>
            <w:left w:val="none" w:sz="0" w:space="0" w:color="auto"/>
            <w:bottom w:val="none" w:sz="0" w:space="0" w:color="auto"/>
            <w:right w:val="none" w:sz="0" w:space="0" w:color="auto"/>
          </w:divBdr>
        </w:div>
        <w:div w:id="814377140">
          <w:marLeft w:val="0"/>
          <w:marRight w:val="0"/>
          <w:marTop w:val="0"/>
          <w:marBottom w:val="0"/>
          <w:divBdr>
            <w:top w:val="none" w:sz="0" w:space="0" w:color="auto"/>
            <w:left w:val="none" w:sz="0" w:space="0" w:color="auto"/>
            <w:bottom w:val="none" w:sz="0" w:space="0" w:color="auto"/>
            <w:right w:val="none" w:sz="0" w:space="0" w:color="auto"/>
          </w:divBdr>
        </w:div>
        <w:div w:id="2011328119">
          <w:marLeft w:val="0"/>
          <w:marRight w:val="0"/>
          <w:marTop w:val="0"/>
          <w:marBottom w:val="0"/>
          <w:divBdr>
            <w:top w:val="none" w:sz="0" w:space="0" w:color="auto"/>
            <w:left w:val="none" w:sz="0" w:space="0" w:color="auto"/>
            <w:bottom w:val="none" w:sz="0" w:space="0" w:color="auto"/>
            <w:right w:val="none" w:sz="0" w:space="0" w:color="auto"/>
          </w:divBdr>
        </w:div>
        <w:div w:id="1633779709">
          <w:marLeft w:val="0"/>
          <w:marRight w:val="0"/>
          <w:marTop w:val="0"/>
          <w:marBottom w:val="0"/>
          <w:divBdr>
            <w:top w:val="none" w:sz="0" w:space="0" w:color="auto"/>
            <w:left w:val="none" w:sz="0" w:space="0" w:color="auto"/>
            <w:bottom w:val="none" w:sz="0" w:space="0" w:color="auto"/>
            <w:right w:val="none" w:sz="0" w:space="0" w:color="auto"/>
          </w:divBdr>
        </w:div>
        <w:div w:id="738676000">
          <w:marLeft w:val="0"/>
          <w:marRight w:val="0"/>
          <w:marTop w:val="0"/>
          <w:marBottom w:val="0"/>
          <w:divBdr>
            <w:top w:val="none" w:sz="0" w:space="0" w:color="auto"/>
            <w:left w:val="none" w:sz="0" w:space="0" w:color="auto"/>
            <w:bottom w:val="none" w:sz="0" w:space="0" w:color="auto"/>
            <w:right w:val="none" w:sz="0" w:space="0" w:color="auto"/>
          </w:divBdr>
        </w:div>
        <w:div w:id="1513911321">
          <w:marLeft w:val="0"/>
          <w:marRight w:val="0"/>
          <w:marTop w:val="0"/>
          <w:marBottom w:val="0"/>
          <w:divBdr>
            <w:top w:val="none" w:sz="0" w:space="0" w:color="auto"/>
            <w:left w:val="none" w:sz="0" w:space="0" w:color="auto"/>
            <w:bottom w:val="none" w:sz="0" w:space="0" w:color="auto"/>
            <w:right w:val="none" w:sz="0" w:space="0" w:color="auto"/>
          </w:divBdr>
        </w:div>
        <w:div w:id="414937634">
          <w:marLeft w:val="0"/>
          <w:marRight w:val="0"/>
          <w:marTop w:val="0"/>
          <w:marBottom w:val="0"/>
          <w:divBdr>
            <w:top w:val="none" w:sz="0" w:space="0" w:color="auto"/>
            <w:left w:val="none" w:sz="0" w:space="0" w:color="auto"/>
            <w:bottom w:val="none" w:sz="0" w:space="0" w:color="auto"/>
            <w:right w:val="none" w:sz="0" w:space="0" w:color="auto"/>
          </w:divBdr>
        </w:div>
        <w:div w:id="849954412">
          <w:marLeft w:val="0"/>
          <w:marRight w:val="0"/>
          <w:marTop w:val="0"/>
          <w:marBottom w:val="0"/>
          <w:divBdr>
            <w:top w:val="none" w:sz="0" w:space="0" w:color="auto"/>
            <w:left w:val="none" w:sz="0" w:space="0" w:color="auto"/>
            <w:bottom w:val="none" w:sz="0" w:space="0" w:color="auto"/>
            <w:right w:val="none" w:sz="0" w:space="0" w:color="auto"/>
          </w:divBdr>
        </w:div>
        <w:div w:id="817384805">
          <w:marLeft w:val="0"/>
          <w:marRight w:val="0"/>
          <w:marTop w:val="0"/>
          <w:marBottom w:val="0"/>
          <w:divBdr>
            <w:top w:val="none" w:sz="0" w:space="0" w:color="auto"/>
            <w:left w:val="none" w:sz="0" w:space="0" w:color="auto"/>
            <w:bottom w:val="none" w:sz="0" w:space="0" w:color="auto"/>
            <w:right w:val="none" w:sz="0" w:space="0" w:color="auto"/>
          </w:divBdr>
        </w:div>
        <w:div w:id="1306860943">
          <w:marLeft w:val="0"/>
          <w:marRight w:val="0"/>
          <w:marTop w:val="0"/>
          <w:marBottom w:val="0"/>
          <w:divBdr>
            <w:top w:val="none" w:sz="0" w:space="0" w:color="auto"/>
            <w:left w:val="none" w:sz="0" w:space="0" w:color="auto"/>
            <w:bottom w:val="none" w:sz="0" w:space="0" w:color="auto"/>
            <w:right w:val="none" w:sz="0" w:space="0" w:color="auto"/>
          </w:divBdr>
        </w:div>
        <w:div w:id="128204686">
          <w:marLeft w:val="0"/>
          <w:marRight w:val="0"/>
          <w:marTop w:val="0"/>
          <w:marBottom w:val="0"/>
          <w:divBdr>
            <w:top w:val="none" w:sz="0" w:space="0" w:color="auto"/>
            <w:left w:val="none" w:sz="0" w:space="0" w:color="auto"/>
            <w:bottom w:val="none" w:sz="0" w:space="0" w:color="auto"/>
            <w:right w:val="none" w:sz="0" w:space="0" w:color="auto"/>
          </w:divBdr>
        </w:div>
        <w:div w:id="1207446006">
          <w:marLeft w:val="0"/>
          <w:marRight w:val="0"/>
          <w:marTop w:val="0"/>
          <w:marBottom w:val="0"/>
          <w:divBdr>
            <w:top w:val="none" w:sz="0" w:space="0" w:color="auto"/>
            <w:left w:val="none" w:sz="0" w:space="0" w:color="auto"/>
            <w:bottom w:val="none" w:sz="0" w:space="0" w:color="auto"/>
            <w:right w:val="none" w:sz="0" w:space="0" w:color="auto"/>
          </w:divBdr>
        </w:div>
        <w:div w:id="1668364853">
          <w:marLeft w:val="0"/>
          <w:marRight w:val="0"/>
          <w:marTop w:val="0"/>
          <w:marBottom w:val="0"/>
          <w:divBdr>
            <w:top w:val="none" w:sz="0" w:space="0" w:color="auto"/>
            <w:left w:val="none" w:sz="0" w:space="0" w:color="auto"/>
            <w:bottom w:val="none" w:sz="0" w:space="0" w:color="auto"/>
            <w:right w:val="none" w:sz="0" w:space="0" w:color="auto"/>
          </w:divBdr>
        </w:div>
        <w:div w:id="787622305">
          <w:marLeft w:val="0"/>
          <w:marRight w:val="0"/>
          <w:marTop w:val="0"/>
          <w:marBottom w:val="0"/>
          <w:divBdr>
            <w:top w:val="none" w:sz="0" w:space="0" w:color="auto"/>
            <w:left w:val="none" w:sz="0" w:space="0" w:color="auto"/>
            <w:bottom w:val="none" w:sz="0" w:space="0" w:color="auto"/>
            <w:right w:val="none" w:sz="0" w:space="0" w:color="auto"/>
          </w:divBdr>
        </w:div>
        <w:div w:id="268006720">
          <w:marLeft w:val="0"/>
          <w:marRight w:val="0"/>
          <w:marTop w:val="0"/>
          <w:marBottom w:val="0"/>
          <w:divBdr>
            <w:top w:val="none" w:sz="0" w:space="0" w:color="auto"/>
            <w:left w:val="none" w:sz="0" w:space="0" w:color="auto"/>
            <w:bottom w:val="none" w:sz="0" w:space="0" w:color="auto"/>
            <w:right w:val="none" w:sz="0" w:space="0" w:color="auto"/>
          </w:divBdr>
        </w:div>
        <w:div w:id="1446802789">
          <w:marLeft w:val="0"/>
          <w:marRight w:val="0"/>
          <w:marTop w:val="0"/>
          <w:marBottom w:val="0"/>
          <w:divBdr>
            <w:top w:val="none" w:sz="0" w:space="0" w:color="auto"/>
            <w:left w:val="none" w:sz="0" w:space="0" w:color="auto"/>
            <w:bottom w:val="none" w:sz="0" w:space="0" w:color="auto"/>
            <w:right w:val="none" w:sz="0" w:space="0" w:color="auto"/>
          </w:divBdr>
        </w:div>
        <w:div w:id="1559319406">
          <w:marLeft w:val="0"/>
          <w:marRight w:val="0"/>
          <w:marTop w:val="0"/>
          <w:marBottom w:val="0"/>
          <w:divBdr>
            <w:top w:val="none" w:sz="0" w:space="0" w:color="auto"/>
            <w:left w:val="none" w:sz="0" w:space="0" w:color="auto"/>
            <w:bottom w:val="none" w:sz="0" w:space="0" w:color="auto"/>
            <w:right w:val="none" w:sz="0" w:space="0" w:color="auto"/>
          </w:divBdr>
        </w:div>
        <w:div w:id="854538140">
          <w:marLeft w:val="0"/>
          <w:marRight w:val="0"/>
          <w:marTop w:val="0"/>
          <w:marBottom w:val="0"/>
          <w:divBdr>
            <w:top w:val="none" w:sz="0" w:space="0" w:color="auto"/>
            <w:left w:val="none" w:sz="0" w:space="0" w:color="auto"/>
            <w:bottom w:val="none" w:sz="0" w:space="0" w:color="auto"/>
            <w:right w:val="none" w:sz="0" w:space="0" w:color="auto"/>
          </w:divBdr>
        </w:div>
        <w:div w:id="1761947933">
          <w:marLeft w:val="0"/>
          <w:marRight w:val="0"/>
          <w:marTop w:val="0"/>
          <w:marBottom w:val="0"/>
          <w:divBdr>
            <w:top w:val="none" w:sz="0" w:space="0" w:color="auto"/>
            <w:left w:val="none" w:sz="0" w:space="0" w:color="auto"/>
            <w:bottom w:val="none" w:sz="0" w:space="0" w:color="auto"/>
            <w:right w:val="none" w:sz="0" w:space="0" w:color="auto"/>
          </w:divBdr>
        </w:div>
        <w:div w:id="802818283">
          <w:marLeft w:val="0"/>
          <w:marRight w:val="0"/>
          <w:marTop w:val="0"/>
          <w:marBottom w:val="0"/>
          <w:divBdr>
            <w:top w:val="none" w:sz="0" w:space="0" w:color="auto"/>
            <w:left w:val="none" w:sz="0" w:space="0" w:color="auto"/>
            <w:bottom w:val="none" w:sz="0" w:space="0" w:color="auto"/>
            <w:right w:val="none" w:sz="0" w:space="0" w:color="auto"/>
          </w:divBdr>
        </w:div>
        <w:div w:id="823744134">
          <w:marLeft w:val="0"/>
          <w:marRight w:val="0"/>
          <w:marTop w:val="0"/>
          <w:marBottom w:val="0"/>
          <w:divBdr>
            <w:top w:val="none" w:sz="0" w:space="0" w:color="auto"/>
            <w:left w:val="none" w:sz="0" w:space="0" w:color="auto"/>
            <w:bottom w:val="none" w:sz="0" w:space="0" w:color="auto"/>
            <w:right w:val="none" w:sz="0" w:space="0" w:color="auto"/>
          </w:divBdr>
        </w:div>
        <w:div w:id="2038191949">
          <w:marLeft w:val="0"/>
          <w:marRight w:val="0"/>
          <w:marTop w:val="0"/>
          <w:marBottom w:val="0"/>
          <w:divBdr>
            <w:top w:val="none" w:sz="0" w:space="0" w:color="auto"/>
            <w:left w:val="none" w:sz="0" w:space="0" w:color="auto"/>
            <w:bottom w:val="none" w:sz="0" w:space="0" w:color="auto"/>
            <w:right w:val="none" w:sz="0" w:space="0" w:color="auto"/>
          </w:divBdr>
        </w:div>
        <w:div w:id="1369644711">
          <w:marLeft w:val="0"/>
          <w:marRight w:val="0"/>
          <w:marTop w:val="0"/>
          <w:marBottom w:val="0"/>
          <w:divBdr>
            <w:top w:val="none" w:sz="0" w:space="0" w:color="auto"/>
            <w:left w:val="none" w:sz="0" w:space="0" w:color="auto"/>
            <w:bottom w:val="none" w:sz="0" w:space="0" w:color="auto"/>
            <w:right w:val="none" w:sz="0" w:space="0" w:color="auto"/>
          </w:divBdr>
        </w:div>
        <w:div w:id="1947422623">
          <w:marLeft w:val="0"/>
          <w:marRight w:val="0"/>
          <w:marTop w:val="0"/>
          <w:marBottom w:val="0"/>
          <w:divBdr>
            <w:top w:val="none" w:sz="0" w:space="0" w:color="auto"/>
            <w:left w:val="none" w:sz="0" w:space="0" w:color="auto"/>
            <w:bottom w:val="none" w:sz="0" w:space="0" w:color="auto"/>
            <w:right w:val="none" w:sz="0" w:space="0" w:color="auto"/>
          </w:divBdr>
        </w:div>
        <w:div w:id="656572056">
          <w:marLeft w:val="0"/>
          <w:marRight w:val="0"/>
          <w:marTop w:val="0"/>
          <w:marBottom w:val="0"/>
          <w:divBdr>
            <w:top w:val="none" w:sz="0" w:space="0" w:color="auto"/>
            <w:left w:val="none" w:sz="0" w:space="0" w:color="auto"/>
            <w:bottom w:val="none" w:sz="0" w:space="0" w:color="auto"/>
            <w:right w:val="none" w:sz="0" w:space="0" w:color="auto"/>
          </w:divBdr>
        </w:div>
        <w:div w:id="745688559">
          <w:marLeft w:val="0"/>
          <w:marRight w:val="0"/>
          <w:marTop w:val="0"/>
          <w:marBottom w:val="0"/>
          <w:divBdr>
            <w:top w:val="none" w:sz="0" w:space="0" w:color="auto"/>
            <w:left w:val="none" w:sz="0" w:space="0" w:color="auto"/>
            <w:bottom w:val="none" w:sz="0" w:space="0" w:color="auto"/>
            <w:right w:val="none" w:sz="0" w:space="0" w:color="auto"/>
          </w:divBdr>
        </w:div>
        <w:div w:id="2025936001">
          <w:marLeft w:val="0"/>
          <w:marRight w:val="0"/>
          <w:marTop w:val="0"/>
          <w:marBottom w:val="0"/>
          <w:divBdr>
            <w:top w:val="none" w:sz="0" w:space="0" w:color="auto"/>
            <w:left w:val="none" w:sz="0" w:space="0" w:color="auto"/>
            <w:bottom w:val="none" w:sz="0" w:space="0" w:color="auto"/>
            <w:right w:val="none" w:sz="0" w:space="0" w:color="auto"/>
          </w:divBdr>
        </w:div>
        <w:div w:id="2104182090">
          <w:marLeft w:val="0"/>
          <w:marRight w:val="0"/>
          <w:marTop w:val="0"/>
          <w:marBottom w:val="0"/>
          <w:divBdr>
            <w:top w:val="none" w:sz="0" w:space="0" w:color="auto"/>
            <w:left w:val="none" w:sz="0" w:space="0" w:color="auto"/>
            <w:bottom w:val="none" w:sz="0" w:space="0" w:color="auto"/>
            <w:right w:val="none" w:sz="0" w:space="0" w:color="auto"/>
          </w:divBdr>
        </w:div>
        <w:div w:id="1110205211">
          <w:marLeft w:val="0"/>
          <w:marRight w:val="0"/>
          <w:marTop w:val="0"/>
          <w:marBottom w:val="0"/>
          <w:divBdr>
            <w:top w:val="none" w:sz="0" w:space="0" w:color="auto"/>
            <w:left w:val="none" w:sz="0" w:space="0" w:color="auto"/>
            <w:bottom w:val="none" w:sz="0" w:space="0" w:color="auto"/>
            <w:right w:val="none" w:sz="0" w:space="0" w:color="auto"/>
          </w:divBdr>
        </w:div>
        <w:div w:id="983119402">
          <w:marLeft w:val="0"/>
          <w:marRight w:val="0"/>
          <w:marTop w:val="0"/>
          <w:marBottom w:val="0"/>
          <w:divBdr>
            <w:top w:val="none" w:sz="0" w:space="0" w:color="auto"/>
            <w:left w:val="none" w:sz="0" w:space="0" w:color="auto"/>
            <w:bottom w:val="none" w:sz="0" w:space="0" w:color="auto"/>
            <w:right w:val="none" w:sz="0" w:space="0" w:color="auto"/>
          </w:divBdr>
        </w:div>
        <w:div w:id="57285820">
          <w:marLeft w:val="0"/>
          <w:marRight w:val="0"/>
          <w:marTop w:val="0"/>
          <w:marBottom w:val="0"/>
          <w:divBdr>
            <w:top w:val="none" w:sz="0" w:space="0" w:color="auto"/>
            <w:left w:val="none" w:sz="0" w:space="0" w:color="auto"/>
            <w:bottom w:val="none" w:sz="0" w:space="0" w:color="auto"/>
            <w:right w:val="none" w:sz="0" w:space="0" w:color="auto"/>
          </w:divBdr>
        </w:div>
        <w:div w:id="1933853200">
          <w:marLeft w:val="0"/>
          <w:marRight w:val="0"/>
          <w:marTop w:val="0"/>
          <w:marBottom w:val="0"/>
          <w:divBdr>
            <w:top w:val="none" w:sz="0" w:space="0" w:color="auto"/>
            <w:left w:val="none" w:sz="0" w:space="0" w:color="auto"/>
            <w:bottom w:val="none" w:sz="0" w:space="0" w:color="auto"/>
            <w:right w:val="none" w:sz="0" w:space="0" w:color="auto"/>
          </w:divBdr>
        </w:div>
        <w:div w:id="2048597744">
          <w:marLeft w:val="0"/>
          <w:marRight w:val="0"/>
          <w:marTop w:val="0"/>
          <w:marBottom w:val="0"/>
          <w:divBdr>
            <w:top w:val="none" w:sz="0" w:space="0" w:color="auto"/>
            <w:left w:val="none" w:sz="0" w:space="0" w:color="auto"/>
            <w:bottom w:val="none" w:sz="0" w:space="0" w:color="auto"/>
            <w:right w:val="none" w:sz="0" w:space="0" w:color="auto"/>
          </w:divBdr>
        </w:div>
        <w:div w:id="1851680672">
          <w:marLeft w:val="0"/>
          <w:marRight w:val="0"/>
          <w:marTop w:val="0"/>
          <w:marBottom w:val="0"/>
          <w:divBdr>
            <w:top w:val="none" w:sz="0" w:space="0" w:color="auto"/>
            <w:left w:val="none" w:sz="0" w:space="0" w:color="auto"/>
            <w:bottom w:val="none" w:sz="0" w:space="0" w:color="auto"/>
            <w:right w:val="none" w:sz="0" w:space="0" w:color="auto"/>
          </w:divBdr>
        </w:div>
        <w:div w:id="38012875">
          <w:marLeft w:val="0"/>
          <w:marRight w:val="0"/>
          <w:marTop w:val="0"/>
          <w:marBottom w:val="0"/>
          <w:divBdr>
            <w:top w:val="none" w:sz="0" w:space="0" w:color="auto"/>
            <w:left w:val="none" w:sz="0" w:space="0" w:color="auto"/>
            <w:bottom w:val="none" w:sz="0" w:space="0" w:color="auto"/>
            <w:right w:val="none" w:sz="0" w:space="0" w:color="auto"/>
          </w:divBdr>
        </w:div>
        <w:div w:id="49962127">
          <w:marLeft w:val="0"/>
          <w:marRight w:val="0"/>
          <w:marTop w:val="0"/>
          <w:marBottom w:val="0"/>
          <w:divBdr>
            <w:top w:val="none" w:sz="0" w:space="0" w:color="auto"/>
            <w:left w:val="none" w:sz="0" w:space="0" w:color="auto"/>
            <w:bottom w:val="none" w:sz="0" w:space="0" w:color="auto"/>
            <w:right w:val="none" w:sz="0" w:space="0" w:color="auto"/>
          </w:divBdr>
        </w:div>
        <w:div w:id="219706653">
          <w:marLeft w:val="0"/>
          <w:marRight w:val="0"/>
          <w:marTop w:val="0"/>
          <w:marBottom w:val="0"/>
          <w:divBdr>
            <w:top w:val="none" w:sz="0" w:space="0" w:color="auto"/>
            <w:left w:val="none" w:sz="0" w:space="0" w:color="auto"/>
            <w:bottom w:val="none" w:sz="0" w:space="0" w:color="auto"/>
            <w:right w:val="none" w:sz="0" w:space="0" w:color="auto"/>
          </w:divBdr>
        </w:div>
        <w:div w:id="2014724449">
          <w:marLeft w:val="0"/>
          <w:marRight w:val="0"/>
          <w:marTop w:val="0"/>
          <w:marBottom w:val="0"/>
          <w:divBdr>
            <w:top w:val="none" w:sz="0" w:space="0" w:color="auto"/>
            <w:left w:val="none" w:sz="0" w:space="0" w:color="auto"/>
            <w:bottom w:val="none" w:sz="0" w:space="0" w:color="auto"/>
            <w:right w:val="none" w:sz="0" w:space="0" w:color="auto"/>
          </w:divBdr>
        </w:div>
        <w:div w:id="941915009">
          <w:marLeft w:val="0"/>
          <w:marRight w:val="0"/>
          <w:marTop w:val="0"/>
          <w:marBottom w:val="0"/>
          <w:divBdr>
            <w:top w:val="none" w:sz="0" w:space="0" w:color="auto"/>
            <w:left w:val="none" w:sz="0" w:space="0" w:color="auto"/>
            <w:bottom w:val="none" w:sz="0" w:space="0" w:color="auto"/>
            <w:right w:val="none" w:sz="0" w:space="0" w:color="auto"/>
          </w:divBdr>
        </w:div>
        <w:div w:id="874078584">
          <w:marLeft w:val="0"/>
          <w:marRight w:val="0"/>
          <w:marTop w:val="0"/>
          <w:marBottom w:val="0"/>
          <w:divBdr>
            <w:top w:val="none" w:sz="0" w:space="0" w:color="auto"/>
            <w:left w:val="none" w:sz="0" w:space="0" w:color="auto"/>
            <w:bottom w:val="none" w:sz="0" w:space="0" w:color="auto"/>
            <w:right w:val="none" w:sz="0" w:space="0" w:color="auto"/>
          </w:divBdr>
        </w:div>
        <w:div w:id="1371608205">
          <w:marLeft w:val="0"/>
          <w:marRight w:val="0"/>
          <w:marTop w:val="0"/>
          <w:marBottom w:val="0"/>
          <w:divBdr>
            <w:top w:val="none" w:sz="0" w:space="0" w:color="auto"/>
            <w:left w:val="none" w:sz="0" w:space="0" w:color="auto"/>
            <w:bottom w:val="none" w:sz="0" w:space="0" w:color="auto"/>
            <w:right w:val="none" w:sz="0" w:space="0" w:color="auto"/>
          </w:divBdr>
        </w:div>
        <w:div w:id="1934819568">
          <w:marLeft w:val="0"/>
          <w:marRight w:val="0"/>
          <w:marTop w:val="0"/>
          <w:marBottom w:val="0"/>
          <w:divBdr>
            <w:top w:val="none" w:sz="0" w:space="0" w:color="auto"/>
            <w:left w:val="none" w:sz="0" w:space="0" w:color="auto"/>
            <w:bottom w:val="none" w:sz="0" w:space="0" w:color="auto"/>
            <w:right w:val="none" w:sz="0" w:space="0" w:color="auto"/>
          </w:divBdr>
        </w:div>
        <w:div w:id="1848326515">
          <w:marLeft w:val="0"/>
          <w:marRight w:val="0"/>
          <w:marTop w:val="0"/>
          <w:marBottom w:val="0"/>
          <w:divBdr>
            <w:top w:val="none" w:sz="0" w:space="0" w:color="auto"/>
            <w:left w:val="none" w:sz="0" w:space="0" w:color="auto"/>
            <w:bottom w:val="none" w:sz="0" w:space="0" w:color="auto"/>
            <w:right w:val="none" w:sz="0" w:space="0" w:color="auto"/>
          </w:divBdr>
        </w:div>
        <w:div w:id="2017145365">
          <w:marLeft w:val="0"/>
          <w:marRight w:val="0"/>
          <w:marTop w:val="0"/>
          <w:marBottom w:val="0"/>
          <w:divBdr>
            <w:top w:val="none" w:sz="0" w:space="0" w:color="auto"/>
            <w:left w:val="none" w:sz="0" w:space="0" w:color="auto"/>
            <w:bottom w:val="none" w:sz="0" w:space="0" w:color="auto"/>
            <w:right w:val="none" w:sz="0" w:space="0" w:color="auto"/>
          </w:divBdr>
        </w:div>
        <w:div w:id="1886139985">
          <w:marLeft w:val="0"/>
          <w:marRight w:val="0"/>
          <w:marTop w:val="0"/>
          <w:marBottom w:val="0"/>
          <w:divBdr>
            <w:top w:val="none" w:sz="0" w:space="0" w:color="auto"/>
            <w:left w:val="none" w:sz="0" w:space="0" w:color="auto"/>
            <w:bottom w:val="none" w:sz="0" w:space="0" w:color="auto"/>
            <w:right w:val="none" w:sz="0" w:space="0" w:color="auto"/>
          </w:divBdr>
        </w:div>
        <w:div w:id="1196845472">
          <w:marLeft w:val="0"/>
          <w:marRight w:val="0"/>
          <w:marTop w:val="0"/>
          <w:marBottom w:val="0"/>
          <w:divBdr>
            <w:top w:val="none" w:sz="0" w:space="0" w:color="auto"/>
            <w:left w:val="none" w:sz="0" w:space="0" w:color="auto"/>
            <w:bottom w:val="none" w:sz="0" w:space="0" w:color="auto"/>
            <w:right w:val="none" w:sz="0" w:space="0" w:color="auto"/>
          </w:divBdr>
        </w:div>
        <w:div w:id="1455294303">
          <w:marLeft w:val="0"/>
          <w:marRight w:val="0"/>
          <w:marTop w:val="0"/>
          <w:marBottom w:val="0"/>
          <w:divBdr>
            <w:top w:val="none" w:sz="0" w:space="0" w:color="auto"/>
            <w:left w:val="none" w:sz="0" w:space="0" w:color="auto"/>
            <w:bottom w:val="none" w:sz="0" w:space="0" w:color="auto"/>
            <w:right w:val="none" w:sz="0" w:space="0" w:color="auto"/>
          </w:divBdr>
        </w:div>
        <w:div w:id="1178158326">
          <w:marLeft w:val="0"/>
          <w:marRight w:val="0"/>
          <w:marTop w:val="0"/>
          <w:marBottom w:val="0"/>
          <w:divBdr>
            <w:top w:val="none" w:sz="0" w:space="0" w:color="auto"/>
            <w:left w:val="none" w:sz="0" w:space="0" w:color="auto"/>
            <w:bottom w:val="none" w:sz="0" w:space="0" w:color="auto"/>
            <w:right w:val="none" w:sz="0" w:space="0" w:color="auto"/>
          </w:divBdr>
        </w:div>
        <w:div w:id="1063868115">
          <w:marLeft w:val="0"/>
          <w:marRight w:val="0"/>
          <w:marTop w:val="0"/>
          <w:marBottom w:val="0"/>
          <w:divBdr>
            <w:top w:val="none" w:sz="0" w:space="0" w:color="auto"/>
            <w:left w:val="none" w:sz="0" w:space="0" w:color="auto"/>
            <w:bottom w:val="none" w:sz="0" w:space="0" w:color="auto"/>
            <w:right w:val="none" w:sz="0" w:space="0" w:color="auto"/>
          </w:divBdr>
        </w:div>
        <w:div w:id="44571646">
          <w:marLeft w:val="0"/>
          <w:marRight w:val="0"/>
          <w:marTop w:val="0"/>
          <w:marBottom w:val="0"/>
          <w:divBdr>
            <w:top w:val="none" w:sz="0" w:space="0" w:color="auto"/>
            <w:left w:val="none" w:sz="0" w:space="0" w:color="auto"/>
            <w:bottom w:val="none" w:sz="0" w:space="0" w:color="auto"/>
            <w:right w:val="none" w:sz="0" w:space="0" w:color="auto"/>
          </w:divBdr>
        </w:div>
        <w:div w:id="1573587232">
          <w:marLeft w:val="0"/>
          <w:marRight w:val="0"/>
          <w:marTop w:val="0"/>
          <w:marBottom w:val="0"/>
          <w:divBdr>
            <w:top w:val="none" w:sz="0" w:space="0" w:color="auto"/>
            <w:left w:val="none" w:sz="0" w:space="0" w:color="auto"/>
            <w:bottom w:val="none" w:sz="0" w:space="0" w:color="auto"/>
            <w:right w:val="none" w:sz="0" w:space="0" w:color="auto"/>
          </w:divBdr>
        </w:div>
        <w:div w:id="760570876">
          <w:marLeft w:val="0"/>
          <w:marRight w:val="0"/>
          <w:marTop w:val="0"/>
          <w:marBottom w:val="0"/>
          <w:divBdr>
            <w:top w:val="none" w:sz="0" w:space="0" w:color="auto"/>
            <w:left w:val="none" w:sz="0" w:space="0" w:color="auto"/>
            <w:bottom w:val="none" w:sz="0" w:space="0" w:color="auto"/>
            <w:right w:val="none" w:sz="0" w:space="0" w:color="auto"/>
          </w:divBdr>
        </w:div>
        <w:div w:id="1834293422">
          <w:marLeft w:val="0"/>
          <w:marRight w:val="0"/>
          <w:marTop w:val="0"/>
          <w:marBottom w:val="0"/>
          <w:divBdr>
            <w:top w:val="none" w:sz="0" w:space="0" w:color="auto"/>
            <w:left w:val="none" w:sz="0" w:space="0" w:color="auto"/>
            <w:bottom w:val="none" w:sz="0" w:space="0" w:color="auto"/>
            <w:right w:val="none" w:sz="0" w:space="0" w:color="auto"/>
          </w:divBdr>
        </w:div>
        <w:div w:id="1427271218">
          <w:marLeft w:val="0"/>
          <w:marRight w:val="0"/>
          <w:marTop w:val="0"/>
          <w:marBottom w:val="0"/>
          <w:divBdr>
            <w:top w:val="none" w:sz="0" w:space="0" w:color="auto"/>
            <w:left w:val="none" w:sz="0" w:space="0" w:color="auto"/>
            <w:bottom w:val="none" w:sz="0" w:space="0" w:color="auto"/>
            <w:right w:val="none" w:sz="0" w:space="0" w:color="auto"/>
          </w:divBdr>
        </w:div>
        <w:div w:id="484707916">
          <w:marLeft w:val="0"/>
          <w:marRight w:val="0"/>
          <w:marTop w:val="0"/>
          <w:marBottom w:val="0"/>
          <w:divBdr>
            <w:top w:val="none" w:sz="0" w:space="0" w:color="auto"/>
            <w:left w:val="none" w:sz="0" w:space="0" w:color="auto"/>
            <w:bottom w:val="none" w:sz="0" w:space="0" w:color="auto"/>
            <w:right w:val="none" w:sz="0" w:space="0" w:color="auto"/>
          </w:divBdr>
        </w:div>
        <w:div w:id="266162500">
          <w:marLeft w:val="0"/>
          <w:marRight w:val="0"/>
          <w:marTop w:val="0"/>
          <w:marBottom w:val="0"/>
          <w:divBdr>
            <w:top w:val="none" w:sz="0" w:space="0" w:color="auto"/>
            <w:left w:val="none" w:sz="0" w:space="0" w:color="auto"/>
            <w:bottom w:val="none" w:sz="0" w:space="0" w:color="auto"/>
            <w:right w:val="none" w:sz="0" w:space="0" w:color="auto"/>
          </w:divBdr>
        </w:div>
        <w:div w:id="854730805">
          <w:marLeft w:val="0"/>
          <w:marRight w:val="0"/>
          <w:marTop w:val="0"/>
          <w:marBottom w:val="0"/>
          <w:divBdr>
            <w:top w:val="none" w:sz="0" w:space="0" w:color="auto"/>
            <w:left w:val="none" w:sz="0" w:space="0" w:color="auto"/>
            <w:bottom w:val="none" w:sz="0" w:space="0" w:color="auto"/>
            <w:right w:val="none" w:sz="0" w:space="0" w:color="auto"/>
          </w:divBdr>
        </w:div>
        <w:div w:id="268124214">
          <w:marLeft w:val="0"/>
          <w:marRight w:val="0"/>
          <w:marTop w:val="0"/>
          <w:marBottom w:val="0"/>
          <w:divBdr>
            <w:top w:val="none" w:sz="0" w:space="0" w:color="auto"/>
            <w:left w:val="none" w:sz="0" w:space="0" w:color="auto"/>
            <w:bottom w:val="none" w:sz="0" w:space="0" w:color="auto"/>
            <w:right w:val="none" w:sz="0" w:space="0" w:color="auto"/>
          </w:divBdr>
        </w:div>
        <w:div w:id="2065909646">
          <w:marLeft w:val="0"/>
          <w:marRight w:val="0"/>
          <w:marTop w:val="0"/>
          <w:marBottom w:val="0"/>
          <w:divBdr>
            <w:top w:val="none" w:sz="0" w:space="0" w:color="auto"/>
            <w:left w:val="none" w:sz="0" w:space="0" w:color="auto"/>
            <w:bottom w:val="none" w:sz="0" w:space="0" w:color="auto"/>
            <w:right w:val="none" w:sz="0" w:space="0" w:color="auto"/>
          </w:divBdr>
        </w:div>
        <w:div w:id="1058477069">
          <w:marLeft w:val="0"/>
          <w:marRight w:val="0"/>
          <w:marTop w:val="0"/>
          <w:marBottom w:val="0"/>
          <w:divBdr>
            <w:top w:val="none" w:sz="0" w:space="0" w:color="auto"/>
            <w:left w:val="none" w:sz="0" w:space="0" w:color="auto"/>
            <w:bottom w:val="none" w:sz="0" w:space="0" w:color="auto"/>
            <w:right w:val="none" w:sz="0" w:space="0" w:color="auto"/>
          </w:divBdr>
        </w:div>
        <w:div w:id="1057969506">
          <w:marLeft w:val="0"/>
          <w:marRight w:val="0"/>
          <w:marTop w:val="0"/>
          <w:marBottom w:val="0"/>
          <w:divBdr>
            <w:top w:val="none" w:sz="0" w:space="0" w:color="auto"/>
            <w:left w:val="none" w:sz="0" w:space="0" w:color="auto"/>
            <w:bottom w:val="none" w:sz="0" w:space="0" w:color="auto"/>
            <w:right w:val="none" w:sz="0" w:space="0" w:color="auto"/>
          </w:divBdr>
        </w:div>
        <w:div w:id="592012361">
          <w:marLeft w:val="0"/>
          <w:marRight w:val="0"/>
          <w:marTop w:val="0"/>
          <w:marBottom w:val="0"/>
          <w:divBdr>
            <w:top w:val="none" w:sz="0" w:space="0" w:color="auto"/>
            <w:left w:val="none" w:sz="0" w:space="0" w:color="auto"/>
            <w:bottom w:val="none" w:sz="0" w:space="0" w:color="auto"/>
            <w:right w:val="none" w:sz="0" w:space="0" w:color="auto"/>
          </w:divBdr>
        </w:div>
        <w:div w:id="1557007882">
          <w:marLeft w:val="0"/>
          <w:marRight w:val="0"/>
          <w:marTop w:val="0"/>
          <w:marBottom w:val="0"/>
          <w:divBdr>
            <w:top w:val="none" w:sz="0" w:space="0" w:color="auto"/>
            <w:left w:val="none" w:sz="0" w:space="0" w:color="auto"/>
            <w:bottom w:val="none" w:sz="0" w:space="0" w:color="auto"/>
            <w:right w:val="none" w:sz="0" w:space="0" w:color="auto"/>
          </w:divBdr>
        </w:div>
        <w:div w:id="373427501">
          <w:marLeft w:val="0"/>
          <w:marRight w:val="0"/>
          <w:marTop w:val="0"/>
          <w:marBottom w:val="0"/>
          <w:divBdr>
            <w:top w:val="none" w:sz="0" w:space="0" w:color="auto"/>
            <w:left w:val="none" w:sz="0" w:space="0" w:color="auto"/>
            <w:bottom w:val="none" w:sz="0" w:space="0" w:color="auto"/>
            <w:right w:val="none" w:sz="0" w:space="0" w:color="auto"/>
          </w:divBdr>
        </w:div>
        <w:div w:id="2130926377">
          <w:marLeft w:val="0"/>
          <w:marRight w:val="0"/>
          <w:marTop w:val="0"/>
          <w:marBottom w:val="0"/>
          <w:divBdr>
            <w:top w:val="none" w:sz="0" w:space="0" w:color="auto"/>
            <w:left w:val="none" w:sz="0" w:space="0" w:color="auto"/>
            <w:bottom w:val="none" w:sz="0" w:space="0" w:color="auto"/>
            <w:right w:val="none" w:sz="0" w:space="0" w:color="auto"/>
          </w:divBdr>
        </w:div>
        <w:div w:id="1219630488">
          <w:marLeft w:val="0"/>
          <w:marRight w:val="0"/>
          <w:marTop w:val="0"/>
          <w:marBottom w:val="0"/>
          <w:divBdr>
            <w:top w:val="none" w:sz="0" w:space="0" w:color="auto"/>
            <w:left w:val="none" w:sz="0" w:space="0" w:color="auto"/>
            <w:bottom w:val="none" w:sz="0" w:space="0" w:color="auto"/>
            <w:right w:val="none" w:sz="0" w:space="0" w:color="auto"/>
          </w:divBdr>
        </w:div>
        <w:div w:id="1720397710">
          <w:marLeft w:val="0"/>
          <w:marRight w:val="0"/>
          <w:marTop w:val="0"/>
          <w:marBottom w:val="0"/>
          <w:divBdr>
            <w:top w:val="none" w:sz="0" w:space="0" w:color="auto"/>
            <w:left w:val="none" w:sz="0" w:space="0" w:color="auto"/>
            <w:bottom w:val="none" w:sz="0" w:space="0" w:color="auto"/>
            <w:right w:val="none" w:sz="0" w:space="0" w:color="auto"/>
          </w:divBdr>
        </w:div>
        <w:div w:id="1865754034">
          <w:marLeft w:val="0"/>
          <w:marRight w:val="0"/>
          <w:marTop w:val="0"/>
          <w:marBottom w:val="0"/>
          <w:divBdr>
            <w:top w:val="none" w:sz="0" w:space="0" w:color="auto"/>
            <w:left w:val="none" w:sz="0" w:space="0" w:color="auto"/>
            <w:bottom w:val="none" w:sz="0" w:space="0" w:color="auto"/>
            <w:right w:val="none" w:sz="0" w:space="0" w:color="auto"/>
          </w:divBdr>
        </w:div>
        <w:div w:id="748306920">
          <w:marLeft w:val="0"/>
          <w:marRight w:val="0"/>
          <w:marTop w:val="0"/>
          <w:marBottom w:val="0"/>
          <w:divBdr>
            <w:top w:val="none" w:sz="0" w:space="0" w:color="auto"/>
            <w:left w:val="none" w:sz="0" w:space="0" w:color="auto"/>
            <w:bottom w:val="none" w:sz="0" w:space="0" w:color="auto"/>
            <w:right w:val="none" w:sz="0" w:space="0" w:color="auto"/>
          </w:divBdr>
        </w:div>
        <w:div w:id="2017418216">
          <w:marLeft w:val="0"/>
          <w:marRight w:val="0"/>
          <w:marTop w:val="0"/>
          <w:marBottom w:val="0"/>
          <w:divBdr>
            <w:top w:val="none" w:sz="0" w:space="0" w:color="auto"/>
            <w:left w:val="none" w:sz="0" w:space="0" w:color="auto"/>
            <w:bottom w:val="none" w:sz="0" w:space="0" w:color="auto"/>
            <w:right w:val="none" w:sz="0" w:space="0" w:color="auto"/>
          </w:divBdr>
        </w:div>
        <w:div w:id="2002809659">
          <w:marLeft w:val="0"/>
          <w:marRight w:val="0"/>
          <w:marTop w:val="0"/>
          <w:marBottom w:val="0"/>
          <w:divBdr>
            <w:top w:val="none" w:sz="0" w:space="0" w:color="auto"/>
            <w:left w:val="none" w:sz="0" w:space="0" w:color="auto"/>
            <w:bottom w:val="none" w:sz="0" w:space="0" w:color="auto"/>
            <w:right w:val="none" w:sz="0" w:space="0" w:color="auto"/>
          </w:divBdr>
        </w:div>
        <w:div w:id="1485971343">
          <w:marLeft w:val="0"/>
          <w:marRight w:val="0"/>
          <w:marTop w:val="0"/>
          <w:marBottom w:val="0"/>
          <w:divBdr>
            <w:top w:val="none" w:sz="0" w:space="0" w:color="auto"/>
            <w:left w:val="none" w:sz="0" w:space="0" w:color="auto"/>
            <w:bottom w:val="none" w:sz="0" w:space="0" w:color="auto"/>
            <w:right w:val="none" w:sz="0" w:space="0" w:color="auto"/>
          </w:divBdr>
        </w:div>
        <w:div w:id="912616793">
          <w:marLeft w:val="0"/>
          <w:marRight w:val="0"/>
          <w:marTop w:val="0"/>
          <w:marBottom w:val="0"/>
          <w:divBdr>
            <w:top w:val="none" w:sz="0" w:space="0" w:color="auto"/>
            <w:left w:val="none" w:sz="0" w:space="0" w:color="auto"/>
            <w:bottom w:val="none" w:sz="0" w:space="0" w:color="auto"/>
            <w:right w:val="none" w:sz="0" w:space="0" w:color="auto"/>
          </w:divBdr>
        </w:div>
        <w:div w:id="609091933">
          <w:marLeft w:val="0"/>
          <w:marRight w:val="0"/>
          <w:marTop w:val="0"/>
          <w:marBottom w:val="0"/>
          <w:divBdr>
            <w:top w:val="none" w:sz="0" w:space="0" w:color="auto"/>
            <w:left w:val="none" w:sz="0" w:space="0" w:color="auto"/>
            <w:bottom w:val="none" w:sz="0" w:space="0" w:color="auto"/>
            <w:right w:val="none" w:sz="0" w:space="0" w:color="auto"/>
          </w:divBdr>
        </w:div>
        <w:div w:id="1423064608">
          <w:marLeft w:val="0"/>
          <w:marRight w:val="0"/>
          <w:marTop w:val="0"/>
          <w:marBottom w:val="0"/>
          <w:divBdr>
            <w:top w:val="none" w:sz="0" w:space="0" w:color="auto"/>
            <w:left w:val="none" w:sz="0" w:space="0" w:color="auto"/>
            <w:bottom w:val="none" w:sz="0" w:space="0" w:color="auto"/>
            <w:right w:val="none" w:sz="0" w:space="0" w:color="auto"/>
          </w:divBdr>
        </w:div>
        <w:div w:id="1751196584">
          <w:marLeft w:val="0"/>
          <w:marRight w:val="0"/>
          <w:marTop w:val="0"/>
          <w:marBottom w:val="0"/>
          <w:divBdr>
            <w:top w:val="none" w:sz="0" w:space="0" w:color="auto"/>
            <w:left w:val="none" w:sz="0" w:space="0" w:color="auto"/>
            <w:bottom w:val="none" w:sz="0" w:space="0" w:color="auto"/>
            <w:right w:val="none" w:sz="0" w:space="0" w:color="auto"/>
          </w:divBdr>
        </w:div>
        <w:div w:id="124079314">
          <w:marLeft w:val="0"/>
          <w:marRight w:val="0"/>
          <w:marTop w:val="0"/>
          <w:marBottom w:val="0"/>
          <w:divBdr>
            <w:top w:val="none" w:sz="0" w:space="0" w:color="auto"/>
            <w:left w:val="none" w:sz="0" w:space="0" w:color="auto"/>
            <w:bottom w:val="none" w:sz="0" w:space="0" w:color="auto"/>
            <w:right w:val="none" w:sz="0" w:space="0" w:color="auto"/>
          </w:divBdr>
        </w:div>
        <w:div w:id="640620794">
          <w:marLeft w:val="0"/>
          <w:marRight w:val="0"/>
          <w:marTop w:val="0"/>
          <w:marBottom w:val="0"/>
          <w:divBdr>
            <w:top w:val="none" w:sz="0" w:space="0" w:color="auto"/>
            <w:left w:val="none" w:sz="0" w:space="0" w:color="auto"/>
            <w:bottom w:val="none" w:sz="0" w:space="0" w:color="auto"/>
            <w:right w:val="none" w:sz="0" w:space="0" w:color="auto"/>
          </w:divBdr>
        </w:div>
        <w:div w:id="1038505949">
          <w:marLeft w:val="0"/>
          <w:marRight w:val="0"/>
          <w:marTop w:val="0"/>
          <w:marBottom w:val="0"/>
          <w:divBdr>
            <w:top w:val="none" w:sz="0" w:space="0" w:color="auto"/>
            <w:left w:val="none" w:sz="0" w:space="0" w:color="auto"/>
            <w:bottom w:val="none" w:sz="0" w:space="0" w:color="auto"/>
            <w:right w:val="none" w:sz="0" w:space="0" w:color="auto"/>
          </w:divBdr>
        </w:div>
        <w:div w:id="1586769700">
          <w:marLeft w:val="0"/>
          <w:marRight w:val="0"/>
          <w:marTop w:val="0"/>
          <w:marBottom w:val="0"/>
          <w:divBdr>
            <w:top w:val="none" w:sz="0" w:space="0" w:color="auto"/>
            <w:left w:val="none" w:sz="0" w:space="0" w:color="auto"/>
            <w:bottom w:val="none" w:sz="0" w:space="0" w:color="auto"/>
            <w:right w:val="none" w:sz="0" w:space="0" w:color="auto"/>
          </w:divBdr>
        </w:div>
        <w:div w:id="1878852588">
          <w:marLeft w:val="0"/>
          <w:marRight w:val="0"/>
          <w:marTop w:val="0"/>
          <w:marBottom w:val="0"/>
          <w:divBdr>
            <w:top w:val="none" w:sz="0" w:space="0" w:color="auto"/>
            <w:left w:val="none" w:sz="0" w:space="0" w:color="auto"/>
            <w:bottom w:val="none" w:sz="0" w:space="0" w:color="auto"/>
            <w:right w:val="none" w:sz="0" w:space="0" w:color="auto"/>
          </w:divBdr>
        </w:div>
        <w:div w:id="1852798713">
          <w:marLeft w:val="0"/>
          <w:marRight w:val="0"/>
          <w:marTop w:val="0"/>
          <w:marBottom w:val="0"/>
          <w:divBdr>
            <w:top w:val="none" w:sz="0" w:space="0" w:color="auto"/>
            <w:left w:val="none" w:sz="0" w:space="0" w:color="auto"/>
            <w:bottom w:val="none" w:sz="0" w:space="0" w:color="auto"/>
            <w:right w:val="none" w:sz="0" w:space="0" w:color="auto"/>
          </w:divBdr>
        </w:div>
        <w:div w:id="1631936958">
          <w:marLeft w:val="0"/>
          <w:marRight w:val="0"/>
          <w:marTop w:val="0"/>
          <w:marBottom w:val="0"/>
          <w:divBdr>
            <w:top w:val="none" w:sz="0" w:space="0" w:color="auto"/>
            <w:left w:val="none" w:sz="0" w:space="0" w:color="auto"/>
            <w:bottom w:val="none" w:sz="0" w:space="0" w:color="auto"/>
            <w:right w:val="none" w:sz="0" w:space="0" w:color="auto"/>
          </w:divBdr>
        </w:div>
        <w:div w:id="1589264691">
          <w:marLeft w:val="0"/>
          <w:marRight w:val="0"/>
          <w:marTop w:val="0"/>
          <w:marBottom w:val="0"/>
          <w:divBdr>
            <w:top w:val="none" w:sz="0" w:space="0" w:color="auto"/>
            <w:left w:val="none" w:sz="0" w:space="0" w:color="auto"/>
            <w:bottom w:val="none" w:sz="0" w:space="0" w:color="auto"/>
            <w:right w:val="none" w:sz="0" w:space="0" w:color="auto"/>
          </w:divBdr>
        </w:div>
        <w:div w:id="1661614299">
          <w:marLeft w:val="0"/>
          <w:marRight w:val="0"/>
          <w:marTop w:val="0"/>
          <w:marBottom w:val="0"/>
          <w:divBdr>
            <w:top w:val="none" w:sz="0" w:space="0" w:color="auto"/>
            <w:left w:val="none" w:sz="0" w:space="0" w:color="auto"/>
            <w:bottom w:val="none" w:sz="0" w:space="0" w:color="auto"/>
            <w:right w:val="none" w:sz="0" w:space="0" w:color="auto"/>
          </w:divBdr>
        </w:div>
        <w:div w:id="1266383245">
          <w:marLeft w:val="0"/>
          <w:marRight w:val="0"/>
          <w:marTop w:val="0"/>
          <w:marBottom w:val="0"/>
          <w:divBdr>
            <w:top w:val="none" w:sz="0" w:space="0" w:color="auto"/>
            <w:left w:val="none" w:sz="0" w:space="0" w:color="auto"/>
            <w:bottom w:val="none" w:sz="0" w:space="0" w:color="auto"/>
            <w:right w:val="none" w:sz="0" w:space="0" w:color="auto"/>
          </w:divBdr>
        </w:div>
        <w:div w:id="997659810">
          <w:marLeft w:val="0"/>
          <w:marRight w:val="0"/>
          <w:marTop w:val="0"/>
          <w:marBottom w:val="0"/>
          <w:divBdr>
            <w:top w:val="none" w:sz="0" w:space="0" w:color="auto"/>
            <w:left w:val="none" w:sz="0" w:space="0" w:color="auto"/>
            <w:bottom w:val="none" w:sz="0" w:space="0" w:color="auto"/>
            <w:right w:val="none" w:sz="0" w:space="0" w:color="auto"/>
          </w:divBdr>
        </w:div>
        <w:div w:id="452948500">
          <w:marLeft w:val="0"/>
          <w:marRight w:val="0"/>
          <w:marTop w:val="0"/>
          <w:marBottom w:val="0"/>
          <w:divBdr>
            <w:top w:val="none" w:sz="0" w:space="0" w:color="auto"/>
            <w:left w:val="none" w:sz="0" w:space="0" w:color="auto"/>
            <w:bottom w:val="none" w:sz="0" w:space="0" w:color="auto"/>
            <w:right w:val="none" w:sz="0" w:space="0" w:color="auto"/>
          </w:divBdr>
        </w:div>
        <w:div w:id="638458883">
          <w:marLeft w:val="0"/>
          <w:marRight w:val="0"/>
          <w:marTop w:val="0"/>
          <w:marBottom w:val="0"/>
          <w:divBdr>
            <w:top w:val="none" w:sz="0" w:space="0" w:color="auto"/>
            <w:left w:val="none" w:sz="0" w:space="0" w:color="auto"/>
            <w:bottom w:val="none" w:sz="0" w:space="0" w:color="auto"/>
            <w:right w:val="none" w:sz="0" w:space="0" w:color="auto"/>
          </w:divBdr>
        </w:div>
        <w:div w:id="1073351723">
          <w:marLeft w:val="0"/>
          <w:marRight w:val="0"/>
          <w:marTop w:val="0"/>
          <w:marBottom w:val="0"/>
          <w:divBdr>
            <w:top w:val="none" w:sz="0" w:space="0" w:color="auto"/>
            <w:left w:val="none" w:sz="0" w:space="0" w:color="auto"/>
            <w:bottom w:val="none" w:sz="0" w:space="0" w:color="auto"/>
            <w:right w:val="none" w:sz="0" w:space="0" w:color="auto"/>
          </w:divBdr>
        </w:div>
        <w:div w:id="1629120603">
          <w:marLeft w:val="0"/>
          <w:marRight w:val="0"/>
          <w:marTop w:val="0"/>
          <w:marBottom w:val="0"/>
          <w:divBdr>
            <w:top w:val="none" w:sz="0" w:space="0" w:color="auto"/>
            <w:left w:val="none" w:sz="0" w:space="0" w:color="auto"/>
            <w:bottom w:val="none" w:sz="0" w:space="0" w:color="auto"/>
            <w:right w:val="none" w:sz="0" w:space="0" w:color="auto"/>
          </w:divBdr>
        </w:div>
        <w:div w:id="288165830">
          <w:marLeft w:val="0"/>
          <w:marRight w:val="0"/>
          <w:marTop w:val="0"/>
          <w:marBottom w:val="0"/>
          <w:divBdr>
            <w:top w:val="none" w:sz="0" w:space="0" w:color="auto"/>
            <w:left w:val="none" w:sz="0" w:space="0" w:color="auto"/>
            <w:bottom w:val="none" w:sz="0" w:space="0" w:color="auto"/>
            <w:right w:val="none" w:sz="0" w:space="0" w:color="auto"/>
          </w:divBdr>
        </w:div>
        <w:div w:id="857740616">
          <w:marLeft w:val="0"/>
          <w:marRight w:val="0"/>
          <w:marTop w:val="0"/>
          <w:marBottom w:val="0"/>
          <w:divBdr>
            <w:top w:val="none" w:sz="0" w:space="0" w:color="auto"/>
            <w:left w:val="none" w:sz="0" w:space="0" w:color="auto"/>
            <w:bottom w:val="none" w:sz="0" w:space="0" w:color="auto"/>
            <w:right w:val="none" w:sz="0" w:space="0" w:color="auto"/>
          </w:divBdr>
        </w:div>
        <w:div w:id="154153616">
          <w:marLeft w:val="0"/>
          <w:marRight w:val="0"/>
          <w:marTop w:val="0"/>
          <w:marBottom w:val="0"/>
          <w:divBdr>
            <w:top w:val="none" w:sz="0" w:space="0" w:color="auto"/>
            <w:left w:val="none" w:sz="0" w:space="0" w:color="auto"/>
            <w:bottom w:val="none" w:sz="0" w:space="0" w:color="auto"/>
            <w:right w:val="none" w:sz="0" w:space="0" w:color="auto"/>
          </w:divBdr>
        </w:div>
        <w:div w:id="1541285927">
          <w:marLeft w:val="0"/>
          <w:marRight w:val="0"/>
          <w:marTop w:val="0"/>
          <w:marBottom w:val="0"/>
          <w:divBdr>
            <w:top w:val="none" w:sz="0" w:space="0" w:color="auto"/>
            <w:left w:val="none" w:sz="0" w:space="0" w:color="auto"/>
            <w:bottom w:val="none" w:sz="0" w:space="0" w:color="auto"/>
            <w:right w:val="none" w:sz="0" w:space="0" w:color="auto"/>
          </w:divBdr>
        </w:div>
        <w:div w:id="106395155">
          <w:marLeft w:val="0"/>
          <w:marRight w:val="0"/>
          <w:marTop w:val="0"/>
          <w:marBottom w:val="0"/>
          <w:divBdr>
            <w:top w:val="none" w:sz="0" w:space="0" w:color="auto"/>
            <w:left w:val="none" w:sz="0" w:space="0" w:color="auto"/>
            <w:bottom w:val="none" w:sz="0" w:space="0" w:color="auto"/>
            <w:right w:val="none" w:sz="0" w:space="0" w:color="auto"/>
          </w:divBdr>
        </w:div>
        <w:div w:id="1687444756">
          <w:marLeft w:val="0"/>
          <w:marRight w:val="0"/>
          <w:marTop w:val="0"/>
          <w:marBottom w:val="0"/>
          <w:divBdr>
            <w:top w:val="none" w:sz="0" w:space="0" w:color="auto"/>
            <w:left w:val="none" w:sz="0" w:space="0" w:color="auto"/>
            <w:bottom w:val="none" w:sz="0" w:space="0" w:color="auto"/>
            <w:right w:val="none" w:sz="0" w:space="0" w:color="auto"/>
          </w:divBdr>
        </w:div>
        <w:div w:id="1859923744">
          <w:marLeft w:val="0"/>
          <w:marRight w:val="0"/>
          <w:marTop w:val="0"/>
          <w:marBottom w:val="0"/>
          <w:divBdr>
            <w:top w:val="none" w:sz="0" w:space="0" w:color="auto"/>
            <w:left w:val="none" w:sz="0" w:space="0" w:color="auto"/>
            <w:bottom w:val="none" w:sz="0" w:space="0" w:color="auto"/>
            <w:right w:val="none" w:sz="0" w:space="0" w:color="auto"/>
          </w:divBdr>
        </w:div>
        <w:div w:id="1690721891">
          <w:marLeft w:val="0"/>
          <w:marRight w:val="0"/>
          <w:marTop w:val="0"/>
          <w:marBottom w:val="0"/>
          <w:divBdr>
            <w:top w:val="none" w:sz="0" w:space="0" w:color="auto"/>
            <w:left w:val="none" w:sz="0" w:space="0" w:color="auto"/>
            <w:bottom w:val="none" w:sz="0" w:space="0" w:color="auto"/>
            <w:right w:val="none" w:sz="0" w:space="0" w:color="auto"/>
          </w:divBdr>
        </w:div>
        <w:div w:id="309670910">
          <w:marLeft w:val="0"/>
          <w:marRight w:val="0"/>
          <w:marTop w:val="0"/>
          <w:marBottom w:val="0"/>
          <w:divBdr>
            <w:top w:val="none" w:sz="0" w:space="0" w:color="auto"/>
            <w:left w:val="none" w:sz="0" w:space="0" w:color="auto"/>
            <w:bottom w:val="none" w:sz="0" w:space="0" w:color="auto"/>
            <w:right w:val="none" w:sz="0" w:space="0" w:color="auto"/>
          </w:divBdr>
        </w:div>
        <w:div w:id="721900803">
          <w:marLeft w:val="0"/>
          <w:marRight w:val="0"/>
          <w:marTop w:val="0"/>
          <w:marBottom w:val="0"/>
          <w:divBdr>
            <w:top w:val="none" w:sz="0" w:space="0" w:color="auto"/>
            <w:left w:val="none" w:sz="0" w:space="0" w:color="auto"/>
            <w:bottom w:val="none" w:sz="0" w:space="0" w:color="auto"/>
            <w:right w:val="none" w:sz="0" w:space="0" w:color="auto"/>
          </w:divBdr>
        </w:div>
        <w:div w:id="1943994843">
          <w:marLeft w:val="0"/>
          <w:marRight w:val="0"/>
          <w:marTop w:val="0"/>
          <w:marBottom w:val="0"/>
          <w:divBdr>
            <w:top w:val="none" w:sz="0" w:space="0" w:color="auto"/>
            <w:left w:val="none" w:sz="0" w:space="0" w:color="auto"/>
            <w:bottom w:val="none" w:sz="0" w:space="0" w:color="auto"/>
            <w:right w:val="none" w:sz="0" w:space="0" w:color="auto"/>
          </w:divBdr>
        </w:div>
        <w:div w:id="1110903893">
          <w:marLeft w:val="0"/>
          <w:marRight w:val="0"/>
          <w:marTop w:val="0"/>
          <w:marBottom w:val="0"/>
          <w:divBdr>
            <w:top w:val="none" w:sz="0" w:space="0" w:color="auto"/>
            <w:left w:val="none" w:sz="0" w:space="0" w:color="auto"/>
            <w:bottom w:val="none" w:sz="0" w:space="0" w:color="auto"/>
            <w:right w:val="none" w:sz="0" w:space="0" w:color="auto"/>
          </w:divBdr>
        </w:div>
        <w:div w:id="770853391">
          <w:marLeft w:val="0"/>
          <w:marRight w:val="0"/>
          <w:marTop w:val="0"/>
          <w:marBottom w:val="0"/>
          <w:divBdr>
            <w:top w:val="none" w:sz="0" w:space="0" w:color="auto"/>
            <w:left w:val="none" w:sz="0" w:space="0" w:color="auto"/>
            <w:bottom w:val="none" w:sz="0" w:space="0" w:color="auto"/>
            <w:right w:val="none" w:sz="0" w:space="0" w:color="auto"/>
          </w:divBdr>
        </w:div>
        <w:div w:id="949778744">
          <w:marLeft w:val="0"/>
          <w:marRight w:val="0"/>
          <w:marTop w:val="0"/>
          <w:marBottom w:val="0"/>
          <w:divBdr>
            <w:top w:val="none" w:sz="0" w:space="0" w:color="auto"/>
            <w:left w:val="none" w:sz="0" w:space="0" w:color="auto"/>
            <w:bottom w:val="none" w:sz="0" w:space="0" w:color="auto"/>
            <w:right w:val="none" w:sz="0" w:space="0" w:color="auto"/>
          </w:divBdr>
        </w:div>
        <w:div w:id="218591467">
          <w:marLeft w:val="0"/>
          <w:marRight w:val="0"/>
          <w:marTop w:val="0"/>
          <w:marBottom w:val="0"/>
          <w:divBdr>
            <w:top w:val="none" w:sz="0" w:space="0" w:color="auto"/>
            <w:left w:val="none" w:sz="0" w:space="0" w:color="auto"/>
            <w:bottom w:val="none" w:sz="0" w:space="0" w:color="auto"/>
            <w:right w:val="none" w:sz="0" w:space="0" w:color="auto"/>
          </w:divBdr>
        </w:div>
        <w:div w:id="122315196">
          <w:marLeft w:val="0"/>
          <w:marRight w:val="0"/>
          <w:marTop w:val="0"/>
          <w:marBottom w:val="0"/>
          <w:divBdr>
            <w:top w:val="none" w:sz="0" w:space="0" w:color="auto"/>
            <w:left w:val="none" w:sz="0" w:space="0" w:color="auto"/>
            <w:bottom w:val="none" w:sz="0" w:space="0" w:color="auto"/>
            <w:right w:val="none" w:sz="0" w:space="0" w:color="auto"/>
          </w:divBdr>
        </w:div>
        <w:div w:id="389573170">
          <w:marLeft w:val="0"/>
          <w:marRight w:val="0"/>
          <w:marTop w:val="0"/>
          <w:marBottom w:val="0"/>
          <w:divBdr>
            <w:top w:val="none" w:sz="0" w:space="0" w:color="auto"/>
            <w:left w:val="none" w:sz="0" w:space="0" w:color="auto"/>
            <w:bottom w:val="none" w:sz="0" w:space="0" w:color="auto"/>
            <w:right w:val="none" w:sz="0" w:space="0" w:color="auto"/>
          </w:divBdr>
        </w:div>
        <w:div w:id="774178580">
          <w:marLeft w:val="0"/>
          <w:marRight w:val="0"/>
          <w:marTop w:val="0"/>
          <w:marBottom w:val="0"/>
          <w:divBdr>
            <w:top w:val="none" w:sz="0" w:space="0" w:color="auto"/>
            <w:left w:val="none" w:sz="0" w:space="0" w:color="auto"/>
            <w:bottom w:val="none" w:sz="0" w:space="0" w:color="auto"/>
            <w:right w:val="none" w:sz="0" w:space="0" w:color="auto"/>
          </w:divBdr>
        </w:div>
        <w:div w:id="78144420">
          <w:marLeft w:val="0"/>
          <w:marRight w:val="0"/>
          <w:marTop w:val="0"/>
          <w:marBottom w:val="0"/>
          <w:divBdr>
            <w:top w:val="none" w:sz="0" w:space="0" w:color="auto"/>
            <w:left w:val="none" w:sz="0" w:space="0" w:color="auto"/>
            <w:bottom w:val="none" w:sz="0" w:space="0" w:color="auto"/>
            <w:right w:val="none" w:sz="0" w:space="0" w:color="auto"/>
          </w:divBdr>
        </w:div>
        <w:div w:id="795367351">
          <w:marLeft w:val="0"/>
          <w:marRight w:val="0"/>
          <w:marTop w:val="0"/>
          <w:marBottom w:val="0"/>
          <w:divBdr>
            <w:top w:val="none" w:sz="0" w:space="0" w:color="auto"/>
            <w:left w:val="none" w:sz="0" w:space="0" w:color="auto"/>
            <w:bottom w:val="none" w:sz="0" w:space="0" w:color="auto"/>
            <w:right w:val="none" w:sz="0" w:space="0" w:color="auto"/>
          </w:divBdr>
        </w:div>
        <w:div w:id="1014965265">
          <w:marLeft w:val="0"/>
          <w:marRight w:val="0"/>
          <w:marTop w:val="0"/>
          <w:marBottom w:val="0"/>
          <w:divBdr>
            <w:top w:val="none" w:sz="0" w:space="0" w:color="auto"/>
            <w:left w:val="none" w:sz="0" w:space="0" w:color="auto"/>
            <w:bottom w:val="none" w:sz="0" w:space="0" w:color="auto"/>
            <w:right w:val="none" w:sz="0" w:space="0" w:color="auto"/>
          </w:divBdr>
        </w:div>
        <w:div w:id="619070980">
          <w:marLeft w:val="0"/>
          <w:marRight w:val="0"/>
          <w:marTop w:val="0"/>
          <w:marBottom w:val="0"/>
          <w:divBdr>
            <w:top w:val="none" w:sz="0" w:space="0" w:color="auto"/>
            <w:left w:val="none" w:sz="0" w:space="0" w:color="auto"/>
            <w:bottom w:val="none" w:sz="0" w:space="0" w:color="auto"/>
            <w:right w:val="none" w:sz="0" w:space="0" w:color="auto"/>
          </w:divBdr>
        </w:div>
        <w:div w:id="330447425">
          <w:marLeft w:val="0"/>
          <w:marRight w:val="0"/>
          <w:marTop w:val="0"/>
          <w:marBottom w:val="0"/>
          <w:divBdr>
            <w:top w:val="none" w:sz="0" w:space="0" w:color="auto"/>
            <w:left w:val="none" w:sz="0" w:space="0" w:color="auto"/>
            <w:bottom w:val="none" w:sz="0" w:space="0" w:color="auto"/>
            <w:right w:val="none" w:sz="0" w:space="0" w:color="auto"/>
          </w:divBdr>
        </w:div>
        <w:div w:id="1607345069">
          <w:marLeft w:val="0"/>
          <w:marRight w:val="0"/>
          <w:marTop w:val="0"/>
          <w:marBottom w:val="0"/>
          <w:divBdr>
            <w:top w:val="none" w:sz="0" w:space="0" w:color="auto"/>
            <w:left w:val="none" w:sz="0" w:space="0" w:color="auto"/>
            <w:bottom w:val="none" w:sz="0" w:space="0" w:color="auto"/>
            <w:right w:val="none" w:sz="0" w:space="0" w:color="auto"/>
          </w:divBdr>
        </w:div>
        <w:div w:id="1222329795">
          <w:marLeft w:val="0"/>
          <w:marRight w:val="0"/>
          <w:marTop w:val="0"/>
          <w:marBottom w:val="0"/>
          <w:divBdr>
            <w:top w:val="none" w:sz="0" w:space="0" w:color="auto"/>
            <w:left w:val="none" w:sz="0" w:space="0" w:color="auto"/>
            <w:bottom w:val="none" w:sz="0" w:space="0" w:color="auto"/>
            <w:right w:val="none" w:sz="0" w:space="0" w:color="auto"/>
          </w:divBdr>
        </w:div>
        <w:div w:id="1508860840">
          <w:marLeft w:val="0"/>
          <w:marRight w:val="0"/>
          <w:marTop w:val="0"/>
          <w:marBottom w:val="0"/>
          <w:divBdr>
            <w:top w:val="none" w:sz="0" w:space="0" w:color="auto"/>
            <w:left w:val="none" w:sz="0" w:space="0" w:color="auto"/>
            <w:bottom w:val="none" w:sz="0" w:space="0" w:color="auto"/>
            <w:right w:val="none" w:sz="0" w:space="0" w:color="auto"/>
          </w:divBdr>
        </w:div>
        <w:div w:id="1116173405">
          <w:marLeft w:val="0"/>
          <w:marRight w:val="0"/>
          <w:marTop w:val="0"/>
          <w:marBottom w:val="0"/>
          <w:divBdr>
            <w:top w:val="none" w:sz="0" w:space="0" w:color="auto"/>
            <w:left w:val="none" w:sz="0" w:space="0" w:color="auto"/>
            <w:bottom w:val="none" w:sz="0" w:space="0" w:color="auto"/>
            <w:right w:val="none" w:sz="0" w:space="0" w:color="auto"/>
          </w:divBdr>
        </w:div>
        <w:div w:id="803892481">
          <w:marLeft w:val="0"/>
          <w:marRight w:val="0"/>
          <w:marTop w:val="0"/>
          <w:marBottom w:val="0"/>
          <w:divBdr>
            <w:top w:val="none" w:sz="0" w:space="0" w:color="auto"/>
            <w:left w:val="none" w:sz="0" w:space="0" w:color="auto"/>
            <w:bottom w:val="none" w:sz="0" w:space="0" w:color="auto"/>
            <w:right w:val="none" w:sz="0" w:space="0" w:color="auto"/>
          </w:divBdr>
        </w:div>
        <w:div w:id="1707366681">
          <w:marLeft w:val="0"/>
          <w:marRight w:val="0"/>
          <w:marTop w:val="0"/>
          <w:marBottom w:val="0"/>
          <w:divBdr>
            <w:top w:val="none" w:sz="0" w:space="0" w:color="auto"/>
            <w:left w:val="none" w:sz="0" w:space="0" w:color="auto"/>
            <w:bottom w:val="none" w:sz="0" w:space="0" w:color="auto"/>
            <w:right w:val="none" w:sz="0" w:space="0" w:color="auto"/>
          </w:divBdr>
        </w:div>
        <w:div w:id="1230191730">
          <w:marLeft w:val="0"/>
          <w:marRight w:val="0"/>
          <w:marTop w:val="0"/>
          <w:marBottom w:val="0"/>
          <w:divBdr>
            <w:top w:val="none" w:sz="0" w:space="0" w:color="auto"/>
            <w:left w:val="none" w:sz="0" w:space="0" w:color="auto"/>
            <w:bottom w:val="none" w:sz="0" w:space="0" w:color="auto"/>
            <w:right w:val="none" w:sz="0" w:space="0" w:color="auto"/>
          </w:divBdr>
        </w:div>
        <w:div w:id="229467631">
          <w:marLeft w:val="0"/>
          <w:marRight w:val="0"/>
          <w:marTop w:val="0"/>
          <w:marBottom w:val="0"/>
          <w:divBdr>
            <w:top w:val="none" w:sz="0" w:space="0" w:color="auto"/>
            <w:left w:val="none" w:sz="0" w:space="0" w:color="auto"/>
            <w:bottom w:val="none" w:sz="0" w:space="0" w:color="auto"/>
            <w:right w:val="none" w:sz="0" w:space="0" w:color="auto"/>
          </w:divBdr>
        </w:div>
        <w:div w:id="861671301">
          <w:marLeft w:val="0"/>
          <w:marRight w:val="0"/>
          <w:marTop w:val="0"/>
          <w:marBottom w:val="0"/>
          <w:divBdr>
            <w:top w:val="none" w:sz="0" w:space="0" w:color="auto"/>
            <w:left w:val="none" w:sz="0" w:space="0" w:color="auto"/>
            <w:bottom w:val="none" w:sz="0" w:space="0" w:color="auto"/>
            <w:right w:val="none" w:sz="0" w:space="0" w:color="auto"/>
          </w:divBdr>
        </w:div>
        <w:div w:id="1627664181">
          <w:marLeft w:val="0"/>
          <w:marRight w:val="0"/>
          <w:marTop w:val="0"/>
          <w:marBottom w:val="0"/>
          <w:divBdr>
            <w:top w:val="none" w:sz="0" w:space="0" w:color="auto"/>
            <w:left w:val="none" w:sz="0" w:space="0" w:color="auto"/>
            <w:bottom w:val="none" w:sz="0" w:space="0" w:color="auto"/>
            <w:right w:val="none" w:sz="0" w:space="0" w:color="auto"/>
          </w:divBdr>
        </w:div>
        <w:div w:id="609508155">
          <w:marLeft w:val="0"/>
          <w:marRight w:val="0"/>
          <w:marTop w:val="0"/>
          <w:marBottom w:val="0"/>
          <w:divBdr>
            <w:top w:val="none" w:sz="0" w:space="0" w:color="auto"/>
            <w:left w:val="none" w:sz="0" w:space="0" w:color="auto"/>
            <w:bottom w:val="none" w:sz="0" w:space="0" w:color="auto"/>
            <w:right w:val="none" w:sz="0" w:space="0" w:color="auto"/>
          </w:divBdr>
        </w:div>
        <w:div w:id="432363558">
          <w:marLeft w:val="0"/>
          <w:marRight w:val="0"/>
          <w:marTop w:val="0"/>
          <w:marBottom w:val="0"/>
          <w:divBdr>
            <w:top w:val="none" w:sz="0" w:space="0" w:color="auto"/>
            <w:left w:val="none" w:sz="0" w:space="0" w:color="auto"/>
            <w:bottom w:val="none" w:sz="0" w:space="0" w:color="auto"/>
            <w:right w:val="none" w:sz="0" w:space="0" w:color="auto"/>
          </w:divBdr>
        </w:div>
        <w:div w:id="1104544107">
          <w:marLeft w:val="0"/>
          <w:marRight w:val="0"/>
          <w:marTop w:val="0"/>
          <w:marBottom w:val="0"/>
          <w:divBdr>
            <w:top w:val="none" w:sz="0" w:space="0" w:color="auto"/>
            <w:left w:val="none" w:sz="0" w:space="0" w:color="auto"/>
            <w:bottom w:val="none" w:sz="0" w:space="0" w:color="auto"/>
            <w:right w:val="none" w:sz="0" w:space="0" w:color="auto"/>
          </w:divBdr>
        </w:div>
        <w:div w:id="1795832294">
          <w:marLeft w:val="0"/>
          <w:marRight w:val="0"/>
          <w:marTop w:val="0"/>
          <w:marBottom w:val="0"/>
          <w:divBdr>
            <w:top w:val="none" w:sz="0" w:space="0" w:color="auto"/>
            <w:left w:val="none" w:sz="0" w:space="0" w:color="auto"/>
            <w:bottom w:val="none" w:sz="0" w:space="0" w:color="auto"/>
            <w:right w:val="none" w:sz="0" w:space="0" w:color="auto"/>
          </w:divBdr>
        </w:div>
        <w:div w:id="959722647">
          <w:marLeft w:val="0"/>
          <w:marRight w:val="0"/>
          <w:marTop w:val="0"/>
          <w:marBottom w:val="0"/>
          <w:divBdr>
            <w:top w:val="none" w:sz="0" w:space="0" w:color="auto"/>
            <w:left w:val="none" w:sz="0" w:space="0" w:color="auto"/>
            <w:bottom w:val="none" w:sz="0" w:space="0" w:color="auto"/>
            <w:right w:val="none" w:sz="0" w:space="0" w:color="auto"/>
          </w:divBdr>
        </w:div>
        <w:div w:id="344595238">
          <w:marLeft w:val="0"/>
          <w:marRight w:val="0"/>
          <w:marTop w:val="0"/>
          <w:marBottom w:val="0"/>
          <w:divBdr>
            <w:top w:val="none" w:sz="0" w:space="0" w:color="auto"/>
            <w:left w:val="none" w:sz="0" w:space="0" w:color="auto"/>
            <w:bottom w:val="none" w:sz="0" w:space="0" w:color="auto"/>
            <w:right w:val="none" w:sz="0" w:space="0" w:color="auto"/>
          </w:divBdr>
        </w:div>
        <w:div w:id="390731497">
          <w:marLeft w:val="0"/>
          <w:marRight w:val="0"/>
          <w:marTop w:val="0"/>
          <w:marBottom w:val="0"/>
          <w:divBdr>
            <w:top w:val="none" w:sz="0" w:space="0" w:color="auto"/>
            <w:left w:val="none" w:sz="0" w:space="0" w:color="auto"/>
            <w:bottom w:val="none" w:sz="0" w:space="0" w:color="auto"/>
            <w:right w:val="none" w:sz="0" w:space="0" w:color="auto"/>
          </w:divBdr>
        </w:div>
        <w:div w:id="2114546740">
          <w:marLeft w:val="0"/>
          <w:marRight w:val="0"/>
          <w:marTop w:val="0"/>
          <w:marBottom w:val="0"/>
          <w:divBdr>
            <w:top w:val="none" w:sz="0" w:space="0" w:color="auto"/>
            <w:left w:val="none" w:sz="0" w:space="0" w:color="auto"/>
            <w:bottom w:val="none" w:sz="0" w:space="0" w:color="auto"/>
            <w:right w:val="none" w:sz="0" w:space="0" w:color="auto"/>
          </w:divBdr>
        </w:div>
        <w:div w:id="624624955">
          <w:marLeft w:val="0"/>
          <w:marRight w:val="0"/>
          <w:marTop w:val="0"/>
          <w:marBottom w:val="0"/>
          <w:divBdr>
            <w:top w:val="none" w:sz="0" w:space="0" w:color="auto"/>
            <w:left w:val="none" w:sz="0" w:space="0" w:color="auto"/>
            <w:bottom w:val="none" w:sz="0" w:space="0" w:color="auto"/>
            <w:right w:val="none" w:sz="0" w:space="0" w:color="auto"/>
          </w:divBdr>
        </w:div>
        <w:div w:id="686102562">
          <w:marLeft w:val="0"/>
          <w:marRight w:val="0"/>
          <w:marTop w:val="0"/>
          <w:marBottom w:val="0"/>
          <w:divBdr>
            <w:top w:val="none" w:sz="0" w:space="0" w:color="auto"/>
            <w:left w:val="none" w:sz="0" w:space="0" w:color="auto"/>
            <w:bottom w:val="none" w:sz="0" w:space="0" w:color="auto"/>
            <w:right w:val="none" w:sz="0" w:space="0" w:color="auto"/>
          </w:divBdr>
        </w:div>
        <w:div w:id="1462916080">
          <w:marLeft w:val="0"/>
          <w:marRight w:val="0"/>
          <w:marTop w:val="0"/>
          <w:marBottom w:val="0"/>
          <w:divBdr>
            <w:top w:val="none" w:sz="0" w:space="0" w:color="auto"/>
            <w:left w:val="none" w:sz="0" w:space="0" w:color="auto"/>
            <w:bottom w:val="none" w:sz="0" w:space="0" w:color="auto"/>
            <w:right w:val="none" w:sz="0" w:space="0" w:color="auto"/>
          </w:divBdr>
        </w:div>
        <w:div w:id="1046759050">
          <w:marLeft w:val="0"/>
          <w:marRight w:val="0"/>
          <w:marTop w:val="0"/>
          <w:marBottom w:val="0"/>
          <w:divBdr>
            <w:top w:val="none" w:sz="0" w:space="0" w:color="auto"/>
            <w:left w:val="none" w:sz="0" w:space="0" w:color="auto"/>
            <w:bottom w:val="none" w:sz="0" w:space="0" w:color="auto"/>
            <w:right w:val="none" w:sz="0" w:space="0" w:color="auto"/>
          </w:divBdr>
        </w:div>
        <w:div w:id="1117748571">
          <w:marLeft w:val="0"/>
          <w:marRight w:val="0"/>
          <w:marTop w:val="0"/>
          <w:marBottom w:val="0"/>
          <w:divBdr>
            <w:top w:val="none" w:sz="0" w:space="0" w:color="auto"/>
            <w:left w:val="none" w:sz="0" w:space="0" w:color="auto"/>
            <w:bottom w:val="none" w:sz="0" w:space="0" w:color="auto"/>
            <w:right w:val="none" w:sz="0" w:space="0" w:color="auto"/>
          </w:divBdr>
        </w:div>
        <w:div w:id="1202670406">
          <w:marLeft w:val="0"/>
          <w:marRight w:val="0"/>
          <w:marTop w:val="0"/>
          <w:marBottom w:val="0"/>
          <w:divBdr>
            <w:top w:val="none" w:sz="0" w:space="0" w:color="auto"/>
            <w:left w:val="none" w:sz="0" w:space="0" w:color="auto"/>
            <w:bottom w:val="none" w:sz="0" w:space="0" w:color="auto"/>
            <w:right w:val="none" w:sz="0" w:space="0" w:color="auto"/>
          </w:divBdr>
        </w:div>
        <w:div w:id="1595816352">
          <w:marLeft w:val="0"/>
          <w:marRight w:val="0"/>
          <w:marTop w:val="0"/>
          <w:marBottom w:val="0"/>
          <w:divBdr>
            <w:top w:val="none" w:sz="0" w:space="0" w:color="auto"/>
            <w:left w:val="none" w:sz="0" w:space="0" w:color="auto"/>
            <w:bottom w:val="none" w:sz="0" w:space="0" w:color="auto"/>
            <w:right w:val="none" w:sz="0" w:space="0" w:color="auto"/>
          </w:divBdr>
        </w:div>
        <w:div w:id="1486968640">
          <w:marLeft w:val="0"/>
          <w:marRight w:val="0"/>
          <w:marTop w:val="0"/>
          <w:marBottom w:val="0"/>
          <w:divBdr>
            <w:top w:val="none" w:sz="0" w:space="0" w:color="auto"/>
            <w:left w:val="none" w:sz="0" w:space="0" w:color="auto"/>
            <w:bottom w:val="none" w:sz="0" w:space="0" w:color="auto"/>
            <w:right w:val="none" w:sz="0" w:space="0" w:color="auto"/>
          </w:divBdr>
        </w:div>
        <w:div w:id="1263758547">
          <w:marLeft w:val="0"/>
          <w:marRight w:val="0"/>
          <w:marTop w:val="0"/>
          <w:marBottom w:val="0"/>
          <w:divBdr>
            <w:top w:val="none" w:sz="0" w:space="0" w:color="auto"/>
            <w:left w:val="none" w:sz="0" w:space="0" w:color="auto"/>
            <w:bottom w:val="none" w:sz="0" w:space="0" w:color="auto"/>
            <w:right w:val="none" w:sz="0" w:space="0" w:color="auto"/>
          </w:divBdr>
        </w:div>
        <w:div w:id="9917425">
          <w:marLeft w:val="0"/>
          <w:marRight w:val="0"/>
          <w:marTop w:val="0"/>
          <w:marBottom w:val="0"/>
          <w:divBdr>
            <w:top w:val="none" w:sz="0" w:space="0" w:color="auto"/>
            <w:left w:val="none" w:sz="0" w:space="0" w:color="auto"/>
            <w:bottom w:val="none" w:sz="0" w:space="0" w:color="auto"/>
            <w:right w:val="none" w:sz="0" w:space="0" w:color="auto"/>
          </w:divBdr>
        </w:div>
        <w:div w:id="1480003627">
          <w:marLeft w:val="0"/>
          <w:marRight w:val="0"/>
          <w:marTop w:val="0"/>
          <w:marBottom w:val="0"/>
          <w:divBdr>
            <w:top w:val="none" w:sz="0" w:space="0" w:color="auto"/>
            <w:left w:val="none" w:sz="0" w:space="0" w:color="auto"/>
            <w:bottom w:val="none" w:sz="0" w:space="0" w:color="auto"/>
            <w:right w:val="none" w:sz="0" w:space="0" w:color="auto"/>
          </w:divBdr>
        </w:div>
        <w:div w:id="1586382739">
          <w:marLeft w:val="0"/>
          <w:marRight w:val="0"/>
          <w:marTop w:val="0"/>
          <w:marBottom w:val="0"/>
          <w:divBdr>
            <w:top w:val="none" w:sz="0" w:space="0" w:color="auto"/>
            <w:left w:val="none" w:sz="0" w:space="0" w:color="auto"/>
            <w:bottom w:val="none" w:sz="0" w:space="0" w:color="auto"/>
            <w:right w:val="none" w:sz="0" w:space="0" w:color="auto"/>
          </w:divBdr>
        </w:div>
        <w:div w:id="2062442547">
          <w:marLeft w:val="0"/>
          <w:marRight w:val="0"/>
          <w:marTop w:val="0"/>
          <w:marBottom w:val="0"/>
          <w:divBdr>
            <w:top w:val="none" w:sz="0" w:space="0" w:color="auto"/>
            <w:left w:val="none" w:sz="0" w:space="0" w:color="auto"/>
            <w:bottom w:val="none" w:sz="0" w:space="0" w:color="auto"/>
            <w:right w:val="none" w:sz="0" w:space="0" w:color="auto"/>
          </w:divBdr>
        </w:div>
        <w:div w:id="471093955">
          <w:marLeft w:val="0"/>
          <w:marRight w:val="0"/>
          <w:marTop w:val="0"/>
          <w:marBottom w:val="0"/>
          <w:divBdr>
            <w:top w:val="none" w:sz="0" w:space="0" w:color="auto"/>
            <w:left w:val="none" w:sz="0" w:space="0" w:color="auto"/>
            <w:bottom w:val="none" w:sz="0" w:space="0" w:color="auto"/>
            <w:right w:val="none" w:sz="0" w:space="0" w:color="auto"/>
          </w:divBdr>
        </w:div>
        <w:div w:id="851996335">
          <w:marLeft w:val="0"/>
          <w:marRight w:val="0"/>
          <w:marTop w:val="0"/>
          <w:marBottom w:val="0"/>
          <w:divBdr>
            <w:top w:val="none" w:sz="0" w:space="0" w:color="auto"/>
            <w:left w:val="none" w:sz="0" w:space="0" w:color="auto"/>
            <w:bottom w:val="none" w:sz="0" w:space="0" w:color="auto"/>
            <w:right w:val="none" w:sz="0" w:space="0" w:color="auto"/>
          </w:divBdr>
        </w:div>
        <w:div w:id="1597134597">
          <w:marLeft w:val="0"/>
          <w:marRight w:val="0"/>
          <w:marTop w:val="0"/>
          <w:marBottom w:val="0"/>
          <w:divBdr>
            <w:top w:val="none" w:sz="0" w:space="0" w:color="auto"/>
            <w:left w:val="none" w:sz="0" w:space="0" w:color="auto"/>
            <w:bottom w:val="none" w:sz="0" w:space="0" w:color="auto"/>
            <w:right w:val="none" w:sz="0" w:space="0" w:color="auto"/>
          </w:divBdr>
        </w:div>
        <w:div w:id="72051749">
          <w:marLeft w:val="0"/>
          <w:marRight w:val="0"/>
          <w:marTop w:val="0"/>
          <w:marBottom w:val="0"/>
          <w:divBdr>
            <w:top w:val="none" w:sz="0" w:space="0" w:color="auto"/>
            <w:left w:val="none" w:sz="0" w:space="0" w:color="auto"/>
            <w:bottom w:val="none" w:sz="0" w:space="0" w:color="auto"/>
            <w:right w:val="none" w:sz="0" w:space="0" w:color="auto"/>
          </w:divBdr>
        </w:div>
        <w:div w:id="2105607016">
          <w:marLeft w:val="0"/>
          <w:marRight w:val="0"/>
          <w:marTop w:val="0"/>
          <w:marBottom w:val="0"/>
          <w:divBdr>
            <w:top w:val="none" w:sz="0" w:space="0" w:color="auto"/>
            <w:left w:val="none" w:sz="0" w:space="0" w:color="auto"/>
            <w:bottom w:val="none" w:sz="0" w:space="0" w:color="auto"/>
            <w:right w:val="none" w:sz="0" w:space="0" w:color="auto"/>
          </w:divBdr>
        </w:div>
        <w:div w:id="1088309236">
          <w:marLeft w:val="0"/>
          <w:marRight w:val="0"/>
          <w:marTop w:val="0"/>
          <w:marBottom w:val="0"/>
          <w:divBdr>
            <w:top w:val="none" w:sz="0" w:space="0" w:color="auto"/>
            <w:left w:val="none" w:sz="0" w:space="0" w:color="auto"/>
            <w:bottom w:val="none" w:sz="0" w:space="0" w:color="auto"/>
            <w:right w:val="none" w:sz="0" w:space="0" w:color="auto"/>
          </w:divBdr>
        </w:div>
        <w:div w:id="5639806">
          <w:marLeft w:val="0"/>
          <w:marRight w:val="0"/>
          <w:marTop w:val="0"/>
          <w:marBottom w:val="0"/>
          <w:divBdr>
            <w:top w:val="none" w:sz="0" w:space="0" w:color="auto"/>
            <w:left w:val="none" w:sz="0" w:space="0" w:color="auto"/>
            <w:bottom w:val="none" w:sz="0" w:space="0" w:color="auto"/>
            <w:right w:val="none" w:sz="0" w:space="0" w:color="auto"/>
          </w:divBdr>
        </w:div>
        <w:div w:id="1917283316">
          <w:marLeft w:val="0"/>
          <w:marRight w:val="0"/>
          <w:marTop w:val="0"/>
          <w:marBottom w:val="0"/>
          <w:divBdr>
            <w:top w:val="none" w:sz="0" w:space="0" w:color="auto"/>
            <w:left w:val="none" w:sz="0" w:space="0" w:color="auto"/>
            <w:bottom w:val="none" w:sz="0" w:space="0" w:color="auto"/>
            <w:right w:val="none" w:sz="0" w:space="0" w:color="auto"/>
          </w:divBdr>
        </w:div>
        <w:div w:id="271203571">
          <w:marLeft w:val="0"/>
          <w:marRight w:val="0"/>
          <w:marTop w:val="0"/>
          <w:marBottom w:val="0"/>
          <w:divBdr>
            <w:top w:val="none" w:sz="0" w:space="0" w:color="auto"/>
            <w:left w:val="none" w:sz="0" w:space="0" w:color="auto"/>
            <w:bottom w:val="none" w:sz="0" w:space="0" w:color="auto"/>
            <w:right w:val="none" w:sz="0" w:space="0" w:color="auto"/>
          </w:divBdr>
        </w:div>
        <w:div w:id="1650747187">
          <w:marLeft w:val="0"/>
          <w:marRight w:val="0"/>
          <w:marTop w:val="0"/>
          <w:marBottom w:val="0"/>
          <w:divBdr>
            <w:top w:val="none" w:sz="0" w:space="0" w:color="auto"/>
            <w:left w:val="none" w:sz="0" w:space="0" w:color="auto"/>
            <w:bottom w:val="none" w:sz="0" w:space="0" w:color="auto"/>
            <w:right w:val="none" w:sz="0" w:space="0" w:color="auto"/>
          </w:divBdr>
        </w:div>
        <w:div w:id="983924486">
          <w:marLeft w:val="0"/>
          <w:marRight w:val="0"/>
          <w:marTop w:val="0"/>
          <w:marBottom w:val="0"/>
          <w:divBdr>
            <w:top w:val="none" w:sz="0" w:space="0" w:color="auto"/>
            <w:left w:val="none" w:sz="0" w:space="0" w:color="auto"/>
            <w:bottom w:val="none" w:sz="0" w:space="0" w:color="auto"/>
            <w:right w:val="none" w:sz="0" w:space="0" w:color="auto"/>
          </w:divBdr>
        </w:div>
        <w:div w:id="1018317545">
          <w:marLeft w:val="0"/>
          <w:marRight w:val="0"/>
          <w:marTop w:val="0"/>
          <w:marBottom w:val="0"/>
          <w:divBdr>
            <w:top w:val="none" w:sz="0" w:space="0" w:color="auto"/>
            <w:left w:val="none" w:sz="0" w:space="0" w:color="auto"/>
            <w:bottom w:val="none" w:sz="0" w:space="0" w:color="auto"/>
            <w:right w:val="none" w:sz="0" w:space="0" w:color="auto"/>
          </w:divBdr>
        </w:div>
        <w:div w:id="1801413132">
          <w:marLeft w:val="0"/>
          <w:marRight w:val="0"/>
          <w:marTop w:val="0"/>
          <w:marBottom w:val="0"/>
          <w:divBdr>
            <w:top w:val="none" w:sz="0" w:space="0" w:color="auto"/>
            <w:left w:val="none" w:sz="0" w:space="0" w:color="auto"/>
            <w:bottom w:val="none" w:sz="0" w:space="0" w:color="auto"/>
            <w:right w:val="none" w:sz="0" w:space="0" w:color="auto"/>
          </w:divBdr>
        </w:div>
        <w:div w:id="100803640">
          <w:marLeft w:val="0"/>
          <w:marRight w:val="0"/>
          <w:marTop w:val="0"/>
          <w:marBottom w:val="0"/>
          <w:divBdr>
            <w:top w:val="none" w:sz="0" w:space="0" w:color="auto"/>
            <w:left w:val="none" w:sz="0" w:space="0" w:color="auto"/>
            <w:bottom w:val="none" w:sz="0" w:space="0" w:color="auto"/>
            <w:right w:val="none" w:sz="0" w:space="0" w:color="auto"/>
          </w:divBdr>
        </w:div>
        <w:div w:id="143015174">
          <w:marLeft w:val="0"/>
          <w:marRight w:val="0"/>
          <w:marTop w:val="0"/>
          <w:marBottom w:val="0"/>
          <w:divBdr>
            <w:top w:val="none" w:sz="0" w:space="0" w:color="auto"/>
            <w:left w:val="none" w:sz="0" w:space="0" w:color="auto"/>
            <w:bottom w:val="none" w:sz="0" w:space="0" w:color="auto"/>
            <w:right w:val="none" w:sz="0" w:space="0" w:color="auto"/>
          </w:divBdr>
        </w:div>
        <w:div w:id="953050433">
          <w:marLeft w:val="0"/>
          <w:marRight w:val="0"/>
          <w:marTop w:val="0"/>
          <w:marBottom w:val="0"/>
          <w:divBdr>
            <w:top w:val="none" w:sz="0" w:space="0" w:color="auto"/>
            <w:left w:val="none" w:sz="0" w:space="0" w:color="auto"/>
            <w:bottom w:val="none" w:sz="0" w:space="0" w:color="auto"/>
            <w:right w:val="none" w:sz="0" w:space="0" w:color="auto"/>
          </w:divBdr>
        </w:div>
        <w:div w:id="35324212">
          <w:marLeft w:val="0"/>
          <w:marRight w:val="0"/>
          <w:marTop w:val="0"/>
          <w:marBottom w:val="0"/>
          <w:divBdr>
            <w:top w:val="none" w:sz="0" w:space="0" w:color="auto"/>
            <w:left w:val="none" w:sz="0" w:space="0" w:color="auto"/>
            <w:bottom w:val="none" w:sz="0" w:space="0" w:color="auto"/>
            <w:right w:val="none" w:sz="0" w:space="0" w:color="auto"/>
          </w:divBdr>
        </w:div>
        <w:div w:id="774709230">
          <w:marLeft w:val="0"/>
          <w:marRight w:val="0"/>
          <w:marTop w:val="0"/>
          <w:marBottom w:val="0"/>
          <w:divBdr>
            <w:top w:val="none" w:sz="0" w:space="0" w:color="auto"/>
            <w:left w:val="none" w:sz="0" w:space="0" w:color="auto"/>
            <w:bottom w:val="none" w:sz="0" w:space="0" w:color="auto"/>
            <w:right w:val="none" w:sz="0" w:space="0" w:color="auto"/>
          </w:divBdr>
        </w:div>
        <w:div w:id="2032873066">
          <w:marLeft w:val="0"/>
          <w:marRight w:val="0"/>
          <w:marTop w:val="0"/>
          <w:marBottom w:val="0"/>
          <w:divBdr>
            <w:top w:val="none" w:sz="0" w:space="0" w:color="auto"/>
            <w:left w:val="none" w:sz="0" w:space="0" w:color="auto"/>
            <w:bottom w:val="none" w:sz="0" w:space="0" w:color="auto"/>
            <w:right w:val="none" w:sz="0" w:space="0" w:color="auto"/>
          </w:divBdr>
        </w:div>
        <w:div w:id="1064140773">
          <w:marLeft w:val="0"/>
          <w:marRight w:val="0"/>
          <w:marTop w:val="0"/>
          <w:marBottom w:val="0"/>
          <w:divBdr>
            <w:top w:val="none" w:sz="0" w:space="0" w:color="auto"/>
            <w:left w:val="none" w:sz="0" w:space="0" w:color="auto"/>
            <w:bottom w:val="none" w:sz="0" w:space="0" w:color="auto"/>
            <w:right w:val="none" w:sz="0" w:space="0" w:color="auto"/>
          </w:divBdr>
        </w:div>
        <w:div w:id="769475255">
          <w:marLeft w:val="0"/>
          <w:marRight w:val="0"/>
          <w:marTop w:val="0"/>
          <w:marBottom w:val="0"/>
          <w:divBdr>
            <w:top w:val="none" w:sz="0" w:space="0" w:color="auto"/>
            <w:left w:val="none" w:sz="0" w:space="0" w:color="auto"/>
            <w:bottom w:val="none" w:sz="0" w:space="0" w:color="auto"/>
            <w:right w:val="none" w:sz="0" w:space="0" w:color="auto"/>
          </w:divBdr>
        </w:div>
        <w:div w:id="2082557668">
          <w:marLeft w:val="0"/>
          <w:marRight w:val="0"/>
          <w:marTop w:val="0"/>
          <w:marBottom w:val="0"/>
          <w:divBdr>
            <w:top w:val="none" w:sz="0" w:space="0" w:color="auto"/>
            <w:left w:val="none" w:sz="0" w:space="0" w:color="auto"/>
            <w:bottom w:val="none" w:sz="0" w:space="0" w:color="auto"/>
            <w:right w:val="none" w:sz="0" w:space="0" w:color="auto"/>
          </w:divBdr>
        </w:div>
        <w:div w:id="381833916">
          <w:marLeft w:val="0"/>
          <w:marRight w:val="0"/>
          <w:marTop w:val="0"/>
          <w:marBottom w:val="0"/>
          <w:divBdr>
            <w:top w:val="none" w:sz="0" w:space="0" w:color="auto"/>
            <w:left w:val="none" w:sz="0" w:space="0" w:color="auto"/>
            <w:bottom w:val="none" w:sz="0" w:space="0" w:color="auto"/>
            <w:right w:val="none" w:sz="0" w:space="0" w:color="auto"/>
          </w:divBdr>
        </w:div>
        <w:div w:id="213009806">
          <w:marLeft w:val="0"/>
          <w:marRight w:val="0"/>
          <w:marTop w:val="0"/>
          <w:marBottom w:val="0"/>
          <w:divBdr>
            <w:top w:val="none" w:sz="0" w:space="0" w:color="auto"/>
            <w:left w:val="none" w:sz="0" w:space="0" w:color="auto"/>
            <w:bottom w:val="none" w:sz="0" w:space="0" w:color="auto"/>
            <w:right w:val="none" w:sz="0" w:space="0" w:color="auto"/>
          </w:divBdr>
        </w:div>
        <w:div w:id="1779640967">
          <w:marLeft w:val="0"/>
          <w:marRight w:val="0"/>
          <w:marTop w:val="0"/>
          <w:marBottom w:val="0"/>
          <w:divBdr>
            <w:top w:val="none" w:sz="0" w:space="0" w:color="auto"/>
            <w:left w:val="none" w:sz="0" w:space="0" w:color="auto"/>
            <w:bottom w:val="none" w:sz="0" w:space="0" w:color="auto"/>
            <w:right w:val="none" w:sz="0" w:space="0" w:color="auto"/>
          </w:divBdr>
        </w:div>
        <w:div w:id="554850927">
          <w:marLeft w:val="0"/>
          <w:marRight w:val="0"/>
          <w:marTop w:val="0"/>
          <w:marBottom w:val="0"/>
          <w:divBdr>
            <w:top w:val="none" w:sz="0" w:space="0" w:color="auto"/>
            <w:left w:val="none" w:sz="0" w:space="0" w:color="auto"/>
            <w:bottom w:val="none" w:sz="0" w:space="0" w:color="auto"/>
            <w:right w:val="none" w:sz="0" w:space="0" w:color="auto"/>
          </w:divBdr>
        </w:div>
        <w:div w:id="1908950728">
          <w:marLeft w:val="0"/>
          <w:marRight w:val="0"/>
          <w:marTop w:val="0"/>
          <w:marBottom w:val="0"/>
          <w:divBdr>
            <w:top w:val="none" w:sz="0" w:space="0" w:color="auto"/>
            <w:left w:val="none" w:sz="0" w:space="0" w:color="auto"/>
            <w:bottom w:val="none" w:sz="0" w:space="0" w:color="auto"/>
            <w:right w:val="none" w:sz="0" w:space="0" w:color="auto"/>
          </w:divBdr>
        </w:div>
        <w:div w:id="2135364738">
          <w:marLeft w:val="0"/>
          <w:marRight w:val="0"/>
          <w:marTop w:val="0"/>
          <w:marBottom w:val="0"/>
          <w:divBdr>
            <w:top w:val="none" w:sz="0" w:space="0" w:color="auto"/>
            <w:left w:val="none" w:sz="0" w:space="0" w:color="auto"/>
            <w:bottom w:val="none" w:sz="0" w:space="0" w:color="auto"/>
            <w:right w:val="none" w:sz="0" w:space="0" w:color="auto"/>
          </w:divBdr>
        </w:div>
        <w:div w:id="1451823271">
          <w:marLeft w:val="0"/>
          <w:marRight w:val="0"/>
          <w:marTop w:val="0"/>
          <w:marBottom w:val="0"/>
          <w:divBdr>
            <w:top w:val="none" w:sz="0" w:space="0" w:color="auto"/>
            <w:left w:val="none" w:sz="0" w:space="0" w:color="auto"/>
            <w:bottom w:val="none" w:sz="0" w:space="0" w:color="auto"/>
            <w:right w:val="none" w:sz="0" w:space="0" w:color="auto"/>
          </w:divBdr>
        </w:div>
        <w:div w:id="1724021637">
          <w:marLeft w:val="0"/>
          <w:marRight w:val="0"/>
          <w:marTop w:val="0"/>
          <w:marBottom w:val="0"/>
          <w:divBdr>
            <w:top w:val="none" w:sz="0" w:space="0" w:color="auto"/>
            <w:left w:val="none" w:sz="0" w:space="0" w:color="auto"/>
            <w:bottom w:val="none" w:sz="0" w:space="0" w:color="auto"/>
            <w:right w:val="none" w:sz="0" w:space="0" w:color="auto"/>
          </w:divBdr>
        </w:div>
        <w:div w:id="1188058254">
          <w:marLeft w:val="0"/>
          <w:marRight w:val="0"/>
          <w:marTop w:val="0"/>
          <w:marBottom w:val="0"/>
          <w:divBdr>
            <w:top w:val="none" w:sz="0" w:space="0" w:color="auto"/>
            <w:left w:val="none" w:sz="0" w:space="0" w:color="auto"/>
            <w:bottom w:val="none" w:sz="0" w:space="0" w:color="auto"/>
            <w:right w:val="none" w:sz="0" w:space="0" w:color="auto"/>
          </w:divBdr>
        </w:div>
        <w:div w:id="1525902844">
          <w:marLeft w:val="0"/>
          <w:marRight w:val="0"/>
          <w:marTop w:val="0"/>
          <w:marBottom w:val="0"/>
          <w:divBdr>
            <w:top w:val="none" w:sz="0" w:space="0" w:color="auto"/>
            <w:left w:val="none" w:sz="0" w:space="0" w:color="auto"/>
            <w:bottom w:val="none" w:sz="0" w:space="0" w:color="auto"/>
            <w:right w:val="none" w:sz="0" w:space="0" w:color="auto"/>
          </w:divBdr>
        </w:div>
        <w:div w:id="313877047">
          <w:marLeft w:val="0"/>
          <w:marRight w:val="0"/>
          <w:marTop w:val="0"/>
          <w:marBottom w:val="0"/>
          <w:divBdr>
            <w:top w:val="none" w:sz="0" w:space="0" w:color="auto"/>
            <w:left w:val="none" w:sz="0" w:space="0" w:color="auto"/>
            <w:bottom w:val="none" w:sz="0" w:space="0" w:color="auto"/>
            <w:right w:val="none" w:sz="0" w:space="0" w:color="auto"/>
          </w:divBdr>
        </w:div>
        <w:div w:id="1934438987">
          <w:marLeft w:val="0"/>
          <w:marRight w:val="0"/>
          <w:marTop w:val="0"/>
          <w:marBottom w:val="0"/>
          <w:divBdr>
            <w:top w:val="none" w:sz="0" w:space="0" w:color="auto"/>
            <w:left w:val="none" w:sz="0" w:space="0" w:color="auto"/>
            <w:bottom w:val="none" w:sz="0" w:space="0" w:color="auto"/>
            <w:right w:val="none" w:sz="0" w:space="0" w:color="auto"/>
          </w:divBdr>
        </w:div>
        <w:div w:id="188297106">
          <w:marLeft w:val="0"/>
          <w:marRight w:val="0"/>
          <w:marTop w:val="0"/>
          <w:marBottom w:val="0"/>
          <w:divBdr>
            <w:top w:val="none" w:sz="0" w:space="0" w:color="auto"/>
            <w:left w:val="none" w:sz="0" w:space="0" w:color="auto"/>
            <w:bottom w:val="none" w:sz="0" w:space="0" w:color="auto"/>
            <w:right w:val="none" w:sz="0" w:space="0" w:color="auto"/>
          </w:divBdr>
        </w:div>
        <w:div w:id="77560804">
          <w:marLeft w:val="0"/>
          <w:marRight w:val="0"/>
          <w:marTop w:val="0"/>
          <w:marBottom w:val="0"/>
          <w:divBdr>
            <w:top w:val="none" w:sz="0" w:space="0" w:color="auto"/>
            <w:left w:val="none" w:sz="0" w:space="0" w:color="auto"/>
            <w:bottom w:val="none" w:sz="0" w:space="0" w:color="auto"/>
            <w:right w:val="none" w:sz="0" w:space="0" w:color="auto"/>
          </w:divBdr>
        </w:div>
        <w:div w:id="72095065">
          <w:marLeft w:val="0"/>
          <w:marRight w:val="0"/>
          <w:marTop w:val="0"/>
          <w:marBottom w:val="0"/>
          <w:divBdr>
            <w:top w:val="none" w:sz="0" w:space="0" w:color="auto"/>
            <w:left w:val="none" w:sz="0" w:space="0" w:color="auto"/>
            <w:bottom w:val="none" w:sz="0" w:space="0" w:color="auto"/>
            <w:right w:val="none" w:sz="0" w:space="0" w:color="auto"/>
          </w:divBdr>
        </w:div>
        <w:div w:id="18236944">
          <w:marLeft w:val="0"/>
          <w:marRight w:val="0"/>
          <w:marTop w:val="0"/>
          <w:marBottom w:val="0"/>
          <w:divBdr>
            <w:top w:val="none" w:sz="0" w:space="0" w:color="auto"/>
            <w:left w:val="none" w:sz="0" w:space="0" w:color="auto"/>
            <w:bottom w:val="none" w:sz="0" w:space="0" w:color="auto"/>
            <w:right w:val="none" w:sz="0" w:space="0" w:color="auto"/>
          </w:divBdr>
        </w:div>
        <w:div w:id="2087847376">
          <w:marLeft w:val="0"/>
          <w:marRight w:val="0"/>
          <w:marTop w:val="0"/>
          <w:marBottom w:val="0"/>
          <w:divBdr>
            <w:top w:val="none" w:sz="0" w:space="0" w:color="auto"/>
            <w:left w:val="none" w:sz="0" w:space="0" w:color="auto"/>
            <w:bottom w:val="none" w:sz="0" w:space="0" w:color="auto"/>
            <w:right w:val="none" w:sz="0" w:space="0" w:color="auto"/>
          </w:divBdr>
        </w:div>
        <w:div w:id="362053504">
          <w:marLeft w:val="0"/>
          <w:marRight w:val="0"/>
          <w:marTop w:val="0"/>
          <w:marBottom w:val="0"/>
          <w:divBdr>
            <w:top w:val="none" w:sz="0" w:space="0" w:color="auto"/>
            <w:left w:val="none" w:sz="0" w:space="0" w:color="auto"/>
            <w:bottom w:val="none" w:sz="0" w:space="0" w:color="auto"/>
            <w:right w:val="none" w:sz="0" w:space="0" w:color="auto"/>
          </w:divBdr>
        </w:div>
        <w:div w:id="240529364">
          <w:marLeft w:val="0"/>
          <w:marRight w:val="0"/>
          <w:marTop w:val="0"/>
          <w:marBottom w:val="0"/>
          <w:divBdr>
            <w:top w:val="none" w:sz="0" w:space="0" w:color="auto"/>
            <w:left w:val="none" w:sz="0" w:space="0" w:color="auto"/>
            <w:bottom w:val="none" w:sz="0" w:space="0" w:color="auto"/>
            <w:right w:val="none" w:sz="0" w:space="0" w:color="auto"/>
          </w:divBdr>
        </w:div>
        <w:div w:id="1924562556">
          <w:marLeft w:val="0"/>
          <w:marRight w:val="0"/>
          <w:marTop w:val="0"/>
          <w:marBottom w:val="0"/>
          <w:divBdr>
            <w:top w:val="none" w:sz="0" w:space="0" w:color="auto"/>
            <w:left w:val="none" w:sz="0" w:space="0" w:color="auto"/>
            <w:bottom w:val="none" w:sz="0" w:space="0" w:color="auto"/>
            <w:right w:val="none" w:sz="0" w:space="0" w:color="auto"/>
          </w:divBdr>
        </w:div>
        <w:div w:id="2138721039">
          <w:marLeft w:val="0"/>
          <w:marRight w:val="0"/>
          <w:marTop w:val="0"/>
          <w:marBottom w:val="0"/>
          <w:divBdr>
            <w:top w:val="none" w:sz="0" w:space="0" w:color="auto"/>
            <w:left w:val="none" w:sz="0" w:space="0" w:color="auto"/>
            <w:bottom w:val="none" w:sz="0" w:space="0" w:color="auto"/>
            <w:right w:val="none" w:sz="0" w:space="0" w:color="auto"/>
          </w:divBdr>
        </w:div>
        <w:div w:id="368651747">
          <w:marLeft w:val="0"/>
          <w:marRight w:val="0"/>
          <w:marTop w:val="0"/>
          <w:marBottom w:val="0"/>
          <w:divBdr>
            <w:top w:val="none" w:sz="0" w:space="0" w:color="auto"/>
            <w:left w:val="none" w:sz="0" w:space="0" w:color="auto"/>
            <w:bottom w:val="none" w:sz="0" w:space="0" w:color="auto"/>
            <w:right w:val="none" w:sz="0" w:space="0" w:color="auto"/>
          </w:divBdr>
        </w:div>
        <w:div w:id="2140804767">
          <w:marLeft w:val="0"/>
          <w:marRight w:val="0"/>
          <w:marTop w:val="0"/>
          <w:marBottom w:val="0"/>
          <w:divBdr>
            <w:top w:val="none" w:sz="0" w:space="0" w:color="auto"/>
            <w:left w:val="none" w:sz="0" w:space="0" w:color="auto"/>
            <w:bottom w:val="none" w:sz="0" w:space="0" w:color="auto"/>
            <w:right w:val="none" w:sz="0" w:space="0" w:color="auto"/>
          </w:divBdr>
        </w:div>
        <w:div w:id="1709604262">
          <w:marLeft w:val="0"/>
          <w:marRight w:val="0"/>
          <w:marTop w:val="0"/>
          <w:marBottom w:val="0"/>
          <w:divBdr>
            <w:top w:val="none" w:sz="0" w:space="0" w:color="auto"/>
            <w:left w:val="none" w:sz="0" w:space="0" w:color="auto"/>
            <w:bottom w:val="none" w:sz="0" w:space="0" w:color="auto"/>
            <w:right w:val="none" w:sz="0" w:space="0" w:color="auto"/>
          </w:divBdr>
        </w:div>
        <w:div w:id="1692106735">
          <w:marLeft w:val="0"/>
          <w:marRight w:val="0"/>
          <w:marTop w:val="0"/>
          <w:marBottom w:val="0"/>
          <w:divBdr>
            <w:top w:val="none" w:sz="0" w:space="0" w:color="auto"/>
            <w:left w:val="none" w:sz="0" w:space="0" w:color="auto"/>
            <w:bottom w:val="none" w:sz="0" w:space="0" w:color="auto"/>
            <w:right w:val="none" w:sz="0" w:space="0" w:color="auto"/>
          </w:divBdr>
        </w:div>
        <w:div w:id="627126704">
          <w:marLeft w:val="0"/>
          <w:marRight w:val="0"/>
          <w:marTop w:val="0"/>
          <w:marBottom w:val="0"/>
          <w:divBdr>
            <w:top w:val="none" w:sz="0" w:space="0" w:color="auto"/>
            <w:left w:val="none" w:sz="0" w:space="0" w:color="auto"/>
            <w:bottom w:val="none" w:sz="0" w:space="0" w:color="auto"/>
            <w:right w:val="none" w:sz="0" w:space="0" w:color="auto"/>
          </w:divBdr>
        </w:div>
        <w:div w:id="1047607456">
          <w:marLeft w:val="0"/>
          <w:marRight w:val="0"/>
          <w:marTop w:val="0"/>
          <w:marBottom w:val="0"/>
          <w:divBdr>
            <w:top w:val="none" w:sz="0" w:space="0" w:color="auto"/>
            <w:left w:val="none" w:sz="0" w:space="0" w:color="auto"/>
            <w:bottom w:val="none" w:sz="0" w:space="0" w:color="auto"/>
            <w:right w:val="none" w:sz="0" w:space="0" w:color="auto"/>
          </w:divBdr>
        </w:div>
        <w:div w:id="1668943143">
          <w:marLeft w:val="0"/>
          <w:marRight w:val="0"/>
          <w:marTop w:val="0"/>
          <w:marBottom w:val="0"/>
          <w:divBdr>
            <w:top w:val="none" w:sz="0" w:space="0" w:color="auto"/>
            <w:left w:val="none" w:sz="0" w:space="0" w:color="auto"/>
            <w:bottom w:val="none" w:sz="0" w:space="0" w:color="auto"/>
            <w:right w:val="none" w:sz="0" w:space="0" w:color="auto"/>
          </w:divBdr>
        </w:div>
        <w:div w:id="323314811">
          <w:marLeft w:val="0"/>
          <w:marRight w:val="0"/>
          <w:marTop w:val="0"/>
          <w:marBottom w:val="0"/>
          <w:divBdr>
            <w:top w:val="none" w:sz="0" w:space="0" w:color="auto"/>
            <w:left w:val="none" w:sz="0" w:space="0" w:color="auto"/>
            <w:bottom w:val="none" w:sz="0" w:space="0" w:color="auto"/>
            <w:right w:val="none" w:sz="0" w:space="0" w:color="auto"/>
          </w:divBdr>
        </w:div>
        <w:div w:id="1674650621">
          <w:marLeft w:val="0"/>
          <w:marRight w:val="0"/>
          <w:marTop w:val="0"/>
          <w:marBottom w:val="0"/>
          <w:divBdr>
            <w:top w:val="none" w:sz="0" w:space="0" w:color="auto"/>
            <w:left w:val="none" w:sz="0" w:space="0" w:color="auto"/>
            <w:bottom w:val="none" w:sz="0" w:space="0" w:color="auto"/>
            <w:right w:val="none" w:sz="0" w:space="0" w:color="auto"/>
          </w:divBdr>
        </w:div>
        <w:div w:id="1155997646">
          <w:marLeft w:val="0"/>
          <w:marRight w:val="0"/>
          <w:marTop w:val="0"/>
          <w:marBottom w:val="0"/>
          <w:divBdr>
            <w:top w:val="none" w:sz="0" w:space="0" w:color="auto"/>
            <w:left w:val="none" w:sz="0" w:space="0" w:color="auto"/>
            <w:bottom w:val="none" w:sz="0" w:space="0" w:color="auto"/>
            <w:right w:val="none" w:sz="0" w:space="0" w:color="auto"/>
          </w:divBdr>
        </w:div>
        <w:div w:id="1116367296">
          <w:marLeft w:val="0"/>
          <w:marRight w:val="0"/>
          <w:marTop w:val="0"/>
          <w:marBottom w:val="0"/>
          <w:divBdr>
            <w:top w:val="none" w:sz="0" w:space="0" w:color="auto"/>
            <w:left w:val="none" w:sz="0" w:space="0" w:color="auto"/>
            <w:bottom w:val="none" w:sz="0" w:space="0" w:color="auto"/>
            <w:right w:val="none" w:sz="0" w:space="0" w:color="auto"/>
          </w:divBdr>
        </w:div>
        <w:div w:id="571894476">
          <w:marLeft w:val="0"/>
          <w:marRight w:val="0"/>
          <w:marTop w:val="0"/>
          <w:marBottom w:val="0"/>
          <w:divBdr>
            <w:top w:val="none" w:sz="0" w:space="0" w:color="auto"/>
            <w:left w:val="none" w:sz="0" w:space="0" w:color="auto"/>
            <w:bottom w:val="none" w:sz="0" w:space="0" w:color="auto"/>
            <w:right w:val="none" w:sz="0" w:space="0" w:color="auto"/>
          </w:divBdr>
        </w:div>
        <w:div w:id="744377556">
          <w:marLeft w:val="0"/>
          <w:marRight w:val="0"/>
          <w:marTop w:val="0"/>
          <w:marBottom w:val="0"/>
          <w:divBdr>
            <w:top w:val="none" w:sz="0" w:space="0" w:color="auto"/>
            <w:left w:val="none" w:sz="0" w:space="0" w:color="auto"/>
            <w:bottom w:val="none" w:sz="0" w:space="0" w:color="auto"/>
            <w:right w:val="none" w:sz="0" w:space="0" w:color="auto"/>
          </w:divBdr>
        </w:div>
        <w:div w:id="31469193">
          <w:marLeft w:val="0"/>
          <w:marRight w:val="0"/>
          <w:marTop w:val="0"/>
          <w:marBottom w:val="0"/>
          <w:divBdr>
            <w:top w:val="none" w:sz="0" w:space="0" w:color="auto"/>
            <w:left w:val="none" w:sz="0" w:space="0" w:color="auto"/>
            <w:bottom w:val="none" w:sz="0" w:space="0" w:color="auto"/>
            <w:right w:val="none" w:sz="0" w:space="0" w:color="auto"/>
          </w:divBdr>
        </w:div>
        <w:div w:id="1498617169">
          <w:marLeft w:val="0"/>
          <w:marRight w:val="0"/>
          <w:marTop w:val="0"/>
          <w:marBottom w:val="0"/>
          <w:divBdr>
            <w:top w:val="none" w:sz="0" w:space="0" w:color="auto"/>
            <w:left w:val="none" w:sz="0" w:space="0" w:color="auto"/>
            <w:bottom w:val="none" w:sz="0" w:space="0" w:color="auto"/>
            <w:right w:val="none" w:sz="0" w:space="0" w:color="auto"/>
          </w:divBdr>
        </w:div>
        <w:div w:id="1624116355">
          <w:marLeft w:val="0"/>
          <w:marRight w:val="0"/>
          <w:marTop w:val="0"/>
          <w:marBottom w:val="0"/>
          <w:divBdr>
            <w:top w:val="none" w:sz="0" w:space="0" w:color="auto"/>
            <w:left w:val="none" w:sz="0" w:space="0" w:color="auto"/>
            <w:bottom w:val="none" w:sz="0" w:space="0" w:color="auto"/>
            <w:right w:val="none" w:sz="0" w:space="0" w:color="auto"/>
          </w:divBdr>
        </w:div>
        <w:div w:id="250436733">
          <w:marLeft w:val="0"/>
          <w:marRight w:val="0"/>
          <w:marTop w:val="0"/>
          <w:marBottom w:val="0"/>
          <w:divBdr>
            <w:top w:val="none" w:sz="0" w:space="0" w:color="auto"/>
            <w:left w:val="none" w:sz="0" w:space="0" w:color="auto"/>
            <w:bottom w:val="none" w:sz="0" w:space="0" w:color="auto"/>
            <w:right w:val="none" w:sz="0" w:space="0" w:color="auto"/>
          </w:divBdr>
        </w:div>
        <w:div w:id="1368065338">
          <w:marLeft w:val="0"/>
          <w:marRight w:val="0"/>
          <w:marTop w:val="0"/>
          <w:marBottom w:val="0"/>
          <w:divBdr>
            <w:top w:val="none" w:sz="0" w:space="0" w:color="auto"/>
            <w:left w:val="none" w:sz="0" w:space="0" w:color="auto"/>
            <w:bottom w:val="none" w:sz="0" w:space="0" w:color="auto"/>
            <w:right w:val="none" w:sz="0" w:space="0" w:color="auto"/>
          </w:divBdr>
        </w:div>
        <w:div w:id="144126748">
          <w:marLeft w:val="0"/>
          <w:marRight w:val="0"/>
          <w:marTop w:val="0"/>
          <w:marBottom w:val="0"/>
          <w:divBdr>
            <w:top w:val="none" w:sz="0" w:space="0" w:color="auto"/>
            <w:left w:val="none" w:sz="0" w:space="0" w:color="auto"/>
            <w:bottom w:val="none" w:sz="0" w:space="0" w:color="auto"/>
            <w:right w:val="none" w:sz="0" w:space="0" w:color="auto"/>
          </w:divBdr>
        </w:div>
        <w:div w:id="1580410719">
          <w:marLeft w:val="0"/>
          <w:marRight w:val="0"/>
          <w:marTop w:val="0"/>
          <w:marBottom w:val="0"/>
          <w:divBdr>
            <w:top w:val="none" w:sz="0" w:space="0" w:color="auto"/>
            <w:left w:val="none" w:sz="0" w:space="0" w:color="auto"/>
            <w:bottom w:val="none" w:sz="0" w:space="0" w:color="auto"/>
            <w:right w:val="none" w:sz="0" w:space="0" w:color="auto"/>
          </w:divBdr>
        </w:div>
        <w:div w:id="2004308859">
          <w:marLeft w:val="0"/>
          <w:marRight w:val="0"/>
          <w:marTop w:val="0"/>
          <w:marBottom w:val="0"/>
          <w:divBdr>
            <w:top w:val="none" w:sz="0" w:space="0" w:color="auto"/>
            <w:left w:val="none" w:sz="0" w:space="0" w:color="auto"/>
            <w:bottom w:val="none" w:sz="0" w:space="0" w:color="auto"/>
            <w:right w:val="none" w:sz="0" w:space="0" w:color="auto"/>
          </w:divBdr>
        </w:div>
        <w:div w:id="1047266855">
          <w:marLeft w:val="0"/>
          <w:marRight w:val="0"/>
          <w:marTop w:val="0"/>
          <w:marBottom w:val="0"/>
          <w:divBdr>
            <w:top w:val="none" w:sz="0" w:space="0" w:color="auto"/>
            <w:left w:val="none" w:sz="0" w:space="0" w:color="auto"/>
            <w:bottom w:val="none" w:sz="0" w:space="0" w:color="auto"/>
            <w:right w:val="none" w:sz="0" w:space="0" w:color="auto"/>
          </w:divBdr>
        </w:div>
        <w:div w:id="2094543256">
          <w:marLeft w:val="0"/>
          <w:marRight w:val="0"/>
          <w:marTop w:val="0"/>
          <w:marBottom w:val="0"/>
          <w:divBdr>
            <w:top w:val="none" w:sz="0" w:space="0" w:color="auto"/>
            <w:left w:val="none" w:sz="0" w:space="0" w:color="auto"/>
            <w:bottom w:val="none" w:sz="0" w:space="0" w:color="auto"/>
            <w:right w:val="none" w:sz="0" w:space="0" w:color="auto"/>
          </w:divBdr>
        </w:div>
        <w:div w:id="534543700">
          <w:marLeft w:val="0"/>
          <w:marRight w:val="0"/>
          <w:marTop w:val="0"/>
          <w:marBottom w:val="0"/>
          <w:divBdr>
            <w:top w:val="none" w:sz="0" w:space="0" w:color="auto"/>
            <w:left w:val="none" w:sz="0" w:space="0" w:color="auto"/>
            <w:bottom w:val="none" w:sz="0" w:space="0" w:color="auto"/>
            <w:right w:val="none" w:sz="0" w:space="0" w:color="auto"/>
          </w:divBdr>
        </w:div>
        <w:div w:id="538204781">
          <w:marLeft w:val="0"/>
          <w:marRight w:val="0"/>
          <w:marTop w:val="0"/>
          <w:marBottom w:val="0"/>
          <w:divBdr>
            <w:top w:val="none" w:sz="0" w:space="0" w:color="auto"/>
            <w:left w:val="none" w:sz="0" w:space="0" w:color="auto"/>
            <w:bottom w:val="none" w:sz="0" w:space="0" w:color="auto"/>
            <w:right w:val="none" w:sz="0" w:space="0" w:color="auto"/>
          </w:divBdr>
        </w:div>
        <w:div w:id="445585794">
          <w:marLeft w:val="0"/>
          <w:marRight w:val="0"/>
          <w:marTop w:val="0"/>
          <w:marBottom w:val="0"/>
          <w:divBdr>
            <w:top w:val="none" w:sz="0" w:space="0" w:color="auto"/>
            <w:left w:val="none" w:sz="0" w:space="0" w:color="auto"/>
            <w:bottom w:val="none" w:sz="0" w:space="0" w:color="auto"/>
            <w:right w:val="none" w:sz="0" w:space="0" w:color="auto"/>
          </w:divBdr>
        </w:div>
        <w:div w:id="662707013">
          <w:marLeft w:val="0"/>
          <w:marRight w:val="0"/>
          <w:marTop w:val="0"/>
          <w:marBottom w:val="0"/>
          <w:divBdr>
            <w:top w:val="none" w:sz="0" w:space="0" w:color="auto"/>
            <w:left w:val="none" w:sz="0" w:space="0" w:color="auto"/>
            <w:bottom w:val="none" w:sz="0" w:space="0" w:color="auto"/>
            <w:right w:val="none" w:sz="0" w:space="0" w:color="auto"/>
          </w:divBdr>
        </w:div>
        <w:div w:id="953054521">
          <w:marLeft w:val="0"/>
          <w:marRight w:val="0"/>
          <w:marTop w:val="0"/>
          <w:marBottom w:val="0"/>
          <w:divBdr>
            <w:top w:val="none" w:sz="0" w:space="0" w:color="auto"/>
            <w:left w:val="none" w:sz="0" w:space="0" w:color="auto"/>
            <w:bottom w:val="none" w:sz="0" w:space="0" w:color="auto"/>
            <w:right w:val="none" w:sz="0" w:space="0" w:color="auto"/>
          </w:divBdr>
        </w:div>
        <w:div w:id="1014499904">
          <w:marLeft w:val="0"/>
          <w:marRight w:val="0"/>
          <w:marTop w:val="0"/>
          <w:marBottom w:val="0"/>
          <w:divBdr>
            <w:top w:val="none" w:sz="0" w:space="0" w:color="auto"/>
            <w:left w:val="none" w:sz="0" w:space="0" w:color="auto"/>
            <w:bottom w:val="none" w:sz="0" w:space="0" w:color="auto"/>
            <w:right w:val="none" w:sz="0" w:space="0" w:color="auto"/>
          </w:divBdr>
        </w:div>
        <w:div w:id="850605353">
          <w:marLeft w:val="0"/>
          <w:marRight w:val="0"/>
          <w:marTop w:val="0"/>
          <w:marBottom w:val="0"/>
          <w:divBdr>
            <w:top w:val="none" w:sz="0" w:space="0" w:color="auto"/>
            <w:left w:val="none" w:sz="0" w:space="0" w:color="auto"/>
            <w:bottom w:val="none" w:sz="0" w:space="0" w:color="auto"/>
            <w:right w:val="none" w:sz="0" w:space="0" w:color="auto"/>
          </w:divBdr>
        </w:div>
        <w:div w:id="1803621291">
          <w:marLeft w:val="0"/>
          <w:marRight w:val="0"/>
          <w:marTop w:val="0"/>
          <w:marBottom w:val="0"/>
          <w:divBdr>
            <w:top w:val="none" w:sz="0" w:space="0" w:color="auto"/>
            <w:left w:val="none" w:sz="0" w:space="0" w:color="auto"/>
            <w:bottom w:val="none" w:sz="0" w:space="0" w:color="auto"/>
            <w:right w:val="none" w:sz="0" w:space="0" w:color="auto"/>
          </w:divBdr>
        </w:div>
        <w:div w:id="176192568">
          <w:marLeft w:val="0"/>
          <w:marRight w:val="0"/>
          <w:marTop w:val="0"/>
          <w:marBottom w:val="0"/>
          <w:divBdr>
            <w:top w:val="none" w:sz="0" w:space="0" w:color="auto"/>
            <w:left w:val="none" w:sz="0" w:space="0" w:color="auto"/>
            <w:bottom w:val="none" w:sz="0" w:space="0" w:color="auto"/>
            <w:right w:val="none" w:sz="0" w:space="0" w:color="auto"/>
          </w:divBdr>
        </w:div>
        <w:div w:id="766845460">
          <w:marLeft w:val="0"/>
          <w:marRight w:val="0"/>
          <w:marTop w:val="0"/>
          <w:marBottom w:val="0"/>
          <w:divBdr>
            <w:top w:val="none" w:sz="0" w:space="0" w:color="auto"/>
            <w:left w:val="none" w:sz="0" w:space="0" w:color="auto"/>
            <w:bottom w:val="none" w:sz="0" w:space="0" w:color="auto"/>
            <w:right w:val="none" w:sz="0" w:space="0" w:color="auto"/>
          </w:divBdr>
        </w:div>
        <w:div w:id="2001691657">
          <w:marLeft w:val="0"/>
          <w:marRight w:val="0"/>
          <w:marTop w:val="0"/>
          <w:marBottom w:val="0"/>
          <w:divBdr>
            <w:top w:val="none" w:sz="0" w:space="0" w:color="auto"/>
            <w:left w:val="none" w:sz="0" w:space="0" w:color="auto"/>
            <w:bottom w:val="none" w:sz="0" w:space="0" w:color="auto"/>
            <w:right w:val="none" w:sz="0" w:space="0" w:color="auto"/>
          </w:divBdr>
        </w:div>
        <w:div w:id="1463039965">
          <w:marLeft w:val="0"/>
          <w:marRight w:val="0"/>
          <w:marTop w:val="0"/>
          <w:marBottom w:val="0"/>
          <w:divBdr>
            <w:top w:val="none" w:sz="0" w:space="0" w:color="auto"/>
            <w:left w:val="none" w:sz="0" w:space="0" w:color="auto"/>
            <w:bottom w:val="none" w:sz="0" w:space="0" w:color="auto"/>
            <w:right w:val="none" w:sz="0" w:space="0" w:color="auto"/>
          </w:divBdr>
        </w:div>
        <w:div w:id="769619740">
          <w:marLeft w:val="0"/>
          <w:marRight w:val="0"/>
          <w:marTop w:val="0"/>
          <w:marBottom w:val="0"/>
          <w:divBdr>
            <w:top w:val="none" w:sz="0" w:space="0" w:color="auto"/>
            <w:left w:val="none" w:sz="0" w:space="0" w:color="auto"/>
            <w:bottom w:val="none" w:sz="0" w:space="0" w:color="auto"/>
            <w:right w:val="none" w:sz="0" w:space="0" w:color="auto"/>
          </w:divBdr>
        </w:div>
        <w:div w:id="713457374">
          <w:marLeft w:val="0"/>
          <w:marRight w:val="0"/>
          <w:marTop w:val="0"/>
          <w:marBottom w:val="0"/>
          <w:divBdr>
            <w:top w:val="none" w:sz="0" w:space="0" w:color="auto"/>
            <w:left w:val="none" w:sz="0" w:space="0" w:color="auto"/>
            <w:bottom w:val="none" w:sz="0" w:space="0" w:color="auto"/>
            <w:right w:val="none" w:sz="0" w:space="0" w:color="auto"/>
          </w:divBdr>
        </w:div>
        <w:div w:id="749546312">
          <w:marLeft w:val="0"/>
          <w:marRight w:val="0"/>
          <w:marTop w:val="0"/>
          <w:marBottom w:val="0"/>
          <w:divBdr>
            <w:top w:val="none" w:sz="0" w:space="0" w:color="auto"/>
            <w:left w:val="none" w:sz="0" w:space="0" w:color="auto"/>
            <w:bottom w:val="none" w:sz="0" w:space="0" w:color="auto"/>
            <w:right w:val="none" w:sz="0" w:space="0" w:color="auto"/>
          </w:divBdr>
        </w:div>
        <w:div w:id="127406770">
          <w:marLeft w:val="0"/>
          <w:marRight w:val="0"/>
          <w:marTop w:val="0"/>
          <w:marBottom w:val="0"/>
          <w:divBdr>
            <w:top w:val="none" w:sz="0" w:space="0" w:color="auto"/>
            <w:left w:val="none" w:sz="0" w:space="0" w:color="auto"/>
            <w:bottom w:val="none" w:sz="0" w:space="0" w:color="auto"/>
            <w:right w:val="none" w:sz="0" w:space="0" w:color="auto"/>
          </w:divBdr>
        </w:div>
        <w:div w:id="1445616145">
          <w:marLeft w:val="0"/>
          <w:marRight w:val="0"/>
          <w:marTop w:val="0"/>
          <w:marBottom w:val="0"/>
          <w:divBdr>
            <w:top w:val="none" w:sz="0" w:space="0" w:color="auto"/>
            <w:left w:val="none" w:sz="0" w:space="0" w:color="auto"/>
            <w:bottom w:val="none" w:sz="0" w:space="0" w:color="auto"/>
            <w:right w:val="none" w:sz="0" w:space="0" w:color="auto"/>
          </w:divBdr>
        </w:div>
        <w:div w:id="1921988871">
          <w:marLeft w:val="0"/>
          <w:marRight w:val="0"/>
          <w:marTop w:val="0"/>
          <w:marBottom w:val="0"/>
          <w:divBdr>
            <w:top w:val="none" w:sz="0" w:space="0" w:color="auto"/>
            <w:left w:val="none" w:sz="0" w:space="0" w:color="auto"/>
            <w:bottom w:val="none" w:sz="0" w:space="0" w:color="auto"/>
            <w:right w:val="none" w:sz="0" w:space="0" w:color="auto"/>
          </w:divBdr>
        </w:div>
        <w:div w:id="1236622923">
          <w:marLeft w:val="0"/>
          <w:marRight w:val="0"/>
          <w:marTop w:val="0"/>
          <w:marBottom w:val="0"/>
          <w:divBdr>
            <w:top w:val="none" w:sz="0" w:space="0" w:color="auto"/>
            <w:left w:val="none" w:sz="0" w:space="0" w:color="auto"/>
            <w:bottom w:val="none" w:sz="0" w:space="0" w:color="auto"/>
            <w:right w:val="none" w:sz="0" w:space="0" w:color="auto"/>
          </w:divBdr>
        </w:div>
        <w:div w:id="86311546">
          <w:marLeft w:val="0"/>
          <w:marRight w:val="0"/>
          <w:marTop w:val="0"/>
          <w:marBottom w:val="0"/>
          <w:divBdr>
            <w:top w:val="none" w:sz="0" w:space="0" w:color="auto"/>
            <w:left w:val="none" w:sz="0" w:space="0" w:color="auto"/>
            <w:bottom w:val="none" w:sz="0" w:space="0" w:color="auto"/>
            <w:right w:val="none" w:sz="0" w:space="0" w:color="auto"/>
          </w:divBdr>
        </w:div>
        <w:div w:id="459879104">
          <w:marLeft w:val="0"/>
          <w:marRight w:val="0"/>
          <w:marTop w:val="0"/>
          <w:marBottom w:val="0"/>
          <w:divBdr>
            <w:top w:val="none" w:sz="0" w:space="0" w:color="auto"/>
            <w:left w:val="none" w:sz="0" w:space="0" w:color="auto"/>
            <w:bottom w:val="none" w:sz="0" w:space="0" w:color="auto"/>
            <w:right w:val="none" w:sz="0" w:space="0" w:color="auto"/>
          </w:divBdr>
        </w:div>
        <w:div w:id="18822859">
          <w:marLeft w:val="0"/>
          <w:marRight w:val="0"/>
          <w:marTop w:val="0"/>
          <w:marBottom w:val="0"/>
          <w:divBdr>
            <w:top w:val="none" w:sz="0" w:space="0" w:color="auto"/>
            <w:left w:val="none" w:sz="0" w:space="0" w:color="auto"/>
            <w:bottom w:val="none" w:sz="0" w:space="0" w:color="auto"/>
            <w:right w:val="none" w:sz="0" w:space="0" w:color="auto"/>
          </w:divBdr>
        </w:div>
        <w:div w:id="686753642">
          <w:marLeft w:val="0"/>
          <w:marRight w:val="0"/>
          <w:marTop w:val="0"/>
          <w:marBottom w:val="0"/>
          <w:divBdr>
            <w:top w:val="none" w:sz="0" w:space="0" w:color="auto"/>
            <w:left w:val="none" w:sz="0" w:space="0" w:color="auto"/>
            <w:bottom w:val="none" w:sz="0" w:space="0" w:color="auto"/>
            <w:right w:val="none" w:sz="0" w:space="0" w:color="auto"/>
          </w:divBdr>
        </w:div>
        <w:div w:id="1856310571">
          <w:marLeft w:val="0"/>
          <w:marRight w:val="0"/>
          <w:marTop w:val="0"/>
          <w:marBottom w:val="0"/>
          <w:divBdr>
            <w:top w:val="none" w:sz="0" w:space="0" w:color="auto"/>
            <w:left w:val="none" w:sz="0" w:space="0" w:color="auto"/>
            <w:bottom w:val="none" w:sz="0" w:space="0" w:color="auto"/>
            <w:right w:val="none" w:sz="0" w:space="0" w:color="auto"/>
          </w:divBdr>
        </w:div>
        <w:div w:id="775367202">
          <w:marLeft w:val="0"/>
          <w:marRight w:val="0"/>
          <w:marTop w:val="0"/>
          <w:marBottom w:val="0"/>
          <w:divBdr>
            <w:top w:val="none" w:sz="0" w:space="0" w:color="auto"/>
            <w:left w:val="none" w:sz="0" w:space="0" w:color="auto"/>
            <w:bottom w:val="none" w:sz="0" w:space="0" w:color="auto"/>
            <w:right w:val="none" w:sz="0" w:space="0" w:color="auto"/>
          </w:divBdr>
        </w:div>
        <w:div w:id="2127574823">
          <w:marLeft w:val="0"/>
          <w:marRight w:val="0"/>
          <w:marTop w:val="0"/>
          <w:marBottom w:val="0"/>
          <w:divBdr>
            <w:top w:val="none" w:sz="0" w:space="0" w:color="auto"/>
            <w:left w:val="none" w:sz="0" w:space="0" w:color="auto"/>
            <w:bottom w:val="none" w:sz="0" w:space="0" w:color="auto"/>
            <w:right w:val="none" w:sz="0" w:space="0" w:color="auto"/>
          </w:divBdr>
        </w:div>
        <w:div w:id="1705135561">
          <w:marLeft w:val="0"/>
          <w:marRight w:val="0"/>
          <w:marTop w:val="0"/>
          <w:marBottom w:val="0"/>
          <w:divBdr>
            <w:top w:val="none" w:sz="0" w:space="0" w:color="auto"/>
            <w:left w:val="none" w:sz="0" w:space="0" w:color="auto"/>
            <w:bottom w:val="none" w:sz="0" w:space="0" w:color="auto"/>
            <w:right w:val="none" w:sz="0" w:space="0" w:color="auto"/>
          </w:divBdr>
        </w:div>
        <w:div w:id="1147278327">
          <w:marLeft w:val="0"/>
          <w:marRight w:val="0"/>
          <w:marTop w:val="0"/>
          <w:marBottom w:val="0"/>
          <w:divBdr>
            <w:top w:val="none" w:sz="0" w:space="0" w:color="auto"/>
            <w:left w:val="none" w:sz="0" w:space="0" w:color="auto"/>
            <w:bottom w:val="none" w:sz="0" w:space="0" w:color="auto"/>
            <w:right w:val="none" w:sz="0" w:space="0" w:color="auto"/>
          </w:divBdr>
        </w:div>
        <w:div w:id="1950162079">
          <w:marLeft w:val="0"/>
          <w:marRight w:val="0"/>
          <w:marTop w:val="0"/>
          <w:marBottom w:val="0"/>
          <w:divBdr>
            <w:top w:val="none" w:sz="0" w:space="0" w:color="auto"/>
            <w:left w:val="none" w:sz="0" w:space="0" w:color="auto"/>
            <w:bottom w:val="none" w:sz="0" w:space="0" w:color="auto"/>
            <w:right w:val="none" w:sz="0" w:space="0" w:color="auto"/>
          </w:divBdr>
        </w:div>
        <w:div w:id="272790976">
          <w:marLeft w:val="0"/>
          <w:marRight w:val="0"/>
          <w:marTop w:val="0"/>
          <w:marBottom w:val="0"/>
          <w:divBdr>
            <w:top w:val="none" w:sz="0" w:space="0" w:color="auto"/>
            <w:left w:val="none" w:sz="0" w:space="0" w:color="auto"/>
            <w:bottom w:val="none" w:sz="0" w:space="0" w:color="auto"/>
            <w:right w:val="none" w:sz="0" w:space="0" w:color="auto"/>
          </w:divBdr>
        </w:div>
        <w:div w:id="1968972174">
          <w:marLeft w:val="0"/>
          <w:marRight w:val="0"/>
          <w:marTop w:val="0"/>
          <w:marBottom w:val="0"/>
          <w:divBdr>
            <w:top w:val="none" w:sz="0" w:space="0" w:color="auto"/>
            <w:left w:val="none" w:sz="0" w:space="0" w:color="auto"/>
            <w:bottom w:val="none" w:sz="0" w:space="0" w:color="auto"/>
            <w:right w:val="none" w:sz="0" w:space="0" w:color="auto"/>
          </w:divBdr>
        </w:div>
        <w:div w:id="1348020325">
          <w:marLeft w:val="0"/>
          <w:marRight w:val="0"/>
          <w:marTop w:val="0"/>
          <w:marBottom w:val="0"/>
          <w:divBdr>
            <w:top w:val="none" w:sz="0" w:space="0" w:color="auto"/>
            <w:left w:val="none" w:sz="0" w:space="0" w:color="auto"/>
            <w:bottom w:val="none" w:sz="0" w:space="0" w:color="auto"/>
            <w:right w:val="none" w:sz="0" w:space="0" w:color="auto"/>
          </w:divBdr>
        </w:div>
        <w:div w:id="1268735015">
          <w:marLeft w:val="0"/>
          <w:marRight w:val="0"/>
          <w:marTop w:val="0"/>
          <w:marBottom w:val="0"/>
          <w:divBdr>
            <w:top w:val="none" w:sz="0" w:space="0" w:color="auto"/>
            <w:left w:val="none" w:sz="0" w:space="0" w:color="auto"/>
            <w:bottom w:val="none" w:sz="0" w:space="0" w:color="auto"/>
            <w:right w:val="none" w:sz="0" w:space="0" w:color="auto"/>
          </w:divBdr>
        </w:div>
        <w:div w:id="1858081411">
          <w:marLeft w:val="0"/>
          <w:marRight w:val="0"/>
          <w:marTop w:val="0"/>
          <w:marBottom w:val="0"/>
          <w:divBdr>
            <w:top w:val="none" w:sz="0" w:space="0" w:color="auto"/>
            <w:left w:val="none" w:sz="0" w:space="0" w:color="auto"/>
            <w:bottom w:val="none" w:sz="0" w:space="0" w:color="auto"/>
            <w:right w:val="none" w:sz="0" w:space="0" w:color="auto"/>
          </w:divBdr>
        </w:div>
        <w:div w:id="939988449">
          <w:marLeft w:val="0"/>
          <w:marRight w:val="0"/>
          <w:marTop w:val="0"/>
          <w:marBottom w:val="0"/>
          <w:divBdr>
            <w:top w:val="none" w:sz="0" w:space="0" w:color="auto"/>
            <w:left w:val="none" w:sz="0" w:space="0" w:color="auto"/>
            <w:bottom w:val="none" w:sz="0" w:space="0" w:color="auto"/>
            <w:right w:val="none" w:sz="0" w:space="0" w:color="auto"/>
          </w:divBdr>
        </w:div>
        <w:div w:id="1658608348">
          <w:marLeft w:val="0"/>
          <w:marRight w:val="0"/>
          <w:marTop w:val="0"/>
          <w:marBottom w:val="0"/>
          <w:divBdr>
            <w:top w:val="none" w:sz="0" w:space="0" w:color="auto"/>
            <w:left w:val="none" w:sz="0" w:space="0" w:color="auto"/>
            <w:bottom w:val="none" w:sz="0" w:space="0" w:color="auto"/>
            <w:right w:val="none" w:sz="0" w:space="0" w:color="auto"/>
          </w:divBdr>
        </w:div>
        <w:div w:id="1004016621">
          <w:marLeft w:val="0"/>
          <w:marRight w:val="0"/>
          <w:marTop w:val="0"/>
          <w:marBottom w:val="0"/>
          <w:divBdr>
            <w:top w:val="none" w:sz="0" w:space="0" w:color="auto"/>
            <w:left w:val="none" w:sz="0" w:space="0" w:color="auto"/>
            <w:bottom w:val="none" w:sz="0" w:space="0" w:color="auto"/>
            <w:right w:val="none" w:sz="0" w:space="0" w:color="auto"/>
          </w:divBdr>
        </w:div>
        <w:div w:id="2128967538">
          <w:marLeft w:val="0"/>
          <w:marRight w:val="0"/>
          <w:marTop w:val="0"/>
          <w:marBottom w:val="0"/>
          <w:divBdr>
            <w:top w:val="none" w:sz="0" w:space="0" w:color="auto"/>
            <w:left w:val="none" w:sz="0" w:space="0" w:color="auto"/>
            <w:bottom w:val="none" w:sz="0" w:space="0" w:color="auto"/>
            <w:right w:val="none" w:sz="0" w:space="0" w:color="auto"/>
          </w:divBdr>
        </w:div>
        <w:div w:id="249235673">
          <w:marLeft w:val="0"/>
          <w:marRight w:val="0"/>
          <w:marTop w:val="0"/>
          <w:marBottom w:val="0"/>
          <w:divBdr>
            <w:top w:val="none" w:sz="0" w:space="0" w:color="auto"/>
            <w:left w:val="none" w:sz="0" w:space="0" w:color="auto"/>
            <w:bottom w:val="none" w:sz="0" w:space="0" w:color="auto"/>
            <w:right w:val="none" w:sz="0" w:space="0" w:color="auto"/>
          </w:divBdr>
        </w:div>
        <w:div w:id="13187776">
          <w:marLeft w:val="0"/>
          <w:marRight w:val="0"/>
          <w:marTop w:val="0"/>
          <w:marBottom w:val="0"/>
          <w:divBdr>
            <w:top w:val="none" w:sz="0" w:space="0" w:color="auto"/>
            <w:left w:val="none" w:sz="0" w:space="0" w:color="auto"/>
            <w:bottom w:val="none" w:sz="0" w:space="0" w:color="auto"/>
            <w:right w:val="none" w:sz="0" w:space="0" w:color="auto"/>
          </w:divBdr>
        </w:div>
        <w:div w:id="1823505560">
          <w:marLeft w:val="0"/>
          <w:marRight w:val="0"/>
          <w:marTop w:val="0"/>
          <w:marBottom w:val="0"/>
          <w:divBdr>
            <w:top w:val="none" w:sz="0" w:space="0" w:color="auto"/>
            <w:left w:val="none" w:sz="0" w:space="0" w:color="auto"/>
            <w:bottom w:val="none" w:sz="0" w:space="0" w:color="auto"/>
            <w:right w:val="none" w:sz="0" w:space="0" w:color="auto"/>
          </w:divBdr>
        </w:div>
        <w:div w:id="78143819">
          <w:marLeft w:val="0"/>
          <w:marRight w:val="0"/>
          <w:marTop w:val="0"/>
          <w:marBottom w:val="0"/>
          <w:divBdr>
            <w:top w:val="none" w:sz="0" w:space="0" w:color="auto"/>
            <w:left w:val="none" w:sz="0" w:space="0" w:color="auto"/>
            <w:bottom w:val="none" w:sz="0" w:space="0" w:color="auto"/>
            <w:right w:val="none" w:sz="0" w:space="0" w:color="auto"/>
          </w:divBdr>
        </w:div>
        <w:div w:id="524486746">
          <w:marLeft w:val="0"/>
          <w:marRight w:val="0"/>
          <w:marTop w:val="0"/>
          <w:marBottom w:val="0"/>
          <w:divBdr>
            <w:top w:val="none" w:sz="0" w:space="0" w:color="auto"/>
            <w:left w:val="none" w:sz="0" w:space="0" w:color="auto"/>
            <w:bottom w:val="none" w:sz="0" w:space="0" w:color="auto"/>
            <w:right w:val="none" w:sz="0" w:space="0" w:color="auto"/>
          </w:divBdr>
        </w:div>
        <w:div w:id="1683624492">
          <w:marLeft w:val="0"/>
          <w:marRight w:val="0"/>
          <w:marTop w:val="0"/>
          <w:marBottom w:val="0"/>
          <w:divBdr>
            <w:top w:val="none" w:sz="0" w:space="0" w:color="auto"/>
            <w:left w:val="none" w:sz="0" w:space="0" w:color="auto"/>
            <w:bottom w:val="none" w:sz="0" w:space="0" w:color="auto"/>
            <w:right w:val="none" w:sz="0" w:space="0" w:color="auto"/>
          </w:divBdr>
        </w:div>
        <w:div w:id="486166201">
          <w:marLeft w:val="0"/>
          <w:marRight w:val="0"/>
          <w:marTop w:val="0"/>
          <w:marBottom w:val="0"/>
          <w:divBdr>
            <w:top w:val="none" w:sz="0" w:space="0" w:color="auto"/>
            <w:left w:val="none" w:sz="0" w:space="0" w:color="auto"/>
            <w:bottom w:val="none" w:sz="0" w:space="0" w:color="auto"/>
            <w:right w:val="none" w:sz="0" w:space="0" w:color="auto"/>
          </w:divBdr>
        </w:div>
        <w:div w:id="530846727">
          <w:marLeft w:val="0"/>
          <w:marRight w:val="0"/>
          <w:marTop w:val="0"/>
          <w:marBottom w:val="0"/>
          <w:divBdr>
            <w:top w:val="none" w:sz="0" w:space="0" w:color="auto"/>
            <w:left w:val="none" w:sz="0" w:space="0" w:color="auto"/>
            <w:bottom w:val="none" w:sz="0" w:space="0" w:color="auto"/>
            <w:right w:val="none" w:sz="0" w:space="0" w:color="auto"/>
          </w:divBdr>
        </w:div>
        <w:div w:id="1609122597">
          <w:marLeft w:val="0"/>
          <w:marRight w:val="0"/>
          <w:marTop w:val="0"/>
          <w:marBottom w:val="0"/>
          <w:divBdr>
            <w:top w:val="none" w:sz="0" w:space="0" w:color="auto"/>
            <w:left w:val="none" w:sz="0" w:space="0" w:color="auto"/>
            <w:bottom w:val="none" w:sz="0" w:space="0" w:color="auto"/>
            <w:right w:val="none" w:sz="0" w:space="0" w:color="auto"/>
          </w:divBdr>
        </w:div>
        <w:div w:id="1822310416">
          <w:marLeft w:val="0"/>
          <w:marRight w:val="0"/>
          <w:marTop w:val="0"/>
          <w:marBottom w:val="0"/>
          <w:divBdr>
            <w:top w:val="none" w:sz="0" w:space="0" w:color="auto"/>
            <w:left w:val="none" w:sz="0" w:space="0" w:color="auto"/>
            <w:bottom w:val="none" w:sz="0" w:space="0" w:color="auto"/>
            <w:right w:val="none" w:sz="0" w:space="0" w:color="auto"/>
          </w:divBdr>
        </w:div>
        <w:div w:id="1156145328">
          <w:marLeft w:val="0"/>
          <w:marRight w:val="0"/>
          <w:marTop w:val="0"/>
          <w:marBottom w:val="0"/>
          <w:divBdr>
            <w:top w:val="none" w:sz="0" w:space="0" w:color="auto"/>
            <w:left w:val="none" w:sz="0" w:space="0" w:color="auto"/>
            <w:bottom w:val="none" w:sz="0" w:space="0" w:color="auto"/>
            <w:right w:val="none" w:sz="0" w:space="0" w:color="auto"/>
          </w:divBdr>
        </w:div>
        <w:div w:id="1672833490">
          <w:marLeft w:val="0"/>
          <w:marRight w:val="0"/>
          <w:marTop w:val="0"/>
          <w:marBottom w:val="0"/>
          <w:divBdr>
            <w:top w:val="none" w:sz="0" w:space="0" w:color="auto"/>
            <w:left w:val="none" w:sz="0" w:space="0" w:color="auto"/>
            <w:bottom w:val="none" w:sz="0" w:space="0" w:color="auto"/>
            <w:right w:val="none" w:sz="0" w:space="0" w:color="auto"/>
          </w:divBdr>
        </w:div>
        <w:div w:id="894466499">
          <w:marLeft w:val="0"/>
          <w:marRight w:val="0"/>
          <w:marTop w:val="0"/>
          <w:marBottom w:val="0"/>
          <w:divBdr>
            <w:top w:val="none" w:sz="0" w:space="0" w:color="auto"/>
            <w:left w:val="none" w:sz="0" w:space="0" w:color="auto"/>
            <w:bottom w:val="none" w:sz="0" w:space="0" w:color="auto"/>
            <w:right w:val="none" w:sz="0" w:space="0" w:color="auto"/>
          </w:divBdr>
        </w:div>
        <w:div w:id="1731491711">
          <w:marLeft w:val="0"/>
          <w:marRight w:val="0"/>
          <w:marTop w:val="0"/>
          <w:marBottom w:val="0"/>
          <w:divBdr>
            <w:top w:val="none" w:sz="0" w:space="0" w:color="auto"/>
            <w:left w:val="none" w:sz="0" w:space="0" w:color="auto"/>
            <w:bottom w:val="none" w:sz="0" w:space="0" w:color="auto"/>
            <w:right w:val="none" w:sz="0" w:space="0" w:color="auto"/>
          </w:divBdr>
        </w:div>
        <w:div w:id="15009831">
          <w:marLeft w:val="0"/>
          <w:marRight w:val="0"/>
          <w:marTop w:val="0"/>
          <w:marBottom w:val="0"/>
          <w:divBdr>
            <w:top w:val="none" w:sz="0" w:space="0" w:color="auto"/>
            <w:left w:val="none" w:sz="0" w:space="0" w:color="auto"/>
            <w:bottom w:val="none" w:sz="0" w:space="0" w:color="auto"/>
            <w:right w:val="none" w:sz="0" w:space="0" w:color="auto"/>
          </w:divBdr>
        </w:div>
        <w:div w:id="1378353577">
          <w:marLeft w:val="0"/>
          <w:marRight w:val="0"/>
          <w:marTop w:val="0"/>
          <w:marBottom w:val="0"/>
          <w:divBdr>
            <w:top w:val="none" w:sz="0" w:space="0" w:color="auto"/>
            <w:left w:val="none" w:sz="0" w:space="0" w:color="auto"/>
            <w:bottom w:val="none" w:sz="0" w:space="0" w:color="auto"/>
            <w:right w:val="none" w:sz="0" w:space="0" w:color="auto"/>
          </w:divBdr>
        </w:div>
        <w:div w:id="775830333">
          <w:marLeft w:val="0"/>
          <w:marRight w:val="0"/>
          <w:marTop w:val="0"/>
          <w:marBottom w:val="0"/>
          <w:divBdr>
            <w:top w:val="none" w:sz="0" w:space="0" w:color="auto"/>
            <w:left w:val="none" w:sz="0" w:space="0" w:color="auto"/>
            <w:bottom w:val="none" w:sz="0" w:space="0" w:color="auto"/>
            <w:right w:val="none" w:sz="0" w:space="0" w:color="auto"/>
          </w:divBdr>
        </w:div>
        <w:div w:id="520626476">
          <w:marLeft w:val="0"/>
          <w:marRight w:val="0"/>
          <w:marTop w:val="0"/>
          <w:marBottom w:val="0"/>
          <w:divBdr>
            <w:top w:val="none" w:sz="0" w:space="0" w:color="auto"/>
            <w:left w:val="none" w:sz="0" w:space="0" w:color="auto"/>
            <w:bottom w:val="none" w:sz="0" w:space="0" w:color="auto"/>
            <w:right w:val="none" w:sz="0" w:space="0" w:color="auto"/>
          </w:divBdr>
        </w:div>
        <w:div w:id="830800895">
          <w:marLeft w:val="0"/>
          <w:marRight w:val="0"/>
          <w:marTop w:val="0"/>
          <w:marBottom w:val="0"/>
          <w:divBdr>
            <w:top w:val="none" w:sz="0" w:space="0" w:color="auto"/>
            <w:left w:val="none" w:sz="0" w:space="0" w:color="auto"/>
            <w:bottom w:val="none" w:sz="0" w:space="0" w:color="auto"/>
            <w:right w:val="none" w:sz="0" w:space="0" w:color="auto"/>
          </w:divBdr>
        </w:div>
        <w:div w:id="1471092481">
          <w:marLeft w:val="0"/>
          <w:marRight w:val="0"/>
          <w:marTop w:val="0"/>
          <w:marBottom w:val="0"/>
          <w:divBdr>
            <w:top w:val="none" w:sz="0" w:space="0" w:color="auto"/>
            <w:left w:val="none" w:sz="0" w:space="0" w:color="auto"/>
            <w:bottom w:val="none" w:sz="0" w:space="0" w:color="auto"/>
            <w:right w:val="none" w:sz="0" w:space="0" w:color="auto"/>
          </w:divBdr>
        </w:div>
        <w:div w:id="298926960">
          <w:marLeft w:val="0"/>
          <w:marRight w:val="0"/>
          <w:marTop w:val="0"/>
          <w:marBottom w:val="0"/>
          <w:divBdr>
            <w:top w:val="none" w:sz="0" w:space="0" w:color="auto"/>
            <w:left w:val="none" w:sz="0" w:space="0" w:color="auto"/>
            <w:bottom w:val="none" w:sz="0" w:space="0" w:color="auto"/>
            <w:right w:val="none" w:sz="0" w:space="0" w:color="auto"/>
          </w:divBdr>
        </w:div>
        <w:div w:id="823160281">
          <w:marLeft w:val="0"/>
          <w:marRight w:val="0"/>
          <w:marTop w:val="0"/>
          <w:marBottom w:val="0"/>
          <w:divBdr>
            <w:top w:val="none" w:sz="0" w:space="0" w:color="auto"/>
            <w:left w:val="none" w:sz="0" w:space="0" w:color="auto"/>
            <w:bottom w:val="none" w:sz="0" w:space="0" w:color="auto"/>
            <w:right w:val="none" w:sz="0" w:space="0" w:color="auto"/>
          </w:divBdr>
        </w:div>
        <w:div w:id="1333490253">
          <w:marLeft w:val="0"/>
          <w:marRight w:val="0"/>
          <w:marTop w:val="0"/>
          <w:marBottom w:val="0"/>
          <w:divBdr>
            <w:top w:val="none" w:sz="0" w:space="0" w:color="auto"/>
            <w:left w:val="none" w:sz="0" w:space="0" w:color="auto"/>
            <w:bottom w:val="none" w:sz="0" w:space="0" w:color="auto"/>
            <w:right w:val="none" w:sz="0" w:space="0" w:color="auto"/>
          </w:divBdr>
        </w:div>
        <w:div w:id="377512577">
          <w:marLeft w:val="0"/>
          <w:marRight w:val="0"/>
          <w:marTop w:val="0"/>
          <w:marBottom w:val="0"/>
          <w:divBdr>
            <w:top w:val="none" w:sz="0" w:space="0" w:color="auto"/>
            <w:left w:val="none" w:sz="0" w:space="0" w:color="auto"/>
            <w:bottom w:val="none" w:sz="0" w:space="0" w:color="auto"/>
            <w:right w:val="none" w:sz="0" w:space="0" w:color="auto"/>
          </w:divBdr>
        </w:div>
        <w:div w:id="468867937">
          <w:marLeft w:val="0"/>
          <w:marRight w:val="0"/>
          <w:marTop w:val="0"/>
          <w:marBottom w:val="0"/>
          <w:divBdr>
            <w:top w:val="none" w:sz="0" w:space="0" w:color="auto"/>
            <w:left w:val="none" w:sz="0" w:space="0" w:color="auto"/>
            <w:bottom w:val="none" w:sz="0" w:space="0" w:color="auto"/>
            <w:right w:val="none" w:sz="0" w:space="0" w:color="auto"/>
          </w:divBdr>
        </w:div>
        <w:div w:id="699747036">
          <w:marLeft w:val="0"/>
          <w:marRight w:val="0"/>
          <w:marTop w:val="0"/>
          <w:marBottom w:val="0"/>
          <w:divBdr>
            <w:top w:val="none" w:sz="0" w:space="0" w:color="auto"/>
            <w:left w:val="none" w:sz="0" w:space="0" w:color="auto"/>
            <w:bottom w:val="none" w:sz="0" w:space="0" w:color="auto"/>
            <w:right w:val="none" w:sz="0" w:space="0" w:color="auto"/>
          </w:divBdr>
        </w:div>
        <w:div w:id="1748307581">
          <w:marLeft w:val="0"/>
          <w:marRight w:val="0"/>
          <w:marTop w:val="0"/>
          <w:marBottom w:val="0"/>
          <w:divBdr>
            <w:top w:val="none" w:sz="0" w:space="0" w:color="auto"/>
            <w:left w:val="none" w:sz="0" w:space="0" w:color="auto"/>
            <w:bottom w:val="none" w:sz="0" w:space="0" w:color="auto"/>
            <w:right w:val="none" w:sz="0" w:space="0" w:color="auto"/>
          </w:divBdr>
        </w:div>
        <w:div w:id="1448232371">
          <w:marLeft w:val="0"/>
          <w:marRight w:val="0"/>
          <w:marTop w:val="0"/>
          <w:marBottom w:val="0"/>
          <w:divBdr>
            <w:top w:val="none" w:sz="0" w:space="0" w:color="auto"/>
            <w:left w:val="none" w:sz="0" w:space="0" w:color="auto"/>
            <w:bottom w:val="none" w:sz="0" w:space="0" w:color="auto"/>
            <w:right w:val="none" w:sz="0" w:space="0" w:color="auto"/>
          </w:divBdr>
        </w:div>
        <w:div w:id="1881625408">
          <w:marLeft w:val="0"/>
          <w:marRight w:val="0"/>
          <w:marTop w:val="0"/>
          <w:marBottom w:val="0"/>
          <w:divBdr>
            <w:top w:val="none" w:sz="0" w:space="0" w:color="auto"/>
            <w:left w:val="none" w:sz="0" w:space="0" w:color="auto"/>
            <w:bottom w:val="none" w:sz="0" w:space="0" w:color="auto"/>
            <w:right w:val="none" w:sz="0" w:space="0" w:color="auto"/>
          </w:divBdr>
        </w:div>
        <w:div w:id="1404840154">
          <w:marLeft w:val="0"/>
          <w:marRight w:val="0"/>
          <w:marTop w:val="0"/>
          <w:marBottom w:val="0"/>
          <w:divBdr>
            <w:top w:val="none" w:sz="0" w:space="0" w:color="auto"/>
            <w:left w:val="none" w:sz="0" w:space="0" w:color="auto"/>
            <w:bottom w:val="none" w:sz="0" w:space="0" w:color="auto"/>
            <w:right w:val="none" w:sz="0" w:space="0" w:color="auto"/>
          </w:divBdr>
        </w:div>
        <w:div w:id="1006441396">
          <w:marLeft w:val="0"/>
          <w:marRight w:val="0"/>
          <w:marTop w:val="0"/>
          <w:marBottom w:val="0"/>
          <w:divBdr>
            <w:top w:val="none" w:sz="0" w:space="0" w:color="auto"/>
            <w:left w:val="none" w:sz="0" w:space="0" w:color="auto"/>
            <w:bottom w:val="none" w:sz="0" w:space="0" w:color="auto"/>
            <w:right w:val="none" w:sz="0" w:space="0" w:color="auto"/>
          </w:divBdr>
        </w:div>
        <w:div w:id="1579897837">
          <w:marLeft w:val="0"/>
          <w:marRight w:val="0"/>
          <w:marTop w:val="0"/>
          <w:marBottom w:val="0"/>
          <w:divBdr>
            <w:top w:val="none" w:sz="0" w:space="0" w:color="auto"/>
            <w:left w:val="none" w:sz="0" w:space="0" w:color="auto"/>
            <w:bottom w:val="none" w:sz="0" w:space="0" w:color="auto"/>
            <w:right w:val="none" w:sz="0" w:space="0" w:color="auto"/>
          </w:divBdr>
        </w:div>
        <w:div w:id="1322077691">
          <w:marLeft w:val="0"/>
          <w:marRight w:val="0"/>
          <w:marTop w:val="0"/>
          <w:marBottom w:val="0"/>
          <w:divBdr>
            <w:top w:val="none" w:sz="0" w:space="0" w:color="auto"/>
            <w:left w:val="none" w:sz="0" w:space="0" w:color="auto"/>
            <w:bottom w:val="none" w:sz="0" w:space="0" w:color="auto"/>
            <w:right w:val="none" w:sz="0" w:space="0" w:color="auto"/>
          </w:divBdr>
        </w:div>
        <w:div w:id="918052890">
          <w:marLeft w:val="0"/>
          <w:marRight w:val="0"/>
          <w:marTop w:val="0"/>
          <w:marBottom w:val="0"/>
          <w:divBdr>
            <w:top w:val="none" w:sz="0" w:space="0" w:color="auto"/>
            <w:left w:val="none" w:sz="0" w:space="0" w:color="auto"/>
            <w:bottom w:val="none" w:sz="0" w:space="0" w:color="auto"/>
            <w:right w:val="none" w:sz="0" w:space="0" w:color="auto"/>
          </w:divBdr>
        </w:div>
        <w:div w:id="1880387393">
          <w:marLeft w:val="0"/>
          <w:marRight w:val="0"/>
          <w:marTop w:val="0"/>
          <w:marBottom w:val="0"/>
          <w:divBdr>
            <w:top w:val="none" w:sz="0" w:space="0" w:color="auto"/>
            <w:left w:val="none" w:sz="0" w:space="0" w:color="auto"/>
            <w:bottom w:val="none" w:sz="0" w:space="0" w:color="auto"/>
            <w:right w:val="none" w:sz="0" w:space="0" w:color="auto"/>
          </w:divBdr>
        </w:div>
        <w:div w:id="1186671636">
          <w:marLeft w:val="0"/>
          <w:marRight w:val="0"/>
          <w:marTop w:val="0"/>
          <w:marBottom w:val="0"/>
          <w:divBdr>
            <w:top w:val="none" w:sz="0" w:space="0" w:color="auto"/>
            <w:left w:val="none" w:sz="0" w:space="0" w:color="auto"/>
            <w:bottom w:val="none" w:sz="0" w:space="0" w:color="auto"/>
            <w:right w:val="none" w:sz="0" w:space="0" w:color="auto"/>
          </w:divBdr>
        </w:div>
        <w:div w:id="2124570651">
          <w:marLeft w:val="0"/>
          <w:marRight w:val="0"/>
          <w:marTop w:val="0"/>
          <w:marBottom w:val="0"/>
          <w:divBdr>
            <w:top w:val="none" w:sz="0" w:space="0" w:color="auto"/>
            <w:left w:val="none" w:sz="0" w:space="0" w:color="auto"/>
            <w:bottom w:val="none" w:sz="0" w:space="0" w:color="auto"/>
            <w:right w:val="none" w:sz="0" w:space="0" w:color="auto"/>
          </w:divBdr>
        </w:div>
        <w:div w:id="384572904">
          <w:marLeft w:val="0"/>
          <w:marRight w:val="0"/>
          <w:marTop w:val="0"/>
          <w:marBottom w:val="0"/>
          <w:divBdr>
            <w:top w:val="none" w:sz="0" w:space="0" w:color="auto"/>
            <w:left w:val="none" w:sz="0" w:space="0" w:color="auto"/>
            <w:bottom w:val="none" w:sz="0" w:space="0" w:color="auto"/>
            <w:right w:val="none" w:sz="0" w:space="0" w:color="auto"/>
          </w:divBdr>
        </w:div>
        <w:div w:id="1628119900">
          <w:marLeft w:val="0"/>
          <w:marRight w:val="0"/>
          <w:marTop w:val="0"/>
          <w:marBottom w:val="0"/>
          <w:divBdr>
            <w:top w:val="none" w:sz="0" w:space="0" w:color="auto"/>
            <w:left w:val="none" w:sz="0" w:space="0" w:color="auto"/>
            <w:bottom w:val="none" w:sz="0" w:space="0" w:color="auto"/>
            <w:right w:val="none" w:sz="0" w:space="0" w:color="auto"/>
          </w:divBdr>
        </w:div>
        <w:div w:id="230190240">
          <w:marLeft w:val="0"/>
          <w:marRight w:val="0"/>
          <w:marTop w:val="0"/>
          <w:marBottom w:val="0"/>
          <w:divBdr>
            <w:top w:val="none" w:sz="0" w:space="0" w:color="auto"/>
            <w:left w:val="none" w:sz="0" w:space="0" w:color="auto"/>
            <w:bottom w:val="none" w:sz="0" w:space="0" w:color="auto"/>
            <w:right w:val="none" w:sz="0" w:space="0" w:color="auto"/>
          </w:divBdr>
        </w:div>
        <w:div w:id="1577131054">
          <w:marLeft w:val="0"/>
          <w:marRight w:val="0"/>
          <w:marTop w:val="0"/>
          <w:marBottom w:val="0"/>
          <w:divBdr>
            <w:top w:val="none" w:sz="0" w:space="0" w:color="auto"/>
            <w:left w:val="none" w:sz="0" w:space="0" w:color="auto"/>
            <w:bottom w:val="none" w:sz="0" w:space="0" w:color="auto"/>
            <w:right w:val="none" w:sz="0" w:space="0" w:color="auto"/>
          </w:divBdr>
        </w:div>
        <w:div w:id="457840718">
          <w:marLeft w:val="0"/>
          <w:marRight w:val="0"/>
          <w:marTop w:val="0"/>
          <w:marBottom w:val="0"/>
          <w:divBdr>
            <w:top w:val="none" w:sz="0" w:space="0" w:color="auto"/>
            <w:left w:val="none" w:sz="0" w:space="0" w:color="auto"/>
            <w:bottom w:val="none" w:sz="0" w:space="0" w:color="auto"/>
            <w:right w:val="none" w:sz="0" w:space="0" w:color="auto"/>
          </w:divBdr>
        </w:div>
        <w:div w:id="2016760757">
          <w:marLeft w:val="0"/>
          <w:marRight w:val="0"/>
          <w:marTop w:val="0"/>
          <w:marBottom w:val="0"/>
          <w:divBdr>
            <w:top w:val="none" w:sz="0" w:space="0" w:color="auto"/>
            <w:left w:val="none" w:sz="0" w:space="0" w:color="auto"/>
            <w:bottom w:val="none" w:sz="0" w:space="0" w:color="auto"/>
            <w:right w:val="none" w:sz="0" w:space="0" w:color="auto"/>
          </w:divBdr>
        </w:div>
        <w:div w:id="2061585503">
          <w:marLeft w:val="0"/>
          <w:marRight w:val="0"/>
          <w:marTop w:val="0"/>
          <w:marBottom w:val="0"/>
          <w:divBdr>
            <w:top w:val="none" w:sz="0" w:space="0" w:color="auto"/>
            <w:left w:val="none" w:sz="0" w:space="0" w:color="auto"/>
            <w:bottom w:val="none" w:sz="0" w:space="0" w:color="auto"/>
            <w:right w:val="none" w:sz="0" w:space="0" w:color="auto"/>
          </w:divBdr>
        </w:div>
        <w:div w:id="1725177841">
          <w:marLeft w:val="0"/>
          <w:marRight w:val="0"/>
          <w:marTop w:val="0"/>
          <w:marBottom w:val="0"/>
          <w:divBdr>
            <w:top w:val="none" w:sz="0" w:space="0" w:color="auto"/>
            <w:left w:val="none" w:sz="0" w:space="0" w:color="auto"/>
            <w:bottom w:val="none" w:sz="0" w:space="0" w:color="auto"/>
            <w:right w:val="none" w:sz="0" w:space="0" w:color="auto"/>
          </w:divBdr>
        </w:div>
        <w:div w:id="1985892605">
          <w:marLeft w:val="0"/>
          <w:marRight w:val="0"/>
          <w:marTop w:val="0"/>
          <w:marBottom w:val="0"/>
          <w:divBdr>
            <w:top w:val="none" w:sz="0" w:space="0" w:color="auto"/>
            <w:left w:val="none" w:sz="0" w:space="0" w:color="auto"/>
            <w:bottom w:val="none" w:sz="0" w:space="0" w:color="auto"/>
            <w:right w:val="none" w:sz="0" w:space="0" w:color="auto"/>
          </w:divBdr>
        </w:div>
        <w:div w:id="802580233">
          <w:marLeft w:val="0"/>
          <w:marRight w:val="0"/>
          <w:marTop w:val="0"/>
          <w:marBottom w:val="0"/>
          <w:divBdr>
            <w:top w:val="none" w:sz="0" w:space="0" w:color="auto"/>
            <w:left w:val="none" w:sz="0" w:space="0" w:color="auto"/>
            <w:bottom w:val="none" w:sz="0" w:space="0" w:color="auto"/>
            <w:right w:val="none" w:sz="0" w:space="0" w:color="auto"/>
          </w:divBdr>
        </w:div>
        <w:div w:id="1804737738">
          <w:marLeft w:val="0"/>
          <w:marRight w:val="0"/>
          <w:marTop w:val="0"/>
          <w:marBottom w:val="0"/>
          <w:divBdr>
            <w:top w:val="none" w:sz="0" w:space="0" w:color="auto"/>
            <w:left w:val="none" w:sz="0" w:space="0" w:color="auto"/>
            <w:bottom w:val="none" w:sz="0" w:space="0" w:color="auto"/>
            <w:right w:val="none" w:sz="0" w:space="0" w:color="auto"/>
          </w:divBdr>
        </w:div>
        <w:div w:id="2073310574">
          <w:marLeft w:val="0"/>
          <w:marRight w:val="0"/>
          <w:marTop w:val="0"/>
          <w:marBottom w:val="0"/>
          <w:divBdr>
            <w:top w:val="none" w:sz="0" w:space="0" w:color="auto"/>
            <w:left w:val="none" w:sz="0" w:space="0" w:color="auto"/>
            <w:bottom w:val="none" w:sz="0" w:space="0" w:color="auto"/>
            <w:right w:val="none" w:sz="0" w:space="0" w:color="auto"/>
          </w:divBdr>
        </w:div>
        <w:div w:id="1322537950">
          <w:marLeft w:val="0"/>
          <w:marRight w:val="0"/>
          <w:marTop w:val="0"/>
          <w:marBottom w:val="0"/>
          <w:divBdr>
            <w:top w:val="none" w:sz="0" w:space="0" w:color="auto"/>
            <w:left w:val="none" w:sz="0" w:space="0" w:color="auto"/>
            <w:bottom w:val="none" w:sz="0" w:space="0" w:color="auto"/>
            <w:right w:val="none" w:sz="0" w:space="0" w:color="auto"/>
          </w:divBdr>
        </w:div>
        <w:div w:id="168447664">
          <w:marLeft w:val="0"/>
          <w:marRight w:val="0"/>
          <w:marTop w:val="0"/>
          <w:marBottom w:val="0"/>
          <w:divBdr>
            <w:top w:val="none" w:sz="0" w:space="0" w:color="auto"/>
            <w:left w:val="none" w:sz="0" w:space="0" w:color="auto"/>
            <w:bottom w:val="none" w:sz="0" w:space="0" w:color="auto"/>
            <w:right w:val="none" w:sz="0" w:space="0" w:color="auto"/>
          </w:divBdr>
        </w:div>
        <w:div w:id="1247304209">
          <w:marLeft w:val="0"/>
          <w:marRight w:val="0"/>
          <w:marTop w:val="0"/>
          <w:marBottom w:val="0"/>
          <w:divBdr>
            <w:top w:val="none" w:sz="0" w:space="0" w:color="auto"/>
            <w:left w:val="none" w:sz="0" w:space="0" w:color="auto"/>
            <w:bottom w:val="none" w:sz="0" w:space="0" w:color="auto"/>
            <w:right w:val="none" w:sz="0" w:space="0" w:color="auto"/>
          </w:divBdr>
        </w:div>
        <w:div w:id="1499618103">
          <w:marLeft w:val="0"/>
          <w:marRight w:val="0"/>
          <w:marTop w:val="0"/>
          <w:marBottom w:val="0"/>
          <w:divBdr>
            <w:top w:val="none" w:sz="0" w:space="0" w:color="auto"/>
            <w:left w:val="none" w:sz="0" w:space="0" w:color="auto"/>
            <w:bottom w:val="none" w:sz="0" w:space="0" w:color="auto"/>
            <w:right w:val="none" w:sz="0" w:space="0" w:color="auto"/>
          </w:divBdr>
        </w:div>
        <w:div w:id="1837529400">
          <w:marLeft w:val="0"/>
          <w:marRight w:val="0"/>
          <w:marTop w:val="0"/>
          <w:marBottom w:val="0"/>
          <w:divBdr>
            <w:top w:val="none" w:sz="0" w:space="0" w:color="auto"/>
            <w:left w:val="none" w:sz="0" w:space="0" w:color="auto"/>
            <w:bottom w:val="none" w:sz="0" w:space="0" w:color="auto"/>
            <w:right w:val="none" w:sz="0" w:space="0" w:color="auto"/>
          </w:divBdr>
        </w:div>
        <w:div w:id="244145423">
          <w:marLeft w:val="0"/>
          <w:marRight w:val="0"/>
          <w:marTop w:val="0"/>
          <w:marBottom w:val="0"/>
          <w:divBdr>
            <w:top w:val="none" w:sz="0" w:space="0" w:color="auto"/>
            <w:left w:val="none" w:sz="0" w:space="0" w:color="auto"/>
            <w:bottom w:val="none" w:sz="0" w:space="0" w:color="auto"/>
            <w:right w:val="none" w:sz="0" w:space="0" w:color="auto"/>
          </w:divBdr>
        </w:div>
        <w:div w:id="990215409">
          <w:marLeft w:val="0"/>
          <w:marRight w:val="0"/>
          <w:marTop w:val="0"/>
          <w:marBottom w:val="0"/>
          <w:divBdr>
            <w:top w:val="none" w:sz="0" w:space="0" w:color="auto"/>
            <w:left w:val="none" w:sz="0" w:space="0" w:color="auto"/>
            <w:bottom w:val="none" w:sz="0" w:space="0" w:color="auto"/>
            <w:right w:val="none" w:sz="0" w:space="0" w:color="auto"/>
          </w:divBdr>
        </w:div>
        <w:div w:id="1776517078">
          <w:marLeft w:val="0"/>
          <w:marRight w:val="0"/>
          <w:marTop w:val="0"/>
          <w:marBottom w:val="0"/>
          <w:divBdr>
            <w:top w:val="none" w:sz="0" w:space="0" w:color="auto"/>
            <w:left w:val="none" w:sz="0" w:space="0" w:color="auto"/>
            <w:bottom w:val="none" w:sz="0" w:space="0" w:color="auto"/>
            <w:right w:val="none" w:sz="0" w:space="0" w:color="auto"/>
          </w:divBdr>
        </w:div>
        <w:div w:id="1945921914">
          <w:marLeft w:val="0"/>
          <w:marRight w:val="0"/>
          <w:marTop w:val="0"/>
          <w:marBottom w:val="0"/>
          <w:divBdr>
            <w:top w:val="none" w:sz="0" w:space="0" w:color="auto"/>
            <w:left w:val="none" w:sz="0" w:space="0" w:color="auto"/>
            <w:bottom w:val="none" w:sz="0" w:space="0" w:color="auto"/>
            <w:right w:val="none" w:sz="0" w:space="0" w:color="auto"/>
          </w:divBdr>
        </w:div>
        <w:div w:id="518392571">
          <w:marLeft w:val="0"/>
          <w:marRight w:val="0"/>
          <w:marTop w:val="0"/>
          <w:marBottom w:val="0"/>
          <w:divBdr>
            <w:top w:val="none" w:sz="0" w:space="0" w:color="auto"/>
            <w:left w:val="none" w:sz="0" w:space="0" w:color="auto"/>
            <w:bottom w:val="none" w:sz="0" w:space="0" w:color="auto"/>
            <w:right w:val="none" w:sz="0" w:space="0" w:color="auto"/>
          </w:divBdr>
        </w:div>
        <w:div w:id="1495296493">
          <w:marLeft w:val="0"/>
          <w:marRight w:val="0"/>
          <w:marTop w:val="0"/>
          <w:marBottom w:val="0"/>
          <w:divBdr>
            <w:top w:val="none" w:sz="0" w:space="0" w:color="auto"/>
            <w:left w:val="none" w:sz="0" w:space="0" w:color="auto"/>
            <w:bottom w:val="none" w:sz="0" w:space="0" w:color="auto"/>
            <w:right w:val="none" w:sz="0" w:space="0" w:color="auto"/>
          </w:divBdr>
        </w:div>
        <w:div w:id="1442339815">
          <w:marLeft w:val="0"/>
          <w:marRight w:val="0"/>
          <w:marTop w:val="0"/>
          <w:marBottom w:val="0"/>
          <w:divBdr>
            <w:top w:val="none" w:sz="0" w:space="0" w:color="auto"/>
            <w:left w:val="none" w:sz="0" w:space="0" w:color="auto"/>
            <w:bottom w:val="none" w:sz="0" w:space="0" w:color="auto"/>
            <w:right w:val="none" w:sz="0" w:space="0" w:color="auto"/>
          </w:divBdr>
        </w:div>
        <w:div w:id="1660189307">
          <w:marLeft w:val="0"/>
          <w:marRight w:val="0"/>
          <w:marTop w:val="0"/>
          <w:marBottom w:val="0"/>
          <w:divBdr>
            <w:top w:val="none" w:sz="0" w:space="0" w:color="auto"/>
            <w:left w:val="none" w:sz="0" w:space="0" w:color="auto"/>
            <w:bottom w:val="none" w:sz="0" w:space="0" w:color="auto"/>
            <w:right w:val="none" w:sz="0" w:space="0" w:color="auto"/>
          </w:divBdr>
        </w:div>
        <w:div w:id="1739933274">
          <w:marLeft w:val="0"/>
          <w:marRight w:val="0"/>
          <w:marTop w:val="0"/>
          <w:marBottom w:val="0"/>
          <w:divBdr>
            <w:top w:val="none" w:sz="0" w:space="0" w:color="auto"/>
            <w:left w:val="none" w:sz="0" w:space="0" w:color="auto"/>
            <w:bottom w:val="none" w:sz="0" w:space="0" w:color="auto"/>
            <w:right w:val="none" w:sz="0" w:space="0" w:color="auto"/>
          </w:divBdr>
        </w:div>
        <w:div w:id="79177797">
          <w:marLeft w:val="0"/>
          <w:marRight w:val="0"/>
          <w:marTop w:val="0"/>
          <w:marBottom w:val="0"/>
          <w:divBdr>
            <w:top w:val="none" w:sz="0" w:space="0" w:color="auto"/>
            <w:left w:val="none" w:sz="0" w:space="0" w:color="auto"/>
            <w:bottom w:val="none" w:sz="0" w:space="0" w:color="auto"/>
            <w:right w:val="none" w:sz="0" w:space="0" w:color="auto"/>
          </w:divBdr>
        </w:div>
        <w:div w:id="1654793704">
          <w:marLeft w:val="0"/>
          <w:marRight w:val="0"/>
          <w:marTop w:val="0"/>
          <w:marBottom w:val="0"/>
          <w:divBdr>
            <w:top w:val="none" w:sz="0" w:space="0" w:color="auto"/>
            <w:left w:val="none" w:sz="0" w:space="0" w:color="auto"/>
            <w:bottom w:val="none" w:sz="0" w:space="0" w:color="auto"/>
            <w:right w:val="none" w:sz="0" w:space="0" w:color="auto"/>
          </w:divBdr>
        </w:div>
        <w:div w:id="1529104544">
          <w:marLeft w:val="0"/>
          <w:marRight w:val="0"/>
          <w:marTop w:val="0"/>
          <w:marBottom w:val="0"/>
          <w:divBdr>
            <w:top w:val="none" w:sz="0" w:space="0" w:color="auto"/>
            <w:left w:val="none" w:sz="0" w:space="0" w:color="auto"/>
            <w:bottom w:val="none" w:sz="0" w:space="0" w:color="auto"/>
            <w:right w:val="none" w:sz="0" w:space="0" w:color="auto"/>
          </w:divBdr>
        </w:div>
        <w:div w:id="911813622">
          <w:marLeft w:val="0"/>
          <w:marRight w:val="0"/>
          <w:marTop w:val="0"/>
          <w:marBottom w:val="0"/>
          <w:divBdr>
            <w:top w:val="none" w:sz="0" w:space="0" w:color="auto"/>
            <w:left w:val="none" w:sz="0" w:space="0" w:color="auto"/>
            <w:bottom w:val="none" w:sz="0" w:space="0" w:color="auto"/>
            <w:right w:val="none" w:sz="0" w:space="0" w:color="auto"/>
          </w:divBdr>
        </w:div>
        <w:div w:id="226838819">
          <w:marLeft w:val="0"/>
          <w:marRight w:val="0"/>
          <w:marTop w:val="0"/>
          <w:marBottom w:val="0"/>
          <w:divBdr>
            <w:top w:val="none" w:sz="0" w:space="0" w:color="auto"/>
            <w:left w:val="none" w:sz="0" w:space="0" w:color="auto"/>
            <w:bottom w:val="none" w:sz="0" w:space="0" w:color="auto"/>
            <w:right w:val="none" w:sz="0" w:space="0" w:color="auto"/>
          </w:divBdr>
        </w:div>
        <w:div w:id="1657687711">
          <w:marLeft w:val="0"/>
          <w:marRight w:val="0"/>
          <w:marTop w:val="0"/>
          <w:marBottom w:val="0"/>
          <w:divBdr>
            <w:top w:val="none" w:sz="0" w:space="0" w:color="auto"/>
            <w:left w:val="none" w:sz="0" w:space="0" w:color="auto"/>
            <w:bottom w:val="none" w:sz="0" w:space="0" w:color="auto"/>
            <w:right w:val="none" w:sz="0" w:space="0" w:color="auto"/>
          </w:divBdr>
        </w:div>
        <w:div w:id="1261376891">
          <w:marLeft w:val="0"/>
          <w:marRight w:val="0"/>
          <w:marTop w:val="0"/>
          <w:marBottom w:val="0"/>
          <w:divBdr>
            <w:top w:val="none" w:sz="0" w:space="0" w:color="auto"/>
            <w:left w:val="none" w:sz="0" w:space="0" w:color="auto"/>
            <w:bottom w:val="none" w:sz="0" w:space="0" w:color="auto"/>
            <w:right w:val="none" w:sz="0" w:space="0" w:color="auto"/>
          </w:divBdr>
        </w:div>
        <w:div w:id="693766495">
          <w:marLeft w:val="0"/>
          <w:marRight w:val="0"/>
          <w:marTop w:val="0"/>
          <w:marBottom w:val="0"/>
          <w:divBdr>
            <w:top w:val="none" w:sz="0" w:space="0" w:color="auto"/>
            <w:left w:val="none" w:sz="0" w:space="0" w:color="auto"/>
            <w:bottom w:val="none" w:sz="0" w:space="0" w:color="auto"/>
            <w:right w:val="none" w:sz="0" w:space="0" w:color="auto"/>
          </w:divBdr>
        </w:div>
        <w:div w:id="107359410">
          <w:marLeft w:val="0"/>
          <w:marRight w:val="0"/>
          <w:marTop w:val="0"/>
          <w:marBottom w:val="0"/>
          <w:divBdr>
            <w:top w:val="none" w:sz="0" w:space="0" w:color="auto"/>
            <w:left w:val="none" w:sz="0" w:space="0" w:color="auto"/>
            <w:bottom w:val="none" w:sz="0" w:space="0" w:color="auto"/>
            <w:right w:val="none" w:sz="0" w:space="0" w:color="auto"/>
          </w:divBdr>
        </w:div>
        <w:div w:id="1032420692">
          <w:marLeft w:val="0"/>
          <w:marRight w:val="0"/>
          <w:marTop w:val="0"/>
          <w:marBottom w:val="0"/>
          <w:divBdr>
            <w:top w:val="none" w:sz="0" w:space="0" w:color="auto"/>
            <w:left w:val="none" w:sz="0" w:space="0" w:color="auto"/>
            <w:bottom w:val="none" w:sz="0" w:space="0" w:color="auto"/>
            <w:right w:val="none" w:sz="0" w:space="0" w:color="auto"/>
          </w:divBdr>
        </w:div>
        <w:div w:id="950863363">
          <w:marLeft w:val="0"/>
          <w:marRight w:val="0"/>
          <w:marTop w:val="0"/>
          <w:marBottom w:val="0"/>
          <w:divBdr>
            <w:top w:val="none" w:sz="0" w:space="0" w:color="auto"/>
            <w:left w:val="none" w:sz="0" w:space="0" w:color="auto"/>
            <w:bottom w:val="none" w:sz="0" w:space="0" w:color="auto"/>
            <w:right w:val="none" w:sz="0" w:space="0" w:color="auto"/>
          </w:divBdr>
        </w:div>
        <w:div w:id="720205876">
          <w:marLeft w:val="0"/>
          <w:marRight w:val="0"/>
          <w:marTop w:val="0"/>
          <w:marBottom w:val="0"/>
          <w:divBdr>
            <w:top w:val="none" w:sz="0" w:space="0" w:color="auto"/>
            <w:left w:val="none" w:sz="0" w:space="0" w:color="auto"/>
            <w:bottom w:val="none" w:sz="0" w:space="0" w:color="auto"/>
            <w:right w:val="none" w:sz="0" w:space="0" w:color="auto"/>
          </w:divBdr>
        </w:div>
        <w:div w:id="230581051">
          <w:marLeft w:val="0"/>
          <w:marRight w:val="0"/>
          <w:marTop w:val="0"/>
          <w:marBottom w:val="0"/>
          <w:divBdr>
            <w:top w:val="none" w:sz="0" w:space="0" w:color="auto"/>
            <w:left w:val="none" w:sz="0" w:space="0" w:color="auto"/>
            <w:bottom w:val="none" w:sz="0" w:space="0" w:color="auto"/>
            <w:right w:val="none" w:sz="0" w:space="0" w:color="auto"/>
          </w:divBdr>
        </w:div>
        <w:div w:id="1827621107">
          <w:marLeft w:val="0"/>
          <w:marRight w:val="0"/>
          <w:marTop w:val="0"/>
          <w:marBottom w:val="0"/>
          <w:divBdr>
            <w:top w:val="none" w:sz="0" w:space="0" w:color="auto"/>
            <w:left w:val="none" w:sz="0" w:space="0" w:color="auto"/>
            <w:bottom w:val="none" w:sz="0" w:space="0" w:color="auto"/>
            <w:right w:val="none" w:sz="0" w:space="0" w:color="auto"/>
          </w:divBdr>
        </w:div>
        <w:div w:id="725684909">
          <w:marLeft w:val="0"/>
          <w:marRight w:val="0"/>
          <w:marTop w:val="0"/>
          <w:marBottom w:val="0"/>
          <w:divBdr>
            <w:top w:val="none" w:sz="0" w:space="0" w:color="auto"/>
            <w:left w:val="none" w:sz="0" w:space="0" w:color="auto"/>
            <w:bottom w:val="none" w:sz="0" w:space="0" w:color="auto"/>
            <w:right w:val="none" w:sz="0" w:space="0" w:color="auto"/>
          </w:divBdr>
        </w:div>
        <w:div w:id="2062288092">
          <w:marLeft w:val="0"/>
          <w:marRight w:val="0"/>
          <w:marTop w:val="0"/>
          <w:marBottom w:val="0"/>
          <w:divBdr>
            <w:top w:val="none" w:sz="0" w:space="0" w:color="auto"/>
            <w:left w:val="none" w:sz="0" w:space="0" w:color="auto"/>
            <w:bottom w:val="none" w:sz="0" w:space="0" w:color="auto"/>
            <w:right w:val="none" w:sz="0" w:space="0" w:color="auto"/>
          </w:divBdr>
        </w:div>
        <w:div w:id="1977687060">
          <w:marLeft w:val="0"/>
          <w:marRight w:val="0"/>
          <w:marTop w:val="0"/>
          <w:marBottom w:val="0"/>
          <w:divBdr>
            <w:top w:val="none" w:sz="0" w:space="0" w:color="auto"/>
            <w:left w:val="none" w:sz="0" w:space="0" w:color="auto"/>
            <w:bottom w:val="none" w:sz="0" w:space="0" w:color="auto"/>
            <w:right w:val="none" w:sz="0" w:space="0" w:color="auto"/>
          </w:divBdr>
        </w:div>
        <w:div w:id="739525220">
          <w:marLeft w:val="0"/>
          <w:marRight w:val="0"/>
          <w:marTop w:val="0"/>
          <w:marBottom w:val="0"/>
          <w:divBdr>
            <w:top w:val="none" w:sz="0" w:space="0" w:color="auto"/>
            <w:left w:val="none" w:sz="0" w:space="0" w:color="auto"/>
            <w:bottom w:val="none" w:sz="0" w:space="0" w:color="auto"/>
            <w:right w:val="none" w:sz="0" w:space="0" w:color="auto"/>
          </w:divBdr>
        </w:div>
        <w:div w:id="221065217">
          <w:marLeft w:val="0"/>
          <w:marRight w:val="0"/>
          <w:marTop w:val="0"/>
          <w:marBottom w:val="0"/>
          <w:divBdr>
            <w:top w:val="none" w:sz="0" w:space="0" w:color="auto"/>
            <w:left w:val="none" w:sz="0" w:space="0" w:color="auto"/>
            <w:bottom w:val="none" w:sz="0" w:space="0" w:color="auto"/>
            <w:right w:val="none" w:sz="0" w:space="0" w:color="auto"/>
          </w:divBdr>
        </w:div>
        <w:div w:id="798063616">
          <w:marLeft w:val="0"/>
          <w:marRight w:val="0"/>
          <w:marTop w:val="0"/>
          <w:marBottom w:val="0"/>
          <w:divBdr>
            <w:top w:val="none" w:sz="0" w:space="0" w:color="auto"/>
            <w:left w:val="none" w:sz="0" w:space="0" w:color="auto"/>
            <w:bottom w:val="none" w:sz="0" w:space="0" w:color="auto"/>
            <w:right w:val="none" w:sz="0" w:space="0" w:color="auto"/>
          </w:divBdr>
        </w:div>
        <w:div w:id="907108876">
          <w:marLeft w:val="0"/>
          <w:marRight w:val="0"/>
          <w:marTop w:val="0"/>
          <w:marBottom w:val="0"/>
          <w:divBdr>
            <w:top w:val="none" w:sz="0" w:space="0" w:color="auto"/>
            <w:left w:val="none" w:sz="0" w:space="0" w:color="auto"/>
            <w:bottom w:val="none" w:sz="0" w:space="0" w:color="auto"/>
            <w:right w:val="none" w:sz="0" w:space="0" w:color="auto"/>
          </w:divBdr>
        </w:div>
        <w:div w:id="403647838">
          <w:marLeft w:val="0"/>
          <w:marRight w:val="0"/>
          <w:marTop w:val="0"/>
          <w:marBottom w:val="0"/>
          <w:divBdr>
            <w:top w:val="none" w:sz="0" w:space="0" w:color="auto"/>
            <w:left w:val="none" w:sz="0" w:space="0" w:color="auto"/>
            <w:bottom w:val="none" w:sz="0" w:space="0" w:color="auto"/>
            <w:right w:val="none" w:sz="0" w:space="0" w:color="auto"/>
          </w:divBdr>
        </w:div>
        <w:div w:id="305093278">
          <w:marLeft w:val="0"/>
          <w:marRight w:val="0"/>
          <w:marTop w:val="0"/>
          <w:marBottom w:val="0"/>
          <w:divBdr>
            <w:top w:val="none" w:sz="0" w:space="0" w:color="auto"/>
            <w:left w:val="none" w:sz="0" w:space="0" w:color="auto"/>
            <w:bottom w:val="none" w:sz="0" w:space="0" w:color="auto"/>
            <w:right w:val="none" w:sz="0" w:space="0" w:color="auto"/>
          </w:divBdr>
        </w:div>
        <w:div w:id="319777994">
          <w:marLeft w:val="0"/>
          <w:marRight w:val="0"/>
          <w:marTop w:val="0"/>
          <w:marBottom w:val="0"/>
          <w:divBdr>
            <w:top w:val="none" w:sz="0" w:space="0" w:color="auto"/>
            <w:left w:val="none" w:sz="0" w:space="0" w:color="auto"/>
            <w:bottom w:val="none" w:sz="0" w:space="0" w:color="auto"/>
            <w:right w:val="none" w:sz="0" w:space="0" w:color="auto"/>
          </w:divBdr>
        </w:div>
        <w:div w:id="811484932">
          <w:marLeft w:val="0"/>
          <w:marRight w:val="0"/>
          <w:marTop w:val="0"/>
          <w:marBottom w:val="0"/>
          <w:divBdr>
            <w:top w:val="none" w:sz="0" w:space="0" w:color="auto"/>
            <w:left w:val="none" w:sz="0" w:space="0" w:color="auto"/>
            <w:bottom w:val="none" w:sz="0" w:space="0" w:color="auto"/>
            <w:right w:val="none" w:sz="0" w:space="0" w:color="auto"/>
          </w:divBdr>
        </w:div>
        <w:div w:id="334266306">
          <w:marLeft w:val="0"/>
          <w:marRight w:val="0"/>
          <w:marTop w:val="0"/>
          <w:marBottom w:val="0"/>
          <w:divBdr>
            <w:top w:val="none" w:sz="0" w:space="0" w:color="auto"/>
            <w:left w:val="none" w:sz="0" w:space="0" w:color="auto"/>
            <w:bottom w:val="none" w:sz="0" w:space="0" w:color="auto"/>
            <w:right w:val="none" w:sz="0" w:space="0" w:color="auto"/>
          </w:divBdr>
        </w:div>
        <w:div w:id="1686789642">
          <w:marLeft w:val="0"/>
          <w:marRight w:val="0"/>
          <w:marTop w:val="0"/>
          <w:marBottom w:val="0"/>
          <w:divBdr>
            <w:top w:val="none" w:sz="0" w:space="0" w:color="auto"/>
            <w:left w:val="none" w:sz="0" w:space="0" w:color="auto"/>
            <w:bottom w:val="none" w:sz="0" w:space="0" w:color="auto"/>
            <w:right w:val="none" w:sz="0" w:space="0" w:color="auto"/>
          </w:divBdr>
        </w:div>
        <w:div w:id="1275600829">
          <w:marLeft w:val="0"/>
          <w:marRight w:val="0"/>
          <w:marTop w:val="0"/>
          <w:marBottom w:val="0"/>
          <w:divBdr>
            <w:top w:val="none" w:sz="0" w:space="0" w:color="auto"/>
            <w:left w:val="none" w:sz="0" w:space="0" w:color="auto"/>
            <w:bottom w:val="none" w:sz="0" w:space="0" w:color="auto"/>
            <w:right w:val="none" w:sz="0" w:space="0" w:color="auto"/>
          </w:divBdr>
        </w:div>
        <w:div w:id="689650162">
          <w:marLeft w:val="0"/>
          <w:marRight w:val="0"/>
          <w:marTop w:val="0"/>
          <w:marBottom w:val="0"/>
          <w:divBdr>
            <w:top w:val="none" w:sz="0" w:space="0" w:color="auto"/>
            <w:left w:val="none" w:sz="0" w:space="0" w:color="auto"/>
            <w:bottom w:val="none" w:sz="0" w:space="0" w:color="auto"/>
            <w:right w:val="none" w:sz="0" w:space="0" w:color="auto"/>
          </w:divBdr>
        </w:div>
        <w:div w:id="609899848">
          <w:marLeft w:val="0"/>
          <w:marRight w:val="0"/>
          <w:marTop w:val="0"/>
          <w:marBottom w:val="0"/>
          <w:divBdr>
            <w:top w:val="none" w:sz="0" w:space="0" w:color="auto"/>
            <w:left w:val="none" w:sz="0" w:space="0" w:color="auto"/>
            <w:bottom w:val="none" w:sz="0" w:space="0" w:color="auto"/>
            <w:right w:val="none" w:sz="0" w:space="0" w:color="auto"/>
          </w:divBdr>
        </w:div>
        <w:div w:id="1383015997">
          <w:marLeft w:val="0"/>
          <w:marRight w:val="0"/>
          <w:marTop w:val="0"/>
          <w:marBottom w:val="0"/>
          <w:divBdr>
            <w:top w:val="none" w:sz="0" w:space="0" w:color="auto"/>
            <w:left w:val="none" w:sz="0" w:space="0" w:color="auto"/>
            <w:bottom w:val="none" w:sz="0" w:space="0" w:color="auto"/>
            <w:right w:val="none" w:sz="0" w:space="0" w:color="auto"/>
          </w:divBdr>
        </w:div>
        <w:div w:id="50429471">
          <w:marLeft w:val="0"/>
          <w:marRight w:val="0"/>
          <w:marTop w:val="0"/>
          <w:marBottom w:val="0"/>
          <w:divBdr>
            <w:top w:val="none" w:sz="0" w:space="0" w:color="auto"/>
            <w:left w:val="none" w:sz="0" w:space="0" w:color="auto"/>
            <w:bottom w:val="none" w:sz="0" w:space="0" w:color="auto"/>
            <w:right w:val="none" w:sz="0" w:space="0" w:color="auto"/>
          </w:divBdr>
        </w:div>
        <w:div w:id="470900916">
          <w:marLeft w:val="0"/>
          <w:marRight w:val="0"/>
          <w:marTop w:val="0"/>
          <w:marBottom w:val="0"/>
          <w:divBdr>
            <w:top w:val="none" w:sz="0" w:space="0" w:color="auto"/>
            <w:left w:val="none" w:sz="0" w:space="0" w:color="auto"/>
            <w:bottom w:val="none" w:sz="0" w:space="0" w:color="auto"/>
            <w:right w:val="none" w:sz="0" w:space="0" w:color="auto"/>
          </w:divBdr>
        </w:div>
        <w:div w:id="65538271">
          <w:marLeft w:val="0"/>
          <w:marRight w:val="0"/>
          <w:marTop w:val="0"/>
          <w:marBottom w:val="0"/>
          <w:divBdr>
            <w:top w:val="none" w:sz="0" w:space="0" w:color="auto"/>
            <w:left w:val="none" w:sz="0" w:space="0" w:color="auto"/>
            <w:bottom w:val="none" w:sz="0" w:space="0" w:color="auto"/>
            <w:right w:val="none" w:sz="0" w:space="0" w:color="auto"/>
          </w:divBdr>
        </w:div>
        <w:div w:id="1485046193">
          <w:marLeft w:val="0"/>
          <w:marRight w:val="0"/>
          <w:marTop w:val="0"/>
          <w:marBottom w:val="0"/>
          <w:divBdr>
            <w:top w:val="none" w:sz="0" w:space="0" w:color="auto"/>
            <w:left w:val="none" w:sz="0" w:space="0" w:color="auto"/>
            <w:bottom w:val="none" w:sz="0" w:space="0" w:color="auto"/>
            <w:right w:val="none" w:sz="0" w:space="0" w:color="auto"/>
          </w:divBdr>
        </w:div>
        <w:div w:id="1532500601">
          <w:marLeft w:val="0"/>
          <w:marRight w:val="0"/>
          <w:marTop w:val="0"/>
          <w:marBottom w:val="0"/>
          <w:divBdr>
            <w:top w:val="none" w:sz="0" w:space="0" w:color="auto"/>
            <w:left w:val="none" w:sz="0" w:space="0" w:color="auto"/>
            <w:bottom w:val="none" w:sz="0" w:space="0" w:color="auto"/>
            <w:right w:val="none" w:sz="0" w:space="0" w:color="auto"/>
          </w:divBdr>
        </w:div>
        <w:div w:id="439951363">
          <w:marLeft w:val="0"/>
          <w:marRight w:val="0"/>
          <w:marTop w:val="0"/>
          <w:marBottom w:val="0"/>
          <w:divBdr>
            <w:top w:val="none" w:sz="0" w:space="0" w:color="auto"/>
            <w:left w:val="none" w:sz="0" w:space="0" w:color="auto"/>
            <w:bottom w:val="none" w:sz="0" w:space="0" w:color="auto"/>
            <w:right w:val="none" w:sz="0" w:space="0" w:color="auto"/>
          </w:divBdr>
        </w:div>
        <w:div w:id="782190796">
          <w:marLeft w:val="0"/>
          <w:marRight w:val="0"/>
          <w:marTop w:val="0"/>
          <w:marBottom w:val="0"/>
          <w:divBdr>
            <w:top w:val="none" w:sz="0" w:space="0" w:color="auto"/>
            <w:left w:val="none" w:sz="0" w:space="0" w:color="auto"/>
            <w:bottom w:val="none" w:sz="0" w:space="0" w:color="auto"/>
            <w:right w:val="none" w:sz="0" w:space="0" w:color="auto"/>
          </w:divBdr>
        </w:div>
        <w:div w:id="1555122187">
          <w:marLeft w:val="0"/>
          <w:marRight w:val="0"/>
          <w:marTop w:val="0"/>
          <w:marBottom w:val="0"/>
          <w:divBdr>
            <w:top w:val="none" w:sz="0" w:space="0" w:color="auto"/>
            <w:left w:val="none" w:sz="0" w:space="0" w:color="auto"/>
            <w:bottom w:val="none" w:sz="0" w:space="0" w:color="auto"/>
            <w:right w:val="none" w:sz="0" w:space="0" w:color="auto"/>
          </w:divBdr>
        </w:div>
        <w:div w:id="2086221939">
          <w:marLeft w:val="0"/>
          <w:marRight w:val="0"/>
          <w:marTop w:val="0"/>
          <w:marBottom w:val="0"/>
          <w:divBdr>
            <w:top w:val="none" w:sz="0" w:space="0" w:color="auto"/>
            <w:left w:val="none" w:sz="0" w:space="0" w:color="auto"/>
            <w:bottom w:val="none" w:sz="0" w:space="0" w:color="auto"/>
            <w:right w:val="none" w:sz="0" w:space="0" w:color="auto"/>
          </w:divBdr>
        </w:div>
        <w:div w:id="665014636">
          <w:marLeft w:val="0"/>
          <w:marRight w:val="0"/>
          <w:marTop w:val="0"/>
          <w:marBottom w:val="0"/>
          <w:divBdr>
            <w:top w:val="none" w:sz="0" w:space="0" w:color="auto"/>
            <w:left w:val="none" w:sz="0" w:space="0" w:color="auto"/>
            <w:bottom w:val="none" w:sz="0" w:space="0" w:color="auto"/>
            <w:right w:val="none" w:sz="0" w:space="0" w:color="auto"/>
          </w:divBdr>
        </w:div>
        <w:div w:id="1290091348">
          <w:marLeft w:val="0"/>
          <w:marRight w:val="0"/>
          <w:marTop w:val="0"/>
          <w:marBottom w:val="0"/>
          <w:divBdr>
            <w:top w:val="none" w:sz="0" w:space="0" w:color="auto"/>
            <w:left w:val="none" w:sz="0" w:space="0" w:color="auto"/>
            <w:bottom w:val="none" w:sz="0" w:space="0" w:color="auto"/>
            <w:right w:val="none" w:sz="0" w:space="0" w:color="auto"/>
          </w:divBdr>
        </w:div>
        <w:div w:id="294337802">
          <w:marLeft w:val="0"/>
          <w:marRight w:val="0"/>
          <w:marTop w:val="0"/>
          <w:marBottom w:val="0"/>
          <w:divBdr>
            <w:top w:val="none" w:sz="0" w:space="0" w:color="auto"/>
            <w:left w:val="none" w:sz="0" w:space="0" w:color="auto"/>
            <w:bottom w:val="none" w:sz="0" w:space="0" w:color="auto"/>
            <w:right w:val="none" w:sz="0" w:space="0" w:color="auto"/>
          </w:divBdr>
        </w:div>
        <w:div w:id="864565402">
          <w:marLeft w:val="0"/>
          <w:marRight w:val="0"/>
          <w:marTop w:val="0"/>
          <w:marBottom w:val="0"/>
          <w:divBdr>
            <w:top w:val="none" w:sz="0" w:space="0" w:color="auto"/>
            <w:left w:val="none" w:sz="0" w:space="0" w:color="auto"/>
            <w:bottom w:val="none" w:sz="0" w:space="0" w:color="auto"/>
            <w:right w:val="none" w:sz="0" w:space="0" w:color="auto"/>
          </w:divBdr>
        </w:div>
        <w:div w:id="254096521">
          <w:marLeft w:val="0"/>
          <w:marRight w:val="0"/>
          <w:marTop w:val="0"/>
          <w:marBottom w:val="0"/>
          <w:divBdr>
            <w:top w:val="none" w:sz="0" w:space="0" w:color="auto"/>
            <w:left w:val="none" w:sz="0" w:space="0" w:color="auto"/>
            <w:bottom w:val="none" w:sz="0" w:space="0" w:color="auto"/>
            <w:right w:val="none" w:sz="0" w:space="0" w:color="auto"/>
          </w:divBdr>
        </w:div>
        <w:div w:id="2081633760">
          <w:marLeft w:val="0"/>
          <w:marRight w:val="0"/>
          <w:marTop w:val="0"/>
          <w:marBottom w:val="0"/>
          <w:divBdr>
            <w:top w:val="none" w:sz="0" w:space="0" w:color="auto"/>
            <w:left w:val="none" w:sz="0" w:space="0" w:color="auto"/>
            <w:bottom w:val="none" w:sz="0" w:space="0" w:color="auto"/>
            <w:right w:val="none" w:sz="0" w:space="0" w:color="auto"/>
          </w:divBdr>
        </w:div>
        <w:div w:id="1771465550">
          <w:marLeft w:val="0"/>
          <w:marRight w:val="0"/>
          <w:marTop w:val="0"/>
          <w:marBottom w:val="0"/>
          <w:divBdr>
            <w:top w:val="none" w:sz="0" w:space="0" w:color="auto"/>
            <w:left w:val="none" w:sz="0" w:space="0" w:color="auto"/>
            <w:bottom w:val="none" w:sz="0" w:space="0" w:color="auto"/>
            <w:right w:val="none" w:sz="0" w:space="0" w:color="auto"/>
          </w:divBdr>
        </w:div>
        <w:div w:id="918565350">
          <w:marLeft w:val="0"/>
          <w:marRight w:val="0"/>
          <w:marTop w:val="0"/>
          <w:marBottom w:val="0"/>
          <w:divBdr>
            <w:top w:val="none" w:sz="0" w:space="0" w:color="auto"/>
            <w:left w:val="none" w:sz="0" w:space="0" w:color="auto"/>
            <w:bottom w:val="none" w:sz="0" w:space="0" w:color="auto"/>
            <w:right w:val="none" w:sz="0" w:space="0" w:color="auto"/>
          </w:divBdr>
        </w:div>
        <w:div w:id="1307319917">
          <w:marLeft w:val="0"/>
          <w:marRight w:val="0"/>
          <w:marTop w:val="0"/>
          <w:marBottom w:val="0"/>
          <w:divBdr>
            <w:top w:val="none" w:sz="0" w:space="0" w:color="auto"/>
            <w:left w:val="none" w:sz="0" w:space="0" w:color="auto"/>
            <w:bottom w:val="none" w:sz="0" w:space="0" w:color="auto"/>
            <w:right w:val="none" w:sz="0" w:space="0" w:color="auto"/>
          </w:divBdr>
        </w:div>
        <w:div w:id="1009798497">
          <w:marLeft w:val="0"/>
          <w:marRight w:val="0"/>
          <w:marTop w:val="0"/>
          <w:marBottom w:val="0"/>
          <w:divBdr>
            <w:top w:val="none" w:sz="0" w:space="0" w:color="auto"/>
            <w:left w:val="none" w:sz="0" w:space="0" w:color="auto"/>
            <w:bottom w:val="none" w:sz="0" w:space="0" w:color="auto"/>
            <w:right w:val="none" w:sz="0" w:space="0" w:color="auto"/>
          </w:divBdr>
        </w:div>
        <w:div w:id="491721504">
          <w:marLeft w:val="0"/>
          <w:marRight w:val="0"/>
          <w:marTop w:val="0"/>
          <w:marBottom w:val="0"/>
          <w:divBdr>
            <w:top w:val="none" w:sz="0" w:space="0" w:color="auto"/>
            <w:left w:val="none" w:sz="0" w:space="0" w:color="auto"/>
            <w:bottom w:val="none" w:sz="0" w:space="0" w:color="auto"/>
            <w:right w:val="none" w:sz="0" w:space="0" w:color="auto"/>
          </w:divBdr>
        </w:div>
        <w:div w:id="988632919">
          <w:marLeft w:val="0"/>
          <w:marRight w:val="0"/>
          <w:marTop w:val="0"/>
          <w:marBottom w:val="0"/>
          <w:divBdr>
            <w:top w:val="none" w:sz="0" w:space="0" w:color="auto"/>
            <w:left w:val="none" w:sz="0" w:space="0" w:color="auto"/>
            <w:bottom w:val="none" w:sz="0" w:space="0" w:color="auto"/>
            <w:right w:val="none" w:sz="0" w:space="0" w:color="auto"/>
          </w:divBdr>
        </w:div>
        <w:div w:id="1098255446">
          <w:marLeft w:val="0"/>
          <w:marRight w:val="0"/>
          <w:marTop w:val="0"/>
          <w:marBottom w:val="0"/>
          <w:divBdr>
            <w:top w:val="none" w:sz="0" w:space="0" w:color="auto"/>
            <w:left w:val="none" w:sz="0" w:space="0" w:color="auto"/>
            <w:bottom w:val="none" w:sz="0" w:space="0" w:color="auto"/>
            <w:right w:val="none" w:sz="0" w:space="0" w:color="auto"/>
          </w:divBdr>
        </w:div>
        <w:div w:id="1286082779">
          <w:marLeft w:val="0"/>
          <w:marRight w:val="0"/>
          <w:marTop w:val="0"/>
          <w:marBottom w:val="0"/>
          <w:divBdr>
            <w:top w:val="none" w:sz="0" w:space="0" w:color="auto"/>
            <w:left w:val="none" w:sz="0" w:space="0" w:color="auto"/>
            <w:bottom w:val="none" w:sz="0" w:space="0" w:color="auto"/>
            <w:right w:val="none" w:sz="0" w:space="0" w:color="auto"/>
          </w:divBdr>
        </w:div>
        <w:div w:id="967324237">
          <w:marLeft w:val="0"/>
          <w:marRight w:val="0"/>
          <w:marTop w:val="0"/>
          <w:marBottom w:val="0"/>
          <w:divBdr>
            <w:top w:val="none" w:sz="0" w:space="0" w:color="auto"/>
            <w:left w:val="none" w:sz="0" w:space="0" w:color="auto"/>
            <w:bottom w:val="none" w:sz="0" w:space="0" w:color="auto"/>
            <w:right w:val="none" w:sz="0" w:space="0" w:color="auto"/>
          </w:divBdr>
        </w:div>
        <w:div w:id="1130127116">
          <w:marLeft w:val="0"/>
          <w:marRight w:val="0"/>
          <w:marTop w:val="0"/>
          <w:marBottom w:val="0"/>
          <w:divBdr>
            <w:top w:val="none" w:sz="0" w:space="0" w:color="auto"/>
            <w:left w:val="none" w:sz="0" w:space="0" w:color="auto"/>
            <w:bottom w:val="none" w:sz="0" w:space="0" w:color="auto"/>
            <w:right w:val="none" w:sz="0" w:space="0" w:color="auto"/>
          </w:divBdr>
        </w:div>
        <w:div w:id="1919973479">
          <w:marLeft w:val="0"/>
          <w:marRight w:val="0"/>
          <w:marTop w:val="0"/>
          <w:marBottom w:val="0"/>
          <w:divBdr>
            <w:top w:val="none" w:sz="0" w:space="0" w:color="auto"/>
            <w:left w:val="none" w:sz="0" w:space="0" w:color="auto"/>
            <w:bottom w:val="none" w:sz="0" w:space="0" w:color="auto"/>
            <w:right w:val="none" w:sz="0" w:space="0" w:color="auto"/>
          </w:divBdr>
        </w:div>
        <w:div w:id="1156145094">
          <w:marLeft w:val="0"/>
          <w:marRight w:val="0"/>
          <w:marTop w:val="0"/>
          <w:marBottom w:val="0"/>
          <w:divBdr>
            <w:top w:val="none" w:sz="0" w:space="0" w:color="auto"/>
            <w:left w:val="none" w:sz="0" w:space="0" w:color="auto"/>
            <w:bottom w:val="none" w:sz="0" w:space="0" w:color="auto"/>
            <w:right w:val="none" w:sz="0" w:space="0" w:color="auto"/>
          </w:divBdr>
        </w:div>
        <w:div w:id="1594625388">
          <w:marLeft w:val="0"/>
          <w:marRight w:val="0"/>
          <w:marTop w:val="0"/>
          <w:marBottom w:val="0"/>
          <w:divBdr>
            <w:top w:val="none" w:sz="0" w:space="0" w:color="auto"/>
            <w:left w:val="none" w:sz="0" w:space="0" w:color="auto"/>
            <w:bottom w:val="none" w:sz="0" w:space="0" w:color="auto"/>
            <w:right w:val="none" w:sz="0" w:space="0" w:color="auto"/>
          </w:divBdr>
        </w:div>
        <w:div w:id="1957979502">
          <w:marLeft w:val="0"/>
          <w:marRight w:val="0"/>
          <w:marTop w:val="0"/>
          <w:marBottom w:val="0"/>
          <w:divBdr>
            <w:top w:val="none" w:sz="0" w:space="0" w:color="auto"/>
            <w:left w:val="none" w:sz="0" w:space="0" w:color="auto"/>
            <w:bottom w:val="none" w:sz="0" w:space="0" w:color="auto"/>
            <w:right w:val="none" w:sz="0" w:space="0" w:color="auto"/>
          </w:divBdr>
        </w:div>
        <w:div w:id="1436099017">
          <w:marLeft w:val="0"/>
          <w:marRight w:val="0"/>
          <w:marTop w:val="0"/>
          <w:marBottom w:val="0"/>
          <w:divBdr>
            <w:top w:val="none" w:sz="0" w:space="0" w:color="auto"/>
            <w:left w:val="none" w:sz="0" w:space="0" w:color="auto"/>
            <w:bottom w:val="none" w:sz="0" w:space="0" w:color="auto"/>
            <w:right w:val="none" w:sz="0" w:space="0" w:color="auto"/>
          </w:divBdr>
        </w:div>
        <w:div w:id="489442836">
          <w:marLeft w:val="0"/>
          <w:marRight w:val="0"/>
          <w:marTop w:val="0"/>
          <w:marBottom w:val="0"/>
          <w:divBdr>
            <w:top w:val="none" w:sz="0" w:space="0" w:color="auto"/>
            <w:left w:val="none" w:sz="0" w:space="0" w:color="auto"/>
            <w:bottom w:val="none" w:sz="0" w:space="0" w:color="auto"/>
            <w:right w:val="none" w:sz="0" w:space="0" w:color="auto"/>
          </w:divBdr>
        </w:div>
        <w:div w:id="1980842716">
          <w:marLeft w:val="0"/>
          <w:marRight w:val="0"/>
          <w:marTop w:val="0"/>
          <w:marBottom w:val="0"/>
          <w:divBdr>
            <w:top w:val="none" w:sz="0" w:space="0" w:color="auto"/>
            <w:left w:val="none" w:sz="0" w:space="0" w:color="auto"/>
            <w:bottom w:val="none" w:sz="0" w:space="0" w:color="auto"/>
            <w:right w:val="none" w:sz="0" w:space="0" w:color="auto"/>
          </w:divBdr>
        </w:div>
        <w:div w:id="169295193">
          <w:marLeft w:val="0"/>
          <w:marRight w:val="0"/>
          <w:marTop w:val="0"/>
          <w:marBottom w:val="0"/>
          <w:divBdr>
            <w:top w:val="none" w:sz="0" w:space="0" w:color="auto"/>
            <w:left w:val="none" w:sz="0" w:space="0" w:color="auto"/>
            <w:bottom w:val="none" w:sz="0" w:space="0" w:color="auto"/>
            <w:right w:val="none" w:sz="0" w:space="0" w:color="auto"/>
          </w:divBdr>
        </w:div>
        <w:div w:id="616453604">
          <w:marLeft w:val="0"/>
          <w:marRight w:val="0"/>
          <w:marTop w:val="0"/>
          <w:marBottom w:val="0"/>
          <w:divBdr>
            <w:top w:val="none" w:sz="0" w:space="0" w:color="auto"/>
            <w:left w:val="none" w:sz="0" w:space="0" w:color="auto"/>
            <w:bottom w:val="none" w:sz="0" w:space="0" w:color="auto"/>
            <w:right w:val="none" w:sz="0" w:space="0" w:color="auto"/>
          </w:divBdr>
        </w:div>
        <w:div w:id="949580669">
          <w:marLeft w:val="0"/>
          <w:marRight w:val="0"/>
          <w:marTop w:val="0"/>
          <w:marBottom w:val="0"/>
          <w:divBdr>
            <w:top w:val="none" w:sz="0" w:space="0" w:color="auto"/>
            <w:left w:val="none" w:sz="0" w:space="0" w:color="auto"/>
            <w:bottom w:val="none" w:sz="0" w:space="0" w:color="auto"/>
            <w:right w:val="none" w:sz="0" w:space="0" w:color="auto"/>
          </w:divBdr>
        </w:div>
        <w:div w:id="912393455">
          <w:marLeft w:val="0"/>
          <w:marRight w:val="0"/>
          <w:marTop w:val="0"/>
          <w:marBottom w:val="0"/>
          <w:divBdr>
            <w:top w:val="none" w:sz="0" w:space="0" w:color="auto"/>
            <w:left w:val="none" w:sz="0" w:space="0" w:color="auto"/>
            <w:bottom w:val="none" w:sz="0" w:space="0" w:color="auto"/>
            <w:right w:val="none" w:sz="0" w:space="0" w:color="auto"/>
          </w:divBdr>
        </w:div>
        <w:div w:id="1119836554">
          <w:marLeft w:val="0"/>
          <w:marRight w:val="0"/>
          <w:marTop w:val="0"/>
          <w:marBottom w:val="0"/>
          <w:divBdr>
            <w:top w:val="none" w:sz="0" w:space="0" w:color="auto"/>
            <w:left w:val="none" w:sz="0" w:space="0" w:color="auto"/>
            <w:bottom w:val="none" w:sz="0" w:space="0" w:color="auto"/>
            <w:right w:val="none" w:sz="0" w:space="0" w:color="auto"/>
          </w:divBdr>
        </w:div>
        <w:div w:id="870384963">
          <w:marLeft w:val="0"/>
          <w:marRight w:val="0"/>
          <w:marTop w:val="0"/>
          <w:marBottom w:val="0"/>
          <w:divBdr>
            <w:top w:val="none" w:sz="0" w:space="0" w:color="auto"/>
            <w:left w:val="none" w:sz="0" w:space="0" w:color="auto"/>
            <w:bottom w:val="none" w:sz="0" w:space="0" w:color="auto"/>
            <w:right w:val="none" w:sz="0" w:space="0" w:color="auto"/>
          </w:divBdr>
        </w:div>
        <w:div w:id="1409618180">
          <w:marLeft w:val="0"/>
          <w:marRight w:val="0"/>
          <w:marTop w:val="0"/>
          <w:marBottom w:val="0"/>
          <w:divBdr>
            <w:top w:val="none" w:sz="0" w:space="0" w:color="auto"/>
            <w:left w:val="none" w:sz="0" w:space="0" w:color="auto"/>
            <w:bottom w:val="none" w:sz="0" w:space="0" w:color="auto"/>
            <w:right w:val="none" w:sz="0" w:space="0" w:color="auto"/>
          </w:divBdr>
        </w:div>
        <w:div w:id="1484199422">
          <w:marLeft w:val="0"/>
          <w:marRight w:val="0"/>
          <w:marTop w:val="0"/>
          <w:marBottom w:val="0"/>
          <w:divBdr>
            <w:top w:val="none" w:sz="0" w:space="0" w:color="auto"/>
            <w:left w:val="none" w:sz="0" w:space="0" w:color="auto"/>
            <w:bottom w:val="none" w:sz="0" w:space="0" w:color="auto"/>
            <w:right w:val="none" w:sz="0" w:space="0" w:color="auto"/>
          </w:divBdr>
        </w:div>
        <w:div w:id="1045253482">
          <w:marLeft w:val="0"/>
          <w:marRight w:val="0"/>
          <w:marTop w:val="0"/>
          <w:marBottom w:val="0"/>
          <w:divBdr>
            <w:top w:val="none" w:sz="0" w:space="0" w:color="auto"/>
            <w:left w:val="none" w:sz="0" w:space="0" w:color="auto"/>
            <w:bottom w:val="none" w:sz="0" w:space="0" w:color="auto"/>
            <w:right w:val="none" w:sz="0" w:space="0" w:color="auto"/>
          </w:divBdr>
        </w:div>
        <w:div w:id="11344610">
          <w:marLeft w:val="0"/>
          <w:marRight w:val="0"/>
          <w:marTop w:val="0"/>
          <w:marBottom w:val="0"/>
          <w:divBdr>
            <w:top w:val="none" w:sz="0" w:space="0" w:color="auto"/>
            <w:left w:val="none" w:sz="0" w:space="0" w:color="auto"/>
            <w:bottom w:val="none" w:sz="0" w:space="0" w:color="auto"/>
            <w:right w:val="none" w:sz="0" w:space="0" w:color="auto"/>
          </w:divBdr>
        </w:div>
        <w:div w:id="1833637106">
          <w:marLeft w:val="0"/>
          <w:marRight w:val="0"/>
          <w:marTop w:val="0"/>
          <w:marBottom w:val="0"/>
          <w:divBdr>
            <w:top w:val="none" w:sz="0" w:space="0" w:color="auto"/>
            <w:left w:val="none" w:sz="0" w:space="0" w:color="auto"/>
            <w:bottom w:val="none" w:sz="0" w:space="0" w:color="auto"/>
            <w:right w:val="none" w:sz="0" w:space="0" w:color="auto"/>
          </w:divBdr>
        </w:div>
        <w:div w:id="318581306">
          <w:marLeft w:val="0"/>
          <w:marRight w:val="0"/>
          <w:marTop w:val="0"/>
          <w:marBottom w:val="0"/>
          <w:divBdr>
            <w:top w:val="none" w:sz="0" w:space="0" w:color="auto"/>
            <w:left w:val="none" w:sz="0" w:space="0" w:color="auto"/>
            <w:bottom w:val="none" w:sz="0" w:space="0" w:color="auto"/>
            <w:right w:val="none" w:sz="0" w:space="0" w:color="auto"/>
          </w:divBdr>
        </w:div>
        <w:div w:id="2034917278">
          <w:marLeft w:val="0"/>
          <w:marRight w:val="0"/>
          <w:marTop w:val="0"/>
          <w:marBottom w:val="0"/>
          <w:divBdr>
            <w:top w:val="none" w:sz="0" w:space="0" w:color="auto"/>
            <w:left w:val="none" w:sz="0" w:space="0" w:color="auto"/>
            <w:bottom w:val="none" w:sz="0" w:space="0" w:color="auto"/>
            <w:right w:val="none" w:sz="0" w:space="0" w:color="auto"/>
          </w:divBdr>
        </w:div>
        <w:div w:id="1456024144">
          <w:marLeft w:val="0"/>
          <w:marRight w:val="0"/>
          <w:marTop w:val="0"/>
          <w:marBottom w:val="0"/>
          <w:divBdr>
            <w:top w:val="none" w:sz="0" w:space="0" w:color="auto"/>
            <w:left w:val="none" w:sz="0" w:space="0" w:color="auto"/>
            <w:bottom w:val="none" w:sz="0" w:space="0" w:color="auto"/>
            <w:right w:val="none" w:sz="0" w:space="0" w:color="auto"/>
          </w:divBdr>
        </w:div>
        <w:div w:id="1359967068">
          <w:marLeft w:val="0"/>
          <w:marRight w:val="0"/>
          <w:marTop w:val="0"/>
          <w:marBottom w:val="0"/>
          <w:divBdr>
            <w:top w:val="none" w:sz="0" w:space="0" w:color="auto"/>
            <w:left w:val="none" w:sz="0" w:space="0" w:color="auto"/>
            <w:bottom w:val="none" w:sz="0" w:space="0" w:color="auto"/>
            <w:right w:val="none" w:sz="0" w:space="0" w:color="auto"/>
          </w:divBdr>
        </w:div>
        <w:div w:id="1048991861">
          <w:marLeft w:val="0"/>
          <w:marRight w:val="0"/>
          <w:marTop w:val="0"/>
          <w:marBottom w:val="0"/>
          <w:divBdr>
            <w:top w:val="none" w:sz="0" w:space="0" w:color="auto"/>
            <w:left w:val="none" w:sz="0" w:space="0" w:color="auto"/>
            <w:bottom w:val="none" w:sz="0" w:space="0" w:color="auto"/>
            <w:right w:val="none" w:sz="0" w:space="0" w:color="auto"/>
          </w:divBdr>
        </w:div>
        <w:div w:id="540554412">
          <w:marLeft w:val="0"/>
          <w:marRight w:val="0"/>
          <w:marTop w:val="0"/>
          <w:marBottom w:val="0"/>
          <w:divBdr>
            <w:top w:val="none" w:sz="0" w:space="0" w:color="auto"/>
            <w:left w:val="none" w:sz="0" w:space="0" w:color="auto"/>
            <w:bottom w:val="none" w:sz="0" w:space="0" w:color="auto"/>
            <w:right w:val="none" w:sz="0" w:space="0" w:color="auto"/>
          </w:divBdr>
        </w:div>
        <w:div w:id="968509559">
          <w:marLeft w:val="0"/>
          <w:marRight w:val="0"/>
          <w:marTop w:val="0"/>
          <w:marBottom w:val="0"/>
          <w:divBdr>
            <w:top w:val="none" w:sz="0" w:space="0" w:color="auto"/>
            <w:left w:val="none" w:sz="0" w:space="0" w:color="auto"/>
            <w:bottom w:val="none" w:sz="0" w:space="0" w:color="auto"/>
            <w:right w:val="none" w:sz="0" w:space="0" w:color="auto"/>
          </w:divBdr>
        </w:div>
        <w:div w:id="281227807">
          <w:marLeft w:val="0"/>
          <w:marRight w:val="0"/>
          <w:marTop w:val="0"/>
          <w:marBottom w:val="0"/>
          <w:divBdr>
            <w:top w:val="none" w:sz="0" w:space="0" w:color="auto"/>
            <w:left w:val="none" w:sz="0" w:space="0" w:color="auto"/>
            <w:bottom w:val="none" w:sz="0" w:space="0" w:color="auto"/>
            <w:right w:val="none" w:sz="0" w:space="0" w:color="auto"/>
          </w:divBdr>
        </w:div>
        <w:div w:id="1711881222">
          <w:marLeft w:val="0"/>
          <w:marRight w:val="0"/>
          <w:marTop w:val="0"/>
          <w:marBottom w:val="0"/>
          <w:divBdr>
            <w:top w:val="none" w:sz="0" w:space="0" w:color="auto"/>
            <w:left w:val="none" w:sz="0" w:space="0" w:color="auto"/>
            <w:bottom w:val="none" w:sz="0" w:space="0" w:color="auto"/>
            <w:right w:val="none" w:sz="0" w:space="0" w:color="auto"/>
          </w:divBdr>
        </w:div>
        <w:div w:id="1364286574">
          <w:marLeft w:val="0"/>
          <w:marRight w:val="0"/>
          <w:marTop w:val="0"/>
          <w:marBottom w:val="0"/>
          <w:divBdr>
            <w:top w:val="none" w:sz="0" w:space="0" w:color="auto"/>
            <w:left w:val="none" w:sz="0" w:space="0" w:color="auto"/>
            <w:bottom w:val="none" w:sz="0" w:space="0" w:color="auto"/>
            <w:right w:val="none" w:sz="0" w:space="0" w:color="auto"/>
          </w:divBdr>
        </w:div>
        <w:div w:id="2129932266">
          <w:marLeft w:val="0"/>
          <w:marRight w:val="0"/>
          <w:marTop w:val="0"/>
          <w:marBottom w:val="0"/>
          <w:divBdr>
            <w:top w:val="none" w:sz="0" w:space="0" w:color="auto"/>
            <w:left w:val="none" w:sz="0" w:space="0" w:color="auto"/>
            <w:bottom w:val="none" w:sz="0" w:space="0" w:color="auto"/>
            <w:right w:val="none" w:sz="0" w:space="0" w:color="auto"/>
          </w:divBdr>
        </w:div>
        <w:div w:id="895504132">
          <w:marLeft w:val="0"/>
          <w:marRight w:val="0"/>
          <w:marTop w:val="0"/>
          <w:marBottom w:val="0"/>
          <w:divBdr>
            <w:top w:val="none" w:sz="0" w:space="0" w:color="auto"/>
            <w:left w:val="none" w:sz="0" w:space="0" w:color="auto"/>
            <w:bottom w:val="none" w:sz="0" w:space="0" w:color="auto"/>
            <w:right w:val="none" w:sz="0" w:space="0" w:color="auto"/>
          </w:divBdr>
        </w:div>
        <w:div w:id="1660113379">
          <w:marLeft w:val="0"/>
          <w:marRight w:val="0"/>
          <w:marTop w:val="0"/>
          <w:marBottom w:val="0"/>
          <w:divBdr>
            <w:top w:val="none" w:sz="0" w:space="0" w:color="auto"/>
            <w:left w:val="none" w:sz="0" w:space="0" w:color="auto"/>
            <w:bottom w:val="none" w:sz="0" w:space="0" w:color="auto"/>
            <w:right w:val="none" w:sz="0" w:space="0" w:color="auto"/>
          </w:divBdr>
        </w:div>
        <w:div w:id="112603978">
          <w:marLeft w:val="0"/>
          <w:marRight w:val="0"/>
          <w:marTop w:val="0"/>
          <w:marBottom w:val="0"/>
          <w:divBdr>
            <w:top w:val="none" w:sz="0" w:space="0" w:color="auto"/>
            <w:left w:val="none" w:sz="0" w:space="0" w:color="auto"/>
            <w:bottom w:val="none" w:sz="0" w:space="0" w:color="auto"/>
            <w:right w:val="none" w:sz="0" w:space="0" w:color="auto"/>
          </w:divBdr>
        </w:div>
        <w:div w:id="676419584">
          <w:marLeft w:val="0"/>
          <w:marRight w:val="0"/>
          <w:marTop w:val="0"/>
          <w:marBottom w:val="0"/>
          <w:divBdr>
            <w:top w:val="none" w:sz="0" w:space="0" w:color="auto"/>
            <w:left w:val="none" w:sz="0" w:space="0" w:color="auto"/>
            <w:bottom w:val="none" w:sz="0" w:space="0" w:color="auto"/>
            <w:right w:val="none" w:sz="0" w:space="0" w:color="auto"/>
          </w:divBdr>
        </w:div>
        <w:div w:id="132063590">
          <w:marLeft w:val="0"/>
          <w:marRight w:val="0"/>
          <w:marTop w:val="0"/>
          <w:marBottom w:val="0"/>
          <w:divBdr>
            <w:top w:val="none" w:sz="0" w:space="0" w:color="auto"/>
            <w:left w:val="none" w:sz="0" w:space="0" w:color="auto"/>
            <w:bottom w:val="none" w:sz="0" w:space="0" w:color="auto"/>
            <w:right w:val="none" w:sz="0" w:space="0" w:color="auto"/>
          </w:divBdr>
        </w:div>
        <w:div w:id="1581794519">
          <w:marLeft w:val="0"/>
          <w:marRight w:val="0"/>
          <w:marTop w:val="0"/>
          <w:marBottom w:val="0"/>
          <w:divBdr>
            <w:top w:val="none" w:sz="0" w:space="0" w:color="auto"/>
            <w:left w:val="none" w:sz="0" w:space="0" w:color="auto"/>
            <w:bottom w:val="none" w:sz="0" w:space="0" w:color="auto"/>
            <w:right w:val="none" w:sz="0" w:space="0" w:color="auto"/>
          </w:divBdr>
        </w:div>
        <w:div w:id="65104825">
          <w:marLeft w:val="0"/>
          <w:marRight w:val="0"/>
          <w:marTop w:val="0"/>
          <w:marBottom w:val="0"/>
          <w:divBdr>
            <w:top w:val="none" w:sz="0" w:space="0" w:color="auto"/>
            <w:left w:val="none" w:sz="0" w:space="0" w:color="auto"/>
            <w:bottom w:val="none" w:sz="0" w:space="0" w:color="auto"/>
            <w:right w:val="none" w:sz="0" w:space="0" w:color="auto"/>
          </w:divBdr>
        </w:div>
        <w:div w:id="1108310298">
          <w:marLeft w:val="0"/>
          <w:marRight w:val="0"/>
          <w:marTop w:val="0"/>
          <w:marBottom w:val="0"/>
          <w:divBdr>
            <w:top w:val="none" w:sz="0" w:space="0" w:color="auto"/>
            <w:left w:val="none" w:sz="0" w:space="0" w:color="auto"/>
            <w:bottom w:val="none" w:sz="0" w:space="0" w:color="auto"/>
            <w:right w:val="none" w:sz="0" w:space="0" w:color="auto"/>
          </w:divBdr>
        </w:div>
        <w:div w:id="255022169">
          <w:marLeft w:val="0"/>
          <w:marRight w:val="0"/>
          <w:marTop w:val="0"/>
          <w:marBottom w:val="0"/>
          <w:divBdr>
            <w:top w:val="none" w:sz="0" w:space="0" w:color="auto"/>
            <w:left w:val="none" w:sz="0" w:space="0" w:color="auto"/>
            <w:bottom w:val="none" w:sz="0" w:space="0" w:color="auto"/>
            <w:right w:val="none" w:sz="0" w:space="0" w:color="auto"/>
          </w:divBdr>
        </w:div>
        <w:div w:id="1756516629">
          <w:marLeft w:val="0"/>
          <w:marRight w:val="0"/>
          <w:marTop w:val="0"/>
          <w:marBottom w:val="0"/>
          <w:divBdr>
            <w:top w:val="none" w:sz="0" w:space="0" w:color="auto"/>
            <w:left w:val="none" w:sz="0" w:space="0" w:color="auto"/>
            <w:bottom w:val="none" w:sz="0" w:space="0" w:color="auto"/>
            <w:right w:val="none" w:sz="0" w:space="0" w:color="auto"/>
          </w:divBdr>
        </w:div>
        <w:div w:id="817652792">
          <w:marLeft w:val="0"/>
          <w:marRight w:val="0"/>
          <w:marTop w:val="0"/>
          <w:marBottom w:val="0"/>
          <w:divBdr>
            <w:top w:val="none" w:sz="0" w:space="0" w:color="auto"/>
            <w:left w:val="none" w:sz="0" w:space="0" w:color="auto"/>
            <w:bottom w:val="none" w:sz="0" w:space="0" w:color="auto"/>
            <w:right w:val="none" w:sz="0" w:space="0" w:color="auto"/>
          </w:divBdr>
        </w:div>
        <w:div w:id="1393119207">
          <w:marLeft w:val="0"/>
          <w:marRight w:val="0"/>
          <w:marTop w:val="0"/>
          <w:marBottom w:val="0"/>
          <w:divBdr>
            <w:top w:val="none" w:sz="0" w:space="0" w:color="auto"/>
            <w:left w:val="none" w:sz="0" w:space="0" w:color="auto"/>
            <w:bottom w:val="none" w:sz="0" w:space="0" w:color="auto"/>
            <w:right w:val="none" w:sz="0" w:space="0" w:color="auto"/>
          </w:divBdr>
        </w:div>
        <w:div w:id="1755855813">
          <w:marLeft w:val="0"/>
          <w:marRight w:val="0"/>
          <w:marTop w:val="0"/>
          <w:marBottom w:val="0"/>
          <w:divBdr>
            <w:top w:val="none" w:sz="0" w:space="0" w:color="auto"/>
            <w:left w:val="none" w:sz="0" w:space="0" w:color="auto"/>
            <w:bottom w:val="none" w:sz="0" w:space="0" w:color="auto"/>
            <w:right w:val="none" w:sz="0" w:space="0" w:color="auto"/>
          </w:divBdr>
        </w:div>
        <w:div w:id="208155202">
          <w:marLeft w:val="0"/>
          <w:marRight w:val="0"/>
          <w:marTop w:val="0"/>
          <w:marBottom w:val="0"/>
          <w:divBdr>
            <w:top w:val="none" w:sz="0" w:space="0" w:color="auto"/>
            <w:left w:val="none" w:sz="0" w:space="0" w:color="auto"/>
            <w:bottom w:val="none" w:sz="0" w:space="0" w:color="auto"/>
            <w:right w:val="none" w:sz="0" w:space="0" w:color="auto"/>
          </w:divBdr>
        </w:div>
        <w:div w:id="734745823">
          <w:marLeft w:val="0"/>
          <w:marRight w:val="0"/>
          <w:marTop w:val="0"/>
          <w:marBottom w:val="0"/>
          <w:divBdr>
            <w:top w:val="none" w:sz="0" w:space="0" w:color="auto"/>
            <w:left w:val="none" w:sz="0" w:space="0" w:color="auto"/>
            <w:bottom w:val="none" w:sz="0" w:space="0" w:color="auto"/>
            <w:right w:val="none" w:sz="0" w:space="0" w:color="auto"/>
          </w:divBdr>
        </w:div>
        <w:div w:id="564726617">
          <w:marLeft w:val="0"/>
          <w:marRight w:val="0"/>
          <w:marTop w:val="0"/>
          <w:marBottom w:val="0"/>
          <w:divBdr>
            <w:top w:val="none" w:sz="0" w:space="0" w:color="auto"/>
            <w:left w:val="none" w:sz="0" w:space="0" w:color="auto"/>
            <w:bottom w:val="none" w:sz="0" w:space="0" w:color="auto"/>
            <w:right w:val="none" w:sz="0" w:space="0" w:color="auto"/>
          </w:divBdr>
        </w:div>
        <w:div w:id="1444500784">
          <w:marLeft w:val="0"/>
          <w:marRight w:val="0"/>
          <w:marTop w:val="0"/>
          <w:marBottom w:val="0"/>
          <w:divBdr>
            <w:top w:val="none" w:sz="0" w:space="0" w:color="auto"/>
            <w:left w:val="none" w:sz="0" w:space="0" w:color="auto"/>
            <w:bottom w:val="none" w:sz="0" w:space="0" w:color="auto"/>
            <w:right w:val="none" w:sz="0" w:space="0" w:color="auto"/>
          </w:divBdr>
        </w:div>
        <w:div w:id="578753103">
          <w:marLeft w:val="0"/>
          <w:marRight w:val="0"/>
          <w:marTop w:val="0"/>
          <w:marBottom w:val="0"/>
          <w:divBdr>
            <w:top w:val="none" w:sz="0" w:space="0" w:color="auto"/>
            <w:left w:val="none" w:sz="0" w:space="0" w:color="auto"/>
            <w:bottom w:val="none" w:sz="0" w:space="0" w:color="auto"/>
            <w:right w:val="none" w:sz="0" w:space="0" w:color="auto"/>
          </w:divBdr>
        </w:div>
        <w:div w:id="2068649044">
          <w:marLeft w:val="0"/>
          <w:marRight w:val="0"/>
          <w:marTop w:val="0"/>
          <w:marBottom w:val="0"/>
          <w:divBdr>
            <w:top w:val="none" w:sz="0" w:space="0" w:color="auto"/>
            <w:left w:val="none" w:sz="0" w:space="0" w:color="auto"/>
            <w:bottom w:val="none" w:sz="0" w:space="0" w:color="auto"/>
            <w:right w:val="none" w:sz="0" w:space="0" w:color="auto"/>
          </w:divBdr>
        </w:div>
        <w:div w:id="1543908755">
          <w:marLeft w:val="0"/>
          <w:marRight w:val="0"/>
          <w:marTop w:val="0"/>
          <w:marBottom w:val="0"/>
          <w:divBdr>
            <w:top w:val="none" w:sz="0" w:space="0" w:color="auto"/>
            <w:left w:val="none" w:sz="0" w:space="0" w:color="auto"/>
            <w:bottom w:val="none" w:sz="0" w:space="0" w:color="auto"/>
            <w:right w:val="none" w:sz="0" w:space="0" w:color="auto"/>
          </w:divBdr>
        </w:div>
        <w:div w:id="1911117976">
          <w:marLeft w:val="0"/>
          <w:marRight w:val="0"/>
          <w:marTop w:val="0"/>
          <w:marBottom w:val="0"/>
          <w:divBdr>
            <w:top w:val="none" w:sz="0" w:space="0" w:color="auto"/>
            <w:left w:val="none" w:sz="0" w:space="0" w:color="auto"/>
            <w:bottom w:val="none" w:sz="0" w:space="0" w:color="auto"/>
            <w:right w:val="none" w:sz="0" w:space="0" w:color="auto"/>
          </w:divBdr>
        </w:div>
        <w:div w:id="1884176359">
          <w:marLeft w:val="0"/>
          <w:marRight w:val="0"/>
          <w:marTop w:val="0"/>
          <w:marBottom w:val="0"/>
          <w:divBdr>
            <w:top w:val="none" w:sz="0" w:space="0" w:color="auto"/>
            <w:left w:val="none" w:sz="0" w:space="0" w:color="auto"/>
            <w:bottom w:val="none" w:sz="0" w:space="0" w:color="auto"/>
            <w:right w:val="none" w:sz="0" w:space="0" w:color="auto"/>
          </w:divBdr>
        </w:div>
        <w:div w:id="752820117">
          <w:marLeft w:val="0"/>
          <w:marRight w:val="0"/>
          <w:marTop w:val="0"/>
          <w:marBottom w:val="0"/>
          <w:divBdr>
            <w:top w:val="none" w:sz="0" w:space="0" w:color="auto"/>
            <w:left w:val="none" w:sz="0" w:space="0" w:color="auto"/>
            <w:bottom w:val="none" w:sz="0" w:space="0" w:color="auto"/>
            <w:right w:val="none" w:sz="0" w:space="0" w:color="auto"/>
          </w:divBdr>
        </w:div>
        <w:div w:id="36319235">
          <w:marLeft w:val="0"/>
          <w:marRight w:val="0"/>
          <w:marTop w:val="0"/>
          <w:marBottom w:val="0"/>
          <w:divBdr>
            <w:top w:val="none" w:sz="0" w:space="0" w:color="auto"/>
            <w:left w:val="none" w:sz="0" w:space="0" w:color="auto"/>
            <w:bottom w:val="none" w:sz="0" w:space="0" w:color="auto"/>
            <w:right w:val="none" w:sz="0" w:space="0" w:color="auto"/>
          </w:divBdr>
        </w:div>
        <w:div w:id="2009408623">
          <w:marLeft w:val="0"/>
          <w:marRight w:val="0"/>
          <w:marTop w:val="0"/>
          <w:marBottom w:val="0"/>
          <w:divBdr>
            <w:top w:val="none" w:sz="0" w:space="0" w:color="auto"/>
            <w:left w:val="none" w:sz="0" w:space="0" w:color="auto"/>
            <w:bottom w:val="none" w:sz="0" w:space="0" w:color="auto"/>
            <w:right w:val="none" w:sz="0" w:space="0" w:color="auto"/>
          </w:divBdr>
        </w:div>
        <w:div w:id="1140030341">
          <w:marLeft w:val="0"/>
          <w:marRight w:val="0"/>
          <w:marTop w:val="0"/>
          <w:marBottom w:val="0"/>
          <w:divBdr>
            <w:top w:val="none" w:sz="0" w:space="0" w:color="auto"/>
            <w:left w:val="none" w:sz="0" w:space="0" w:color="auto"/>
            <w:bottom w:val="none" w:sz="0" w:space="0" w:color="auto"/>
            <w:right w:val="none" w:sz="0" w:space="0" w:color="auto"/>
          </w:divBdr>
        </w:div>
        <w:div w:id="1238712408">
          <w:marLeft w:val="0"/>
          <w:marRight w:val="0"/>
          <w:marTop w:val="0"/>
          <w:marBottom w:val="0"/>
          <w:divBdr>
            <w:top w:val="none" w:sz="0" w:space="0" w:color="auto"/>
            <w:left w:val="none" w:sz="0" w:space="0" w:color="auto"/>
            <w:bottom w:val="none" w:sz="0" w:space="0" w:color="auto"/>
            <w:right w:val="none" w:sz="0" w:space="0" w:color="auto"/>
          </w:divBdr>
        </w:div>
        <w:div w:id="221867852">
          <w:marLeft w:val="0"/>
          <w:marRight w:val="0"/>
          <w:marTop w:val="0"/>
          <w:marBottom w:val="0"/>
          <w:divBdr>
            <w:top w:val="none" w:sz="0" w:space="0" w:color="auto"/>
            <w:left w:val="none" w:sz="0" w:space="0" w:color="auto"/>
            <w:bottom w:val="none" w:sz="0" w:space="0" w:color="auto"/>
            <w:right w:val="none" w:sz="0" w:space="0" w:color="auto"/>
          </w:divBdr>
        </w:div>
        <w:div w:id="1551725273">
          <w:marLeft w:val="0"/>
          <w:marRight w:val="0"/>
          <w:marTop w:val="0"/>
          <w:marBottom w:val="0"/>
          <w:divBdr>
            <w:top w:val="none" w:sz="0" w:space="0" w:color="auto"/>
            <w:left w:val="none" w:sz="0" w:space="0" w:color="auto"/>
            <w:bottom w:val="none" w:sz="0" w:space="0" w:color="auto"/>
            <w:right w:val="none" w:sz="0" w:space="0" w:color="auto"/>
          </w:divBdr>
        </w:div>
        <w:div w:id="553153859">
          <w:marLeft w:val="0"/>
          <w:marRight w:val="0"/>
          <w:marTop w:val="0"/>
          <w:marBottom w:val="0"/>
          <w:divBdr>
            <w:top w:val="none" w:sz="0" w:space="0" w:color="auto"/>
            <w:left w:val="none" w:sz="0" w:space="0" w:color="auto"/>
            <w:bottom w:val="none" w:sz="0" w:space="0" w:color="auto"/>
            <w:right w:val="none" w:sz="0" w:space="0" w:color="auto"/>
          </w:divBdr>
        </w:div>
        <w:div w:id="1049761764">
          <w:marLeft w:val="0"/>
          <w:marRight w:val="0"/>
          <w:marTop w:val="0"/>
          <w:marBottom w:val="0"/>
          <w:divBdr>
            <w:top w:val="none" w:sz="0" w:space="0" w:color="auto"/>
            <w:left w:val="none" w:sz="0" w:space="0" w:color="auto"/>
            <w:bottom w:val="none" w:sz="0" w:space="0" w:color="auto"/>
            <w:right w:val="none" w:sz="0" w:space="0" w:color="auto"/>
          </w:divBdr>
        </w:div>
        <w:div w:id="452553442">
          <w:marLeft w:val="0"/>
          <w:marRight w:val="0"/>
          <w:marTop w:val="0"/>
          <w:marBottom w:val="0"/>
          <w:divBdr>
            <w:top w:val="none" w:sz="0" w:space="0" w:color="auto"/>
            <w:left w:val="none" w:sz="0" w:space="0" w:color="auto"/>
            <w:bottom w:val="none" w:sz="0" w:space="0" w:color="auto"/>
            <w:right w:val="none" w:sz="0" w:space="0" w:color="auto"/>
          </w:divBdr>
        </w:div>
        <w:div w:id="298999412">
          <w:marLeft w:val="0"/>
          <w:marRight w:val="0"/>
          <w:marTop w:val="0"/>
          <w:marBottom w:val="0"/>
          <w:divBdr>
            <w:top w:val="none" w:sz="0" w:space="0" w:color="auto"/>
            <w:left w:val="none" w:sz="0" w:space="0" w:color="auto"/>
            <w:bottom w:val="none" w:sz="0" w:space="0" w:color="auto"/>
            <w:right w:val="none" w:sz="0" w:space="0" w:color="auto"/>
          </w:divBdr>
        </w:div>
        <w:div w:id="546798055">
          <w:marLeft w:val="0"/>
          <w:marRight w:val="0"/>
          <w:marTop w:val="0"/>
          <w:marBottom w:val="0"/>
          <w:divBdr>
            <w:top w:val="none" w:sz="0" w:space="0" w:color="auto"/>
            <w:left w:val="none" w:sz="0" w:space="0" w:color="auto"/>
            <w:bottom w:val="none" w:sz="0" w:space="0" w:color="auto"/>
            <w:right w:val="none" w:sz="0" w:space="0" w:color="auto"/>
          </w:divBdr>
        </w:div>
        <w:div w:id="868492565">
          <w:marLeft w:val="0"/>
          <w:marRight w:val="0"/>
          <w:marTop w:val="0"/>
          <w:marBottom w:val="0"/>
          <w:divBdr>
            <w:top w:val="none" w:sz="0" w:space="0" w:color="auto"/>
            <w:left w:val="none" w:sz="0" w:space="0" w:color="auto"/>
            <w:bottom w:val="none" w:sz="0" w:space="0" w:color="auto"/>
            <w:right w:val="none" w:sz="0" w:space="0" w:color="auto"/>
          </w:divBdr>
        </w:div>
        <w:div w:id="671875413">
          <w:marLeft w:val="0"/>
          <w:marRight w:val="0"/>
          <w:marTop w:val="0"/>
          <w:marBottom w:val="0"/>
          <w:divBdr>
            <w:top w:val="none" w:sz="0" w:space="0" w:color="auto"/>
            <w:left w:val="none" w:sz="0" w:space="0" w:color="auto"/>
            <w:bottom w:val="none" w:sz="0" w:space="0" w:color="auto"/>
            <w:right w:val="none" w:sz="0" w:space="0" w:color="auto"/>
          </w:divBdr>
        </w:div>
        <w:div w:id="878975216">
          <w:marLeft w:val="0"/>
          <w:marRight w:val="0"/>
          <w:marTop w:val="0"/>
          <w:marBottom w:val="0"/>
          <w:divBdr>
            <w:top w:val="none" w:sz="0" w:space="0" w:color="auto"/>
            <w:left w:val="none" w:sz="0" w:space="0" w:color="auto"/>
            <w:bottom w:val="none" w:sz="0" w:space="0" w:color="auto"/>
            <w:right w:val="none" w:sz="0" w:space="0" w:color="auto"/>
          </w:divBdr>
        </w:div>
        <w:div w:id="1306885546">
          <w:marLeft w:val="0"/>
          <w:marRight w:val="0"/>
          <w:marTop w:val="0"/>
          <w:marBottom w:val="0"/>
          <w:divBdr>
            <w:top w:val="none" w:sz="0" w:space="0" w:color="auto"/>
            <w:left w:val="none" w:sz="0" w:space="0" w:color="auto"/>
            <w:bottom w:val="none" w:sz="0" w:space="0" w:color="auto"/>
            <w:right w:val="none" w:sz="0" w:space="0" w:color="auto"/>
          </w:divBdr>
        </w:div>
        <w:div w:id="394360059">
          <w:marLeft w:val="0"/>
          <w:marRight w:val="0"/>
          <w:marTop w:val="0"/>
          <w:marBottom w:val="0"/>
          <w:divBdr>
            <w:top w:val="none" w:sz="0" w:space="0" w:color="auto"/>
            <w:left w:val="none" w:sz="0" w:space="0" w:color="auto"/>
            <w:bottom w:val="none" w:sz="0" w:space="0" w:color="auto"/>
            <w:right w:val="none" w:sz="0" w:space="0" w:color="auto"/>
          </w:divBdr>
        </w:div>
        <w:div w:id="1867937799">
          <w:marLeft w:val="0"/>
          <w:marRight w:val="0"/>
          <w:marTop w:val="0"/>
          <w:marBottom w:val="0"/>
          <w:divBdr>
            <w:top w:val="none" w:sz="0" w:space="0" w:color="auto"/>
            <w:left w:val="none" w:sz="0" w:space="0" w:color="auto"/>
            <w:bottom w:val="none" w:sz="0" w:space="0" w:color="auto"/>
            <w:right w:val="none" w:sz="0" w:space="0" w:color="auto"/>
          </w:divBdr>
        </w:div>
        <w:div w:id="1631937534">
          <w:marLeft w:val="0"/>
          <w:marRight w:val="0"/>
          <w:marTop w:val="0"/>
          <w:marBottom w:val="0"/>
          <w:divBdr>
            <w:top w:val="none" w:sz="0" w:space="0" w:color="auto"/>
            <w:left w:val="none" w:sz="0" w:space="0" w:color="auto"/>
            <w:bottom w:val="none" w:sz="0" w:space="0" w:color="auto"/>
            <w:right w:val="none" w:sz="0" w:space="0" w:color="auto"/>
          </w:divBdr>
        </w:div>
        <w:div w:id="690835683">
          <w:marLeft w:val="0"/>
          <w:marRight w:val="0"/>
          <w:marTop w:val="0"/>
          <w:marBottom w:val="0"/>
          <w:divBdr>
            <w:top w:val="none" w:sz="0" w:space="0" w:color="auto"/>
            <w:left w:val="none" w:sz="0" w:space="0" w:color="auto"/>
            <w:bottom w:val="none" w:sz="0" w:space="0" w:color="auto"/>
            <w:right w:val="none" w:sz="0" w:space="0" w:color="auto"/>
          </w:divBdr>
        </w:div>
        <w:div w:id="964657054">
          <w:marLeft w:val="0"/>
          <w:marRight w:val="0"/>
          <w:marTop w:val="0"/>
          <w:marBottom w:val="0"/>
          <w:divBdr>
            <w:top w:val="none" w:sz="0" w:space="0" w:color="auto"/>
            <w:left w:val="none" w:sz="0" w:space="0" w:color="auto"/>
            <w:bottom w:val="none" w:sz="0" w:space="0" w:color="auto"/>
            <w:right w:val="none" w:sz="0" w:space="0" w:color="auto"/>
          </w:divBdr>
        </w:div>
        <w:div w:id="6519197">
          <w:marLeft w:val="0"/>
          <w:marRight w:val="0"/>
          <w:marTop w:val="0"/>
          <w:marBottom w:val="0"/>
          <w:divBdr>
            <w:top w:val="none" w:sz="0" w:space="0" w:color="auto"/>
            <w:left w:val="none" w:sz="0" w:space="0" w:color="auto"/>
            <w:bottom w:val="none" w:sz="0" w:space="0" w:color="auto"/>
            <w:right w:val="none" w:sz="0" w:space="0" w:color="auto"/>
          </w:divBdr>
        </w:div>
        <w:div w:id="558592410">
          <w:marLeft w:val="0"/>
          <w:marRight w:val="0"/>
          <w:marTop w:val="0"/>
          <w:marBottom w:val="0"/>
          <w:divBdr>
            <w:top w:val="none" w:sz="0" w:space="0" w:color="auto"/>
            <w:left w:val="none" w:sz="0" w:space="0" w:color="auto"/>
            <w:bottom w:val="none" w:sz="0" w:space="0" w:color="auto"/>
            <w:right w:val="none" w:sz="0" w:space="0" w:color="auto"/>
          </w:divBdr>
        </w:div>
        <w:div w:id="1324972291">
          <w:marLeft w:val="0"/>
          <w:marRight w:val="0"/>
          <w:marTop w:val="0"/>
          <w:marBottom w:val="0"/>
          <w:divBdr>
            <w:top w:val="none" w:sz="0" w:space="0" w:color="auto"/>
            <w:left w:val="none" w:sz="0" w:space="0" w:color="auto"/>
            <w:bottom w:val="none" w:sz="0" w:space="0" w:color="auto"/>
            <w:right w:val="none" w:sz="0" w:space="0" w:color="auto"/>
          </w:divBdr>
        </w:div>
        <w:div w:id="120540777">
          <w:marLeft w:val="0"/>
          <w:marRight w:val="0"/>
          <w:marTop w:val="0"/>
          <w:marBottom w:val="0"/>
          <w:divBdr>
            <w:top w:val="none" w:sz="0" w:space="0" w:color="auto"/>
            <w:left w:val="none" w:sz="0" w:space="0" w:color="auto"/>
            <w:bottom w:val="none" w:sz="0" w:space="0" w:color="auto"/>
            <w:right w:val="none" w:sz="0" w:space="0" w:color="auto"/>
          </w:divBdr>
        </w:div>
        <w:div w:id="1089734156">
          <w:marLeft w:val="0"/>
          <w:marRight w:val="0"/>
          <w:marTop w:val="0"/>
          <w:marBottom w:val="0"/>
          <w:divBdr>
            <w:top w:val="none" w:sz="0" w:space="0" w:color="auto"/>
            <w:left w:val="none" w:sz="0" w:space="0" w:color="auto"/>
            <w:bottom w:val="none" w:sz="0" w:space="0" w:color="auto"/>
            <w:right w:val="none" w:sz="0" w:space="0" w:color="auto"/>
          </w:divBdr>
        </w:div>
        <w:div w:id="177619818">
          <w:marLeft w:val="0"/>
          <w:marRight w:val="0"/>
          <w:marTop w:val="0"/>
          <w:marBottom w:val="0"/>
          <w:divBdr>
            <w:top w:val="none" w:sz="0" w:space="0" w:color="auto"/>
            <w:left w:val="none" w:sz="0" w:space="0" w:color="auto"/>
            <w:bottom w:val="none" w:sz="0" w:space="0" w:color="auto"/>
            <w:right w:val="none" w:sz="0" w:space="0" w:color="auto"/>
          </w:divBdr>
        </w:div>
        <w:div w:id="1377965872">
          <w:marLeft w:val="0"/>
          <w:marRight w:val="0"/>
          <w:marTop w:val="0"/>
          <w:marBottom w:val="0"/>
          <w:divBdr>
            <w:top w:val="none" w:sz="0" w:space="0" w:color="auto"/>
            <w:left w:val="none" w:sz="0" w:space="0" w:color="auto"/>
            <w:bottom w:val="none" w:sz="0" w:space="0" w:color="auto"/>
            <w:right w:val="none" w:sz="0" w:space="0" w:color="auto"/>
          </w:divBdr>
        </w:div>
        <w:div w:id="772437997">
          <w:marLeft w:val="0"/>
          <w:marRight w:val="0"/>
          <w:marTop w:val="0"/>
          <w:marBottom w:val="0"/>
          <w:divBdr>
            <w:top w:val="none" w:sz="0" w:space="0" w:color="auto"/>
            <w:left w:val="none" w:sz="0" w:space="0" w:color="auto"/>
            <w:bottom w:val="none" w:sz="0" w:space="0" w:color="auto"/>
            <w:right w:val="none" w:sz="0" w:space="0" w:color="auto"/>
          </w:divBdr>
        </w:div>
        <w:div w:id="1498378007">
          <w:marLeft w:val="0"/>
          <w:marRight w:val="0"/>
          <w:marTop w:val="0"/>
          <w:marBottom w:val="0"/>
          <w:divBdr>
            <w:top w:val="none" w:sz="0" w:space="0" w:color="auto"/>
            <w:left w:val="none" w:sz="0" w:space="0" w:color="auto"/>
            <w:bottom w:val="none" w:sz="0" w:space="0" w:color="auto"/>
            <w:right w:val="none" w:sz="0" w:space="0" w:color="auto"/>
          </w:divBdr>
        </w:div>
        <w:div w:id="1785924346">
          <w:marLeft w:val="0"/>
          <w:marRight w:val="0"/>
          <w:marTop w:val="0"/>
          <w:marBottom w:val="0"/>
          <w:divBdr>
            <w:top w:val="none" w:sz="0" w:space="0" w:color="auto"/>
            <w:left w:val="none" w:sz="0" w:space="0" w:color="auto"/>
            <w:bottom w:val="none" w:sz="0" w:space="0" w:color="auto"/>
            <w:right w:val="none" w:sz="0" w:space="0" w:color="auto"/>
          </w:divBdr>
        </w:div>
        <w:div w:id="836574803">
          <w:marLeft w:val="0"/>
          <w:marRight w:val="0"/>
          <w:marTop w:val="0"/>
          <w:marBottom w:val="0"/>
          <w:divBdr>
            <w:top w:val="none" w:sz="0" w:space="0" w:color="auto"/>
            <w:left w:val="none" w:sz="0" w:space="0" w:color="auto"/>
            <w:bottom w:val="none" w:sz="0" w:space="0" w:color="auto"/>
            <w:right w:val="none" w:sz="0" w:space="0" w:color="auto"/>
          </w:divBdr>
        </w:div>
        <w:div w:id="1622609551">
          <w:marLeft w:val="0"/>
          <w:marRight w:val="0"/>
          <w:marTop w:val="0"/>
          <w:marBottom w:val="0"/>
          <w:divBdr>
            <w:top w:val="none" w:sz="0" w:space="0" w:color="auto"/>
            <w:left w:val="none" w:sz="0" w:space="0" w:color="auto"/>
            <w:bottom w:val="none" w:sz="0" w:space="0" w:color="auto"/>
            <w:right w:val="none" w:sz="0" w:space="0" w:color="auto"/>
          </w:divBdr>
        </w:div>
        <w:div w:id="461003942">
          <w:marLeft w:val="0"/>
          <w:marRight w:val="0"/>
          <w:marTop w:val="0"/>
          <w:marBottom w:val="0"/>
          <w:divBdr>
            <w:top w:val="none" w:sz="0" w:space="0" w:color="auto"/>
            <w:left w:val="none" w:sz="0" w:space="0" w:color="auto"/>
            <w:bottom w:val="none" w:sz="0" w:space="0" w:color="auto"/>
            <w:right w:val="none" w:sz="0" w:space="0" w:color="auto"/>
          </w:divBdr>
        </w:div>
        <w:div w:id="1691184081">
          <w:marLeft w:val="0"/>
          <w:marRight w:val="0"/>
          <w:marTop w:val="0"/>
          <w:marBottom w:val="0"/>
          <w:divBdr>
            <w:top w:val="none" w:sz="0" w:space="0" w:color="auto"/>
            <w:left w:val="none" w:sz="0" w:space="0" w:color="auto"/>
            <w:bottom w:val="none" w:sz="0" w:space="0" w:color="auto"/>
            <w:right w:val="none" w:sz="0" w:space="0" w:color="auto"/>
          </w:divBdr>
        </w:div>
        <w:div w:id="1574661752">
          <w:marLeft w:val="0"/>
          <w:marRight w:val="0"/>
          <w:marTop w:val="0"/>
          <w:marBottom w:val="0"/>
          <w:divBdr>
            <w:top w:val="none" w:sz="0" w:space="0" w:color="auto"/>
            <w:left w:val="none" w:sz="0" w:space="0" w:color="auto"/>
            <w:bottom w:val="none" w:sz="0" w:space="0" w:color="auto"/>
            <w:right w:val="none" w:sz="0" w:space="0" w:color="auto"/>
          </w:divBdr>
        </w:div>
        <w:div w:id="243732522">
          <w:marLeft w:val="0"/>
          <w:marRight w:val="0"/>
          <w:marTop w:val="0"/>
          <w:marBottom w:val="0"/>
          <w:divBdr>
            <w:top w:val="none" w:sz="0" w:space="0" w:color="auto"/>
            <w:left w:val="none" w:sz="0" w:space="0" w:color="auto"/>
            <w:bottom w:val="none" w:sz="0" w:space="0" w:color="auto"/>
            <w:right w:val="none" w:sz="0" w:space="0" w:color="auto"/>
          </w:divBdr>
        </w:div>
        <w:div w:id="708576183">
          <w:marLeft w:val="0"/>
          <w:marRight w:val="0"/>
          <w:marTop w:val="0"/>
          <w:marBottom w:val="0"/>
          <w:divBdr>
            <w:top w:val="none" w:sz="0" w:space="0" w:color="auto"/>
            <w:left w:val="none" w:sz="0" w:space="0" w:color="auto"/>
            <w:bottom w:val="none" w:sz="0" w:space="0" w:color="auto"/>
            <w:right w:val="none" w:sz="0" w:space="0" w:color="auto"/>
          </w:divBdr>
        </w:div>
        <w:div w:id="2145342561">
          <w:marLeft w:val="0"/>
          <w:marRight w:val="0"/>
          <w:marTop w:val="0"/>
          <w:marBottom w:val="0"/>
          <w:divBdr>
            <w:top w:val="none" w:sz="0" w:space="0" w:color="auto"/>
            <w:left w:val="none" w:sz="0" w:space="0" w:color="auto"/>
            <w:bottom w:val="none" w:sz="0" w:space="0" w:color="auto"/>
            <w:right w:val="none" w:sz="0" w:space="0" w:color="auto"/>
          </w:divBdr>
        </w:div>
        <w:div w:id="757141400">
          <w:marLeft w:val="0"/>
          <w:marRight w:val="0"/>
          <w:marTop w:val="0"/>
          <w:marBottom w:val="0"/>
          <w:divBdr>
            <w:top w:val="none" w:sz="0" w:space="0" w:color="auto"/>
            <w:left w:val="none" w:sz="0" w:space="0" w:color="auto"/>
            <w:bottom w:val="none" w:sz="0" w:space="0" w:color="auto"/>
            <w:right w:val="none" w:sz="0" w:space="0" w:color="auto"/>
          </w:divBdr>
        </w:div>
        <w:div w:id="1420979532">
          <w:marLeft w:val="0"/>
          <w:marRight w:val="0"/>
          <w:marTop w:val="0"/>
          <w:marBottom w:val="0"/>
          <w:divBdr>
            <w:top w:val="none" w:sz="0" w:space="0" w:color="auto"/>
            <w:left w:val="none" w:sz="0" w:space="0" w:color="auto"/>
            <w:bottom w:val="none" w:sz="0" w:space="0" w:color="auto"/>
            <w:right w:val="none" w:sz="0" w:space="0" w:color="auto"/>
          </w:divBdr>
        </w:div>
        <w:div w:id="604966176">
          <w:marLeft w:val="0"/>
          <w:marRight w:val="0"/>
          <w:marTop w:val="0"/>
          <w:marBottom w:val="0"/>
          <w:divBdr>
            <w:top w:val="none" w:sz="0" w:space="0" w:color="auto"/>
            <w:left w:val="none" w:sz="0" w:space="0" w:color="auto"/>
            <w:bottom w:val="none" w:sz="0" w:space="0" w:color="auto"/>
            <w:right w:val="none" w:sz="0" w:space="0" w:color="auto"/>
          </w:divBdr>
        </w:div>
        <w:div w:id="1251737">
          <w:marLeft w:val="0"/>
          <w:marRight w:val="0"/>
          <w:marTop w:val="0"/>
          <w:marBottom w:val="0"/>
          <w:divBdr>
            <w:top w:val="none" w:sz="0" w:space="0" w:color="auto"/>
            <w:left w:val="none" w:sz="0" w:space="0" w:color="auto"/>
            <w:bottom w:val="none" w:sz="0" w:space="0" w:color="auto"/>
            <w:right w:val="none" w:sz="0" w:space="0" w:color="auto"/>
          </w:divBdr>
        </w:div>
        <w:div w:id="237400555">
          <w:marLeft w:val="0"/>
          <w:marRight w:val="0"/>
          <w:marTop w:val="0"/>
          <w:marBottom w:val="0"/>
          <w:divBdr>
            <w:top w:val="none" w:sz="0" w:space="0" w:color="auto"/>
            <w:left w:val="none" w:sz="0" w:space="0" w:color="auto"/>
            <w:bottom w:val="none" w:sz="0" w:space="0" w:color="auto"/>
            <w:right w:val="none" w:sz="0" w:space="0" w:color="auto"/>
          </w:divBdr>
        </w:div>
        <w:div w:id="1574468275">
          <w:marLeft w:val="0"/>
          <w:marRight w:val="0"/>
          <w:marTop w:val="0"/>
          <w:marBottom w:val="0"/>
          <w:divBdr>
            <w:top w:val="none" w:sz="0" w:space="0" w:color="auto"/>
            <w:left w:val="none" w:sz="0" w:space="0" w:color="auto"/>
            <w:bottom w:val="none" w:sz="0" w:space="0" w:color="auto"/>
            <w:right w:val="none" w:sz="0" w:space="0" w:color="auto"/>
          </w:divBdr>
        </w:div>
        <w:div w:id="1304190079">
          <w:marLeft w:val="0"/>
          <w:marRight w:val="0"/>
          <w:marTop w:val="0"/>
          <w:marBottom w:val="0"/>
          <w:divBdr>
            <w:top w:val="none" w:sz="0" w:space="0" w:color="auto"/>
            <w:left w:val="none" w:sz="0" w:space="0" w:color="auto"/>
            <w:bottom w:val="none" w:sz="0" w:space="0" w:color="auto"/>
            <w:right w:val="none" w:sz="0" w:space="0" w:color="auto"/>
          </w:divBdr>
        </w:div>
        <w:div w:id="185146043">
          <w:marLeft w:val="0"/>
          <w:marRight w:val="0"/>
          <w:marTop w:val="0"/>
          <w:marBottom w:val="0"/>
          <w:divBdr>
            <w:top w:val="none" w:sz="0" w:space="0" w:color="auto"/>
            <w:left w:val="none" w:sz="0" w:space="0" w:color="auto"/>
            <w:bottom w:val="none" w:sz="0" w:space="0" w:color="auto"/>
            <w:right w:val="none" w:sz="0" w:space="0" w:color="auto"/>
          </w:divBdr>
        </w:div>
        <w:div w:id="284893348">
          <w:marLeft w:val="0"/>
          <w:marRight w:val="0"/>
          <w:marTop w:val="0"/>
          <w:marBottom w:val="0"/>
          <w:divBdr>
            <w:top w:val="none" w:sz="0" w:space="0" w:color="auto"/>
            <w:left w:val="none" w:sz="0" w:space="0" w:color="auto"/>
            <w:bottom w:val="none" w:sz="0" w:space="0" w:color="auto"/>
            <w:right w:val="none" w:sz="0" w:space="0" w:color="auto"/>
          </w:divBdr>
        </w:div>
        <w:div w:id="1367675330">
          <w:marLeft w:val="0"/>
          <w:marRight w:val="0"/>
          <w:marTop w:val="0"/>
          <w:marBottom w:val="0"/>
          <w:divBdr>
            <w:top w:val="none" w:sz="0" w:space="0" w:color="auto"/>
            <w:left w:val="none" w:sz="0" w:space="0" w:color="auto"/>
            <w:bottom w:val="none" w:sz="0" w:space="0" w:color="auto"/>
            <w:right w:val="none" w:sz="0" w:space="0" w:color="auto"/>
          </w:divBdr>
        </w:div>
        <w:div w:id="1530989114">
          <w:marLeft w:val="0"/>
          <w:marRight w:val="0"/>
          <w:marTop w:val="0"/>
          <w:marBottom w:val="0"/>
          <w:divBdr>
            <w:top w:val="none" w:sz="0" w:space="0" w:color="auto"/>
            <w:left w:val="none" w:sz="0" w:space="0" w:color="auto"/>
            <w:bottom w:val="none" w:sz="0" w:space="0" w:color="auto"/>
            <w:right w:val="none" w:sz="0" w:space="0" w:color="auto"/>
          </w:divBdr>
        </w:div>
        <w:div w:id="1620797873">
          <w:marLeft w:val="0"/>
          <w:marRight w:val="0"/>
          <w:marTop w:val="0"/>
          <w:marBottom w:val="0"/>
          <w:divBdr>
            <w:top w:val="none" w:sz="0" w:space="0" w:color="auto"/>
            <w:left w:val="none" w:sz="0" w:space="0" w:color="auto"/>
            <w:bottom w:val="none" w:sz="0" w:space="0" w:color="auto"/>
            <w:right w:val="none" w:sz="0" w:space="0" w:color="auto"/>
          </w:divBdr>
        </w:div>
        <w:div w:id="1551722290">
          <w:marLeft w:val="0"/>
          <w:marRight w:val="0"/>
          <w:marTop w:val="0"/>
          <w:marBottom w:val="0"/>
          <w:divBdr>
            <w:top w:val="none" w:sz="0" w:space="0" w:color="auto"/>
            <w:left w:val="none" w:sz="0" w:space="0" w:color="auto"/>
            <w:bottom w:val="none" w:sz="0" w:space="0" w:color="auto"/>
            <w:right w:val="none" w:sz="0" w:space="0" w:color="auto"/>
          </w:divBdr>
        </w:div>
        <w:div w:id="2134252490">
          <w:marLeft w:val="0"/>
          <w:marRight w:val="0"/>
          <w:marTop w:val="0"/>
          <w:marBottom w:val="0"/>
          <w:divBdr>
            <w:top w:val="none" w:sz="0" w:space="0" w:color="auto"/>
            <w:left w:val="none" w:sz="0" w:space="0" w:color="auto"/>
            <w:bottom w:val="none" w:sz="0" w:space="0" w:color="auto"/>
            <w:right w:val="none" w:sz="0" w:space="0" w:color="auto"/>
          </w:divBdr>
        </w:div>
        <w:div w:id="366638960">
          <w:marLeft w:val="0"/>
          <w:marRight w:val="0"/>
          <w:marTop w:val="0"/>
          <w:marBottom w:val="0"/>
          <w:divBdr>
            <w:top w:val="none" w:sz="0" w:space="0" w:color="auto"/>
            <w:left w:val="none" w:sz="0" w:space="0" w:color="auto"/>
            <w:bottom w:val="none" w:sz="0" w:space="0" w:color="auto"/>
            <w:right w:val="none" w:sz="0" w:space="0" w:color="auto"/>
          </w:divBdr>
        </w:div>
        <w:div w:id="1112670424">
          <w:marLeft w:val="0"/>
          <w:marRight w:val="0"/>
          <w:marTop w:val="0"/>
          <w:marBottom w:val="0"/>
          <w:divBdr>
            <w:top w:val="none" w:sz="0" w:space="0" w:color="auto"/>
            <w:left w:val="none" w:sz="0" w:space="0" w:color="auto"/>
            <w:bottom w:val="none" w:sz="0" w:space="0" w:color="auto"/>
            <w:right w:val="none" w:sz="0" w:space="0" w:color="auto"/>
          </w:divBdr>
        </w:div>
        <w:div w:id="1550915566">
          <w:marLeft w:val="0"/>
          <w:marRight w:val="0"/>
          <w:marTop w:val="0"/>
          <w:marBottom w:val="0"/>
          <w:divBdr>
            <w:top w:val="none" w:sz="0" w:space="0" w:color="auto"/>
            <w:left w:val="none" w:sz="0" w:space="0" w:color="auto"/>
            <w:bottom w:val="none" w:sz="0" w:space="0" w:color="auto"/>
            <w:right w:val="none" w:sz="0" w:space="0" w:color="auto"/>
          </w:divBdr>
        </w:div>
        <w:div w:id="400712834">
          <w:marLeft w:val="0"/>
          <w:marRight w:val="0"/>
          <w:marTop w:val="0"/>
          <w:marBottom w:val="0"/>
          <w:divBdr>
            <w:top w:val="none" w:sz="0" w:space="0" w:color="auto"/>
            <w:left w:val="none" w:sz="0" w:space="0" w:color="auto"/>
            <w:bottom w:val="none" w:sz="0" w:space="0" w:color="auto"/>
            <w:right w:val="none" w:sz="0" w:space="0" w:color="auto"/>
          </w:divBdr>
        </w:div>
        <w:div w:id="22097173">
          <w:marLeft w:val="0"/>
          <w:marRight w:val="0"/>
          <w:marTop w:val="0"/>
          <w:marBottom w:val="0"/>
          <w:divBdr>
            <w:top w:val="none" w:sz="0" w:space="0" w:color="auto"/>
            <w:left w:val="none" w:sz="0" w:space="0" w:color="auto"/>
            <w:bottom w:val="none" w:sz="0" w:space="0" w:color="auto"/>
            <w:right w:val="none" w:sz="0" w:space="0" w:color="auto"/>
          </w:divBdr>
        </w:div>
        <w:div w:id="205873781">
          <w:marLeft w:val="0"/>
          <w:marRight w:val="0"/>
          <w:marTop w:val="0"/>
          <w:marBottom w:val="0"/>
          <w:divBdr>
            <w:top w:val="none" w:sz="0" w:space="0" w:color="auto"/>
            <w:left w:val="none" w:sz="0" w:space="0" w:color="auto"/>
            <w:bottom w:val="none" w:sz="0" w:space="0" w:color="auto"/>
            <w:right w:val="none" w:sz="0" w:space="0" w:color="auto"/>
          </w:divBdr>
        </w:div>
        <w:div w:id="1408915185">
          <w:marLeft w:val="0"/>
          <w:marRight w:val="0"/>
          <w:marTop w:val="0"/>
          <w:marBottom w:val="0"/>
          <w:divBdr>
            <w:top w:val="none" w:sz="0" w:space="0" w:color="auto"/>
            <w:left w:val="none" w:sz="0" w:space="0" w:color="auto"/>
            <w:bottom w:val="none" w:sz="0" w:space="0" w:color="auto"/>
            <w:right w:val="none" w:sz="0" w:space="0" w:color="auto"/>
          </w:divBdr>
        </w:div>
        <w:div w:id="73669360">
          <w:marLeft w:val="0"/>
          <w:marRight w:val="0"/>
          <w:marTop w:val="0"/>
          <w:marBottom w:val="0"/>
          <w:divBdr>
            <w:top w:val="none" w:sz="0" w:space="0" w:color="auto"/>
            <w:left w:val="none" w:sz="0" w:space="0" w:color="auto"/>
            <w:bottom w:val="none" w:sz="0" w:space="0" w:color="auto"/>
            <w:right w:val="none" w:sz="0" w:space="0" w:color="auto"/>
          </w:divBdr>
        </w:div>
        <w:div w:id="1832090247">
          <w:marLeft w:val="0"/>
          <w:marRight w:val="0"/>
          <w:marTop w:val="0"/>
          <w:marBottom w:val="0"/>
          <w:divBdr>
            <w:top w:val="none" w:sz="0" w:space="0" w:color="auto"/>
            <w:left w:val="none" w:sz="0" w:space="0" w:color="auto"/>
            <w:bottom w:val="none" w:sz="0" w:space="0" w:color="auto"/>
            <w:right w:val="none" w:sz="0" w:space="0" w:color="auto"/>
          </w:divBdr>
        </w:div>
        <w:div w:id="676421015">
          <w:marLeft w:val="0"/>
          <w:marRight w:val="0"/>
          <w:marTop w:val="0"/>
          <w:marBottom w:val="0"/>
          <w:divBdr>
            <w:top w:val="none" w:sz="0" w:space="0" w:color="auto"/>
            <w:left w:val="none" w:sz="0" w:space="0" w:color="auto"/>
            <w:bottom w:val="none" w:sz="0" w:space="0" w:color="auto"/>
            <w:right w:val="none" w:sz="0" w:space="0" w:color="auto"/>
          </w:divBdr>
        </w:div>
        <w:div w:id="44718177">
          <w:marLeft w:val="0"/>
          <w:marRight w:val="0"/>
          <w:marTop w:val="0"/>
          <w:marBottom w:val="0"/>
          <w:divBdr>
            <w:top w:val="none" w:sz="0" w:space="0" w:color="auto"/>
            <w:left w:val="none" w:sz="0" w:space="0" w:color="auto"/>
            <w:bottom w:val="none" w:sz="0" w:space="0" w:color="auto"/>
            <w:right w:val="none" w:sz="0" w:space="0" w:color="auto"/>
          </w:divBdr>
        </w:div>
        <w:div w:id="332144618">
          <w:marLeft w:val="0"/>
          <w:marRight w:val="0"/>
          <w:marTop w:val="0"/>
          <w:marBottom w:val="0"/>
          <w:divBdr>
            <w:top w:val="none" w:sz="0" w:space="0" w:color="auto"/>
            <w:left w:val="none" w:sz="0" w:space="0" w:color="auto"/>
            <w:bottom w:val="none" w:sz="0" w:space="0" w:color="auto"/>
            <w:right w:val="none" w:sz="0" w:space="0" w:color="auto"/>
          </w:divBdr>
        </w:div>
        <w:div w:id="1935744036">
          <w:marLeft w:val="0"/>
          <w:marRight w:val="0"/>
          <w:marTop w:val="0"/>
          <w:marBottom w:val="0"/>
          <w:divBdr>
            <w:top w:val="none" w:sz="0" w:space="0" w:color="auto"/>
            <w:left w:val="none" w:sz="0" w:space="0" w:color="auto"/>
            <w:bottom w:val="none" w:sz="0" w:space="0" w:color="auto"/>
            <w:right w:val="none" w:sz="0" w:space="0" w:color="auto"/>
          </w:divBdr>
        </w:div>
        <w:div w:id="717315182">
          <w:marLeft w:val="0"/>
          <w:marRight w:val="0"/>
          <w:marTop w:val="0"/>
          <w:marBottom w:val="0"/>
          <w:divBdr>
            <w:top w:val="none" w:sz="0" w:space="0" w:color="auto"/>
            <w:left w:val="none" w:sz="0" w:space="0" w:color="auto"/>
            <w:bottom w:val="none" w:sz="0" w:space="0" w:color="auto"/>
            <w:right w:val="none" w:sz="0" w:space="0" w:color="auto"/>
          </w:divBdr>
        </w:div>
        <w:div w:id="402146317">
          <w:marLeft w:val="0"/>
          <w:marRight w:val="0"/>
          <w:marTop w:val="0"/>
          <w:marBottom w:val="0"/>
          <w:divBdr>
            <w:top w:val="none" w:sz="0" w:space="0" w:color="auto"/>
            <w:left w:val="none" w:sz="0" w:space="0" w:color="auto"/>
            <w:bottom w:val="none" w:sz="0" w:space="0" w:color="auto"/>
            <w:right w:val="none" w:sz="0" w:space="0" w:color="auto"/>
          </w:divBdr>
        </w:div>
        <w:div w:id="1124422096">
          <w:marLeft w:val="0"/>
          <w:marRight w:val="0"/>
          <w:marTop w:val="0"/>
          <w:marBottom w:val="0"/>
          <w:divBdr>
            <w:top w:val="none" w:sz="0" w:space="0" w:color="auto"/>
            <w:left w:val="none" w:sz="0" w:space="0" w:color="auto"/>
            <w:bottom w:val="none" w:sz="0" w:space="0" w:color="auto"/>
            <w:right w:val="none" w:sz="0" w:space="0" w:color="auto"/>
          </w:divBdr>
        </w:div>
        <w:div w:id="1080254450">
          <w:marLeft w:val="0"/>
          <w:marRight w:val="0"/>
          <w:marTop w:val="0"/>
          <w:marBottom w:val="0"/>
          <w:divBdr>
            <w:top w:val="none" w:sz="0" w:space="0" w:color="auto"/>
            <w:left w:val="none" w:sz="0" w:space="0" w:color="auto"/>
            <w:bottom w:val="none" w:sz="0" w:space="0" w:color="auto"/>
            <w:right w:val="none" w:sz="0" w:space="0" w:color="auto"/>
          </w:divBdr>
        </w:div>
        <w:div w:id="1641425035">
          <w:marLeft w:val="0"/>
          <w:marRight w:val="0"/>
          <w:marTop w:val="0"/>
          <w:marBottom w:val="0"/>
          <w:divBdr>
            <w:top w:val="none" w:sz="0" w:space="0" w:color="auto"/>
            <w:left w:val="none" w:sz="0" w:space="0" w:color="auto"/>
            <w:bottom w:val="none" w:sz="0" w:space="0" w:color="auto"/>
            <w:right w:val="none" w:sz="0" w:space="0" w:color="auto"/>
          </w:divBdr>
        </w:div>
        <w:div w:id="2004040744">
          <w:marLeft w:val="0"/>
          <w:marRight w:val="0"/>
          <w:marTop w:val="0"/>
          <w:marBottom w:val="0"/>
          <w:divBdr>
            <w:top w:val="none" w:sz="0" w:space="0" w:color="auto"/>
            <w:left w:val="none" w:sz="0" w:space="0" w:color="auto"/>
            <w:bottom w:val="none" w:sz="0" w:space="0" w:color="auto"/>
            <w:right w:val="none" w:sz="0" w:space="0" w:color="auto"/>
          </w:divBdr>
        </w:div>
        <w:div w:id="1613054914">
          <w:marLeft w:val="0"/>
          <w:marRight w:val="0"/>
          <w:marTop w:val="0"/>
          <w:marBottom w:val="0"/>
          <w:divBdr>
            <w:top w:val="none" w:sz="0" w:space="0" w:color="auto"/>
            <w:left w:val="none" w:sz="0" w:space="0" w:color="auto"/>
            <w:bottom w:val="none" w:sz="0" w:space="0" w:color="auto"/>
            <w:right w:val="none" w:sz="0" w:space="0" w:color="auto"/>
          </w:divBdr>
        </w:div>
        <w:div w:id="199510651">
          <w:marLeft w:val="0"/>
          <w:marRight w:val="0"/>
          <w:marTop w:val="0"/>
          <w:marBottom w:val="0"/>
          <w:divBdr>
            <w:top w:val="none" w:sz="0" w:space="0" w:color="auto"/>
            <w:left w:val="none" w:sz="0" w:space="0" w:color="auto"/>
            <w:bottom w:val="none" w:sz="0" w:space="0" w:color="auto"/>
            <w:right w:val="none" w:sz="0" w:space="0" w:color="auto"/>
          </w:divBdr>
        </w:div>
        <w:div w:id="2038919932">
          <w:marLeft w:val="0"/>
          <w:marRight w:val="0"/>
          <w:marTop w:val="0"/>
          <w:marBottom w:val="0"/>
          <w:divBdr>
            <w:top w:val="none" w:sz="0" w:space="0" w:color="auto"/>
            <w:left w:val="none" w:sz="0" w:space="0" w:color="auto"/>
            <w:bottom w:val="none" w:sz="0" w:space="0" w:color="auto"/>
            <w:right w:val="none" w:sz="0" w:space="0" w:color="auto"/>
          </w:divBdr>
        </w:div>
        <w:div w:id="1590314182">
          <w:marLeft w:val="0"/>
          <w:marRight w:val="0"/>
          <w:marTop w:val="0"/>
          <w:marBottom w:val="0"/>
          <w:divBdr>
            <w:top w:val="none" w:sz="0" w:space="0" w:color="auto"/>
            <w:left w:val="none" w:sz="0" w:space="0" w:color="auto"/>
            <w:bottom w:val="none" w:sz="0" w:space="0" w:color="auto"/>
            <w:right w:val="none" w:sz="0" w:space="0" w:color="auto"/>
          </w:divBdr>
        </w:div>
        <w:div w:id="191916778">
          <w:marLeft w:val="0"/>
          <w:marRight w:val="0"/>
          <w:marTop w:val="0"/>
          <w:marBottom w:val="0"/>
          <w:divBdr>
            <w:top w:val="none" w:sz="0" w:space="0" w:color="auto"/>
            <w:left w:val="none" w:sz="0" w:space="0" w:color="auto"/>
            <w:bottom w:val="none" w:sz="0" w:space="0" w:color="auto"/>
            <w:right w:val="none" w:sz="0" w:space="0" w:color="auto"/>
          </w:divBdr>
        </w:div>
        <w:div w:id="1256476785">
          <w:marLeft w:val="0"/>
          <w:marRight w:val="0"/>
          <w:marTop w:val="0"/>
          <w:marBottom w:val="0"/>
          <w:divBdr>
            <w:top w:val="none" w:sz="0" w:space="0" w:color="auto"/>
            <w:left w:val="none" w:sz="0" w:space="0" w:color="auto"/>
            <w:bottom w:val="none" w:sz="0" w:space="0" w:color="auto"/>
            <w:right w:val="none" w:sz="0" w:space="0" w:color="auto"/>
          </w:divBdr>
        </w:div>
        <w:div w:id="496771156">
          <w:marLeft w:val="0"/>
          <w:marRight w:val="0"/>
          <w:marTop w:val="0"/>
          <w:marBottom w:val="0"/>
          <w:divBdr>
            <w:top w:val="none" w:sz="0" w:space="0" w:color="auto"/>
            <w:left w:val="none" w:sz="0" w:space="0" w:color="auto"/>
            <w:bottom w:val="none" w:sz="0" w:space="0" w:color="auto"/>
            <w:right w:val="none" w:sz="0" w:space="0" w:color="auto"/>
          </w:divBdr>
        </w:div>
        <w:div w:id="1401974742">
          <w:marLeft w:val="0"/>
          <w:marRight w:val="0"/>
          <w:marTop w:val="0"/>
          <w:marBottom w:val="0"/>
          <w:divBdr>
            <w:top w:val="none" w:sz="0" w:space="0" w:color="auto"/>
            <w:left w:val="none" w:sz="0" w:space="0" w:color="auto"/>
            <w:bottom w:val="none" w:sz="0" w:space="0" w:color="auto"/>
            <w:right w:val="none" w:sz="0" w:space="0" w:color="auto"/>
          </w:divBdr>
        </w:div>
        <w:div w:id="548802852">
          <w:marLeft w:val="0"/>
          <w:marRight w:val="0"/>
          <w:marTop w:val="0"/>
          <w:marBottom w:val="0"/>
          <w:divBdr>
            <w:top w:val="none" w:sz="0" w:space="0" w:color="auto"/>
            <w:left w:val="none" w:sz="0" w:space="0" w:color="auto"/>
            <w:bottom w:val="none" w:sz="0" w:space="0" w:color="auto"/>
            <w:right w:val="none" w:sz="0" w:space="0" w:color="auto"/>
          </w:divBdr>
        </w:div>
        <w:div w:id="793601258">
          <w:marLeft w:val="0"/>
          <w:marRight w:val="0"/>
          <w:marTop w:val="0"/>
          <w:marBottom w:val="0"/>
          <w:divBdr>
            <w:top w:val="none" w:sz="0" w:space="0" w:color="auto"/>
            <w:left w:val="none" w:sz="0" w:space="0" w:color="auto"/>
            <w:bottom w:val="none" w:sz="0" w:space="0" w:color="auto"/>
            <w:right w:val="none" w:sz="0" w:space="0" w:color="auto"/>
          </w:divBdr>
        </w:div>
        <w:div w:id="2029216297">
          <w:marLeft w:val="0"/>
          <w:marRight w:val="0"/>
          <w:marTop w:val="0"/>
          <w:marBottom w:val="0"/>
          <w:divBdr>
            <w:top w:val="none" w:sz="0" w:space="0" w:color="auto"/>
            <w:left w:val="none" w:sz="0" w:space="0" w:color="auto"/>
            <w:bottom w:val="none" w:sz="0" w:space="0" w:color="auto"/>
            <w:right w:val="none" w:sz="0" w:space="0" w:color="auto"/>
          </w:divBdr>
        </w:div>
        <w:div w:id="1800151919">
          <w:marLeft w:val="0"/>
          <w:marRight w:val="0"/>
          <w:marTop w:val="0"/>
          <w:marBottom w:val="0"/>
          <w:divBdr>
            <w:top w:val="none" w:sz="0" w:space="0" w:color="auto"/>
            <w:left w:val="none" w:sz="0" w:space="0" w:color="auto"/>
            <w:bottom w:val="none" w:sz="0" w:space="0" w:color="auto"/>
            <w:right w:val="none" w:sz="0" w:space="0" w:color="auto"/>
          </w:divBdr>
        </w:div>
        <w:div w:id="1857496175">
          <w:marLeft w:val="0"/>
          <w:marRight w:val="0"/>
          <w:marTop w:val="0"/>
          <w:marBottom w:val="0"/>
          <w:divBdr>
            <w:top w:val="none" w:sz="0" w:space="0" w:color="auto"/>
            <w:left w:val="none" w:sz="0" w:space="0" w:color="auto"/>
            <w:bottom w:val="none" w:sz="0" w:space="0" w:color="auto"/>
            <w:right w:val="none" w:sz="0" w:space="0" w:color="auto"/>
          </w:divBdr>
        </w:div>
        <w:div w:id="1255673622">
          <w:marLeft w:val="0"/>
          <w:marRight w:val="0"/>
          <w:marTop w:val="0"/>
          <w:marBottom w:val="0"/>
          <w:divBdr>
            <w:top w:val="none" w:sz="0" w:space="0" w:color="auto"/>
            <w:left w:val="none" w:sz="0" w:space="0" w:color="auto"/>
            <w:bottom w:val="none" w:sz="0" w:space="0" w:color="auto"/>
            <w:right w:val="none" w:sz="0" w:space="0" w:color="auto"/>
          </w:divBdr>
        </w:div>
        <w:div w:id="1450781766">
          <w:marLeft w:val="0"/>
          <w:marRight w:val="0"/>
          <w:marTop w:val="0"/>
          <w:marBottom w:val="0"/>
          <w:divBdr>
            <w:top w:val="none" w:sz="0" w:space="0" w:color="auto"/>
            <w:left w:val="none" w:sz="0" w:space="0" w:color="auto"/>
            <w:bottom w:val="none" w:sz="0" w:space="0" w:color="auto"/>
            <w:right w:val="none" w:sz="0" w:space="0" w:color="auto"/>
          </w:divBdr>
        </w:div>
        <w:div w:id="2141027250">
          <w:marLeft w:val="0"/>
          <w:marRight w:val="0"/>
          <w:marTop w:val="0"/>
          <w:marBottom w:val="0"/>
          <w:divBdr>
            <w:top w:val="none" w:sz="0" w:space="0" w:color="auto"/>
            <w:left w:val="none" w:sz="0" w:space="0" w:color="auto"/>
            <w:bottom w:val="none" w:sz="0" w:space="0" w:color="auto"/>
            <w:right w:val="none" w:sz="0" w:space="0" w:color="auto"/>
          </w:divBdr>
        </w:div>
        <w:div w:id="277226169">
          <w:marLeft w:val="0"/>
          <w:marRight w:val="0"/>
          <w:marTop w:val="0"/>
          <w:marBottom w:val="0"/>
          <w:divBdr>
            <w:top w:val="none" w:sz="0" w:space="0" w:color="auto"/>
            <w:left w:val="none" w:sz="0" w:space="0" w:color="auto"/>
            <w:bottom w:val="none" w:sz="0" w:space="0" w:color="auto"/>
            <w:right w:val="none" w:sz="0" w:space="0" w:color="auto"/>
          </w:divBdr>
        </w:div>
        <w:div w:id="382099446">
          <w:marLeft w:val="0"/>
          <w:marRight w:val="0"/>
          <w:marTop w:val="0"/>
          <w:marBottom w:val="0"/>
          <w:divBdr>
            <w:top w:val="none" w:sz="0" w:space="0" w:color="auto"/>
            <w:left w:val="none" w:sz="0" w:space="0" w:color="auto"/>
            <w:bottom w:val="none" w:sz="0" w:space="0" w:color="auto"/>
            <w:right w:val="none" w:sz="0" w:space="0" w:color="auto"/>
          </w:divBdr>
        </w:div>
        <w:div w:id="56897657">
          <w:marLeft w:val="0"/>
          <w:marRight w:val="0"/>
          <w:marTop w:val="0"/>
          <w:marBottom w:val="0"/>
          <w:divBdr>
            <w:top w:val="none" w:sz="0" w:space="0" w:color="auto"/>
            <w:left w:val="none" w:sz="0" w:space="0" w:color="auto"/>
            <w:bottom w:val="none" w:sz="0" w:space="0" w:color="auto"/>
            <w:right w:val="none" w:sz="0" w:space="0" w:color="auto"/>
          </w:divBdr>
        </w:div>
        <w:div w:id="521632464">
          <w:marLeft w:val="0"/>
          <w:marRight w:val="0"/>
          <w:marTop w:val="0"/>
          <w:marBottom w:val="0"/>
          <w:divBdr>
            <w:top w:val="none" w:sz="0" w:space="0" w:color="auto"/>
            <w:left w:val="none" w:sz="0" w:space="0" w:color="auto"/>
            <w:bottom w:val="none" w:sz="0" w:space="0" w:color="auto"/>
            <w:right w:val="none" w:sz="0" w:space="0" w:color="auto"/>
          </w:divBdr>
        </w:div>
        <w:div w:id="445930537">
          <w:marLeft w:val="0"/>
          <w:marRight w:val="0"/>
          <w:marTop w:val="0"/>
          <w:marBottom w:val="0"/>
          <w:divBdr>
            <w:top w:val="none" w:sz="0" w:space="0" w:color="auto"/>
            <w:left w:val="none" w:sz="0" w:space="0" w:color="auto"/>
            <w:bottom w:val="none" w:sz="0" w:space="0" w:color="auto"/>
            <w:right w:val="none" w:sz="0" w:space="0" w:color="auto"/>
          </w:divBdr>
        </w:div>
        <w:div w:id="938097001">
          <w:marLeft w:val="0"/>
          <w:marRight w:val="0"/>
          <w:marTop w:val="0"/>
          <w:marBottom w:val="0"/>
          <w:divBdr>
            <w:top w:val="none" w:sz="0" w:space="0" w:color="auto"/>
            <w:left w:val="none" w:sz="0" w:space="0" w:color="auto"/>
            <w:bottom w:val="none" w:sz="0" w:space="0" w:color="auto"/>
            <w:right w:val="none" w:sz="0" w:space="0" w:color="auto"/>
          </w:divBdr>
        </w:div>
        <w:div w:id="2006199462">
          <w:marLeft w:val="0"/>
          <w:marRight w:val="0"/>
          <w:marTop w:val="0"/>
          <w:marBottom w:val="0"/>
          <w:divBdr>
            <w:top w:val="none" w:sz="0" w:space="0" w:color="auto"/>
            <w:left w:val="none" w:sz="0" w:space="0" w:color="auto"/>
            <w:bottom w:val="none" w:sz="0" w:space="0" w:color="auto"/>
            <w:right w:val="none" w:sz="0" w:space="0" w:color="auto"/>
          </w:divBdr>
        </w:div>
        <w:div w:id="1651061611">
          <w:marLeft w:val="0"/>
          <w:marRight w:val="0"/>
          <w:marTop w:val="0"/>
          <w:marBottom w:val="0"/>
          <w:divBdr>
            <w:top w:val="none" w:sz="0" w:space="0" w:color="auto"/>
            <w:left w:val="none" w:sz="0" w:space="0" w:color="auto"/>
            <w:bottom w:val="none" w:sz="0" w:space="0" w:color="auto"/>
            <w:right w:val="none" w:sz="0" w:space="0" w:color="auto"/>
          </w:divBdr>
        </w:div>
        <w:div w:id="668798373">
          <w:marLeft w:val="0"/>
          <w:marRight w:val="0"/>
          <w:marTop w:val="0"/>
          <w:marBottom w:val="0"/>
          <w:divBdr>
            <w:top w:val="none" w:sz="0" w:space="0" w:color="auto"/>
            <w:left w:val="none" w:sz="0" w:space="0" w:color="auto"/>
            <w:bottom w:val="none" w:sz="0" w:space="0" w:color="auto"/>
            <w:right w:val="none" w:sz="0" w:space="0" w:color="auto"/>
          </w:divBdr>
        </w:div>
        <w:div w:id="2033870927">
          <w:marLeft w:val="0"/>
          <w:marRight w:val="0"/>
          <w:marTop w:val="0"/>
          <w:marBottom w:val="0"/>
          <w:divBdr>
            <w:top w:val="none" w:sz="0" w:space="0" w:color="auto"/>
            <w:left w:val="none" w:sz="0" w:space="0" w:color="auto"/>
            <w:bottom w:val="none" w:sz="0" w:space="0" w:color="auto"/>
            <w:right w:val="none" w:sz="0" w:space="0" w:color="auto"/>
          </w:divBdr>
        </w:div>
        <w:div w:id="1123882856">
          <w:marLeft w:val="0"/>
          <w:marRight w:val="0"/>
          <w:marTop w:val="0"/>
          <w:marBottom w:val="0"/>
          <w:divBdr>
            <w:top w:val="none" w:sz="0" w:space="0" w:color="auto"/>
            <w:left w:val="none" w:sz="0" w:space="0" w:color="auto"/>
            <w:bottom w:val="none" w:sz="0" w:space="0" w:color="auto"/>
            <w:right w:val="none" w:sz="0" w:space="0" w:color="auto"/>
          </w:divBdr>
        </w:div>
        <w:div w:id="1885285324">
          <w:marLeft w:val="0"/>
          <w:marRight w:val="0"/>
          <w:marTop w:val="0"/>
          <w:marBottom w:val="0"/>
          <w:divBdr>
            <w:top w:val="none" w:sz="0" w:space="0" w:color="auto"/>
            <w:left w:val="none" w:sz="0" w:space="0" w:color="auto"/>
            <w:bottom w:val="none" w:sz="0" w:space="0" w:color="auto"/>
            <w:right w:val="none" w:sz="0" w:space="0" w:color="auto"/>
          </w:divBdr>
        </w:div>
        <w:div w:id="1425567705">
          <w:marLeft w:val="0"/>
          <w:marRight w:val="0"/>
          <w:marTop w:val="0"/>
          <w:marBottom w:val="0"/>
          <w:divBdr>
            <w:top w:val="none" w:sz="0" w:space="0" w:color="auto"/>
            <w:left w:val="none" w:sz="0" w:space="0" w:color="auto"/>
            <w:bottom w:val="none" w:sz="0" w:space="0" w:color="auto"/>
            <w:right w:val="none" w:sz="0" w:space="0" w:color="auto"/>
          </w:divBdr>
        </w:div>
        <w:div w:id="1928729896">
          <w:marLeft w:val="0"/>
          <w:marRight w:val="0"/>
          <w:marTop w:val="0"/>
          <w:marBottom w:val="0"/>
          <w:divBdr>
            <w:top w:val="none" w:sz="0" w:space="0" w:color="auto"/>
            <w:left w:val="none" w:sz="0" w:space="0" w:color="auto"/>
            <w:bottom w:val="none" w:sz="0" w:space="0" w:color="auto"/>
            <w:right w:val="none" w:sz="0" w:space="0" w:color="auto"/>
          </w:divBdr>
        </w:div>
        <w:div w:id="860893644">
          <w:marLeft w:val="0"/>
          <w:marRight w:val="0"/>
          <w:marTop w:val="0"/>
          <w:marBottom w:val="0"/>
          <w:divBdr>
            <w:top w:val="none" w:sz="0" w:space="0" w:color="auto"/>
            <w:left w:val="none" w:sz="0" w:space="0" w:color="auto"/>
            <w:bottom w:val="none" w:sz="0" w:space="0" w:color="auto"/>
            <w:right w:val="none" w:sz="0" w:space="0" w:color="auto"/>
          </w:divBdr>
        </w:div>
        <w:div w:id="1952660929">
          <w:marLeft w:val="0"/>
          <w:marRight w:val="0"/>
          <w:marTop w:val="0"/>
          <w:marBottom w:val="0"/>
          <w:divBdr>
            <w:top w:val="none" w:sz="0" w:space="0" w:color="auto"/>
            <w:left w:val="none" w:sz="0" w:space="0" w:color="auto"/>
            <w:bottom w:val="none" w:sz="0" w:space="0" w:color="auto"/>
            <w:right w:val="none" w:sz="0" w:space="0" w:color="auto"/>
          </w:divBdr>
        </w:div>
        <w:div w:id="519197357">
          <w:marLeft w:val="0"/>
          <w:marRight w:val="0"/>
          <w:marTop w:val="0"/>
          <w:marBottom w:val="0"/>
          <w:divBdr>
            <w:top w:val="none" w:sz="0" w:space="0" w:color="auto"/>
            <w:left w:val="none" w:sz="0" w:space="0" w:color="auto"/>
            <w:bottom w:val="none" w:sz="0" w:space="0" w:color="auto"/>
            <w:right w:val="none" w:sz="0" w:space="0" w:color="auto"/>
          </w:divBdr>
        </w:div>
        <w:div w:id="1170217402">
          <w:marLeft w:val="0"/>
          <w:marRight w:val="0"/>
          <w:marTop w:val="0"/>
          <w:marBottom w:val="0"/>
          <w:divBdr>
            <w:top w:val="none" w:sz="0" w:space="0" w:color="auto"/>
            <w:left w:val="none" w:sz="0" w:space="0" w:color="auto"/>
            <w:bottom w:val="none" w:sz="0" w:space="0" w:color="auto"/>
            <w:right w:val="none" w:sz="0" w:space="0" w:color="auto"/>
          </w:divBdr>
        </w:div>
        <w:div w:id="205484340">
          <w:marLeft w:val="0"/>
          <w:marRight w:val="0"/>
          <w:marTop w:val="0"/>
          <w:marBottom w:val="0"/>
          <w:divBdr>
            <w:top w:val="none" w:sz="0" w:space="0" w:color="auto"/>
            <w:left w:val="none" w:sz="0" w:space="0" w:color="auto"/>
            <w:bottom w:val="none" w:sz="0" w:space="0" w:color="auto"/>
            <w:right w:val="none" w:sz="0" w:space="0" w:color="auto"/>
          </w:divBdr>
        </w:div>
        <w:div w:id="74324475">
          <w:marLeft w:val="0"/>
          <w:marRight w:val="0"/>
          <w:marTop w:val="0"/>
          <w:marBottom w:val="0"/>
          <w:divBdr>
            <w:top w:val="none" w:sz="0" w:space="0" w:color="auto"/>
            <w:left w:val="none" w:sz="0" w:space="0" w:color="auto"/>
            <w:bottom w:val="none" w:sz="0" w:space="0" w:color="auto"/>
            <w:right w:val="none" w:sz="0" w:space="0" w:color="auto"/>
          </w:divBdr>
        </w:div>
        <w:div w:id="915241886">
          <w:marLeft w:val="0"/>
          <w:marRight w:val="0"/>
          <w:marTop w:val="0"/>
          <w:marBottom w:val="0"/>
          <w:divBdr>
            <w:top w:val="none" w:sz="0" w:space="0" w:color="auto"/>
            <w:left w:val="none" w:sz="0" w:space="0" w:color="auto"/>
            <w:bottom w:val="none" w:sz="0" w:space="0" w:color="auto"/>
            <w:right w:val="none" w:sz="0" w:space="0" w:color="auto"/>
          </w:divBdr>
        </w:div>
        <w:div w:id="398677931">
          <w:marLeft w:val="0"/>
          <w:marRight w:val="0"/>
          <w:marTop w:val="0"/>
          <w:marBottom w:val="0"/>
          <w:divBdr>
            <w:top w:val="none" w:sz="0" w:space="0" w:color="auto"/>
            <w:left w:val="none" w:sz="0" w:space="0" w:color="auto"/>
            <w:bottom w:val="none" w:sz="0" w:space="0" w:color="auto"/>
            <w:right w:val="none" w:sz="0" w:space="0" w:color="auto"/>
          </w:divBdr>
        </w:div>
        <w:div w:id="1426413727">
          <w:marLeft w:val="0"/>
          <w:marRight w:val="0"/>
          <w:marTop w:val="0"/>
          <w:marBottom w:val="0"/>
          <w:divBdr>
            <w:top w:val="none" w:sz="0" w:space="0" w:color="auto"/>
            <w:left w:val="none" w:sz="0" w:space="0" w:color="auto"/>
            <w:bottom w:val="none" w:sz="0" w:space="0" w:color="auto"/>
            <w:right w:val="none" w:sz="0" w:space="0" w:color="auto"/>
          </w:divBdr>
        </w:div>
        <w:div w:id="1636566198">
          <w:marLeft w:val="0"/>
          <w:marRight w:val="0"/>
          <w:marTop w:val="0"/>
          <w:marBottom w:val="0"/>
          <w:divBdr>
            <w:top w:val="none" w:sz="0" w:space="0" w:color="auto"/>
            <w:left w:val="none" w:sz="0" w:space="0" w:color="auto"/>
            <w:bottom w:val="none" w:sz="0" w:space="0" w:color="auto"/>
            <w:right w:val="none" w:sz="0" w:space="0" w:color="auto"/>
          </w:divBdr>
        </w:div>
        <w:div w:id="874806391">
          <w:marLeft w:val="0"/>
          <w:marRight w:val="0"/>
          <w:marTop w:val="0"/>
          <w:marBottom w:val="0"/>
          <w:divBdr>
            <w:top w:val="none" w:sz="0" w:space="0" w:color="auto"/>
            <w:left w:val="none" w:sz="0" w:space="0" w:color="auto"/>
            <w:bottom w:val="none" w:sz="0" w:space="0" w:color="auto"/>
            <w:right w:val="none" w:sz="0" w:space="0" w:color="auto"/>
          </w:divBdr>
        </w:div>
        <w:div w:id="377359704">
          <w:marLeft w:val="0"/>
          <w:marRight w:val="0"/>
          <w:marTop w:val="0"/>
          <w:marBottom w:val="0"/>
          <w:divBdr>
            <w:top w:val="none" w:sz="0" w:space="0" w:color="auto"/>
            <w:left w:val="none" w:sz="0" w:space="0" w:color="auto"/>
            <w:bottom w:val="none" w:sz="0" w:space="0" w:color="auto"/>
            <w:right w:val="none" w:sz="0" w:space="0" w:color="auto"/>
          </w:divBdr>
        </w:div>
        <w:div w:id="52046120">
          <w:marLeft w:val="0"/>
          <w:marRight w:val="0"/>
          <w:marTop w:val="0"/>
          <w:marBottom w:val="0"/>
          <w:divBdr>
            <w:top w:val="none" w:sz="0" w:space="0" w:color="auto"/>
            <w:left w:val="none" w:sz="0" w:space="0" w:color="auto"/>
            <w:bottom w:val="none" w:sz="0" w:space="0" w:color="auto"/>
            <w:right w:val="none" w:sz="0" w:space="0" w:color="auto"/>
          </w:divBdr>
        </w:div>
        <w:div w:id="1996372092">
          <w:marLeft w:val="0"/>
          <w:marRight w:val="0"/>
          <w:marTop w:val="0"/>
          <w:marBottom w:val="0"/>
          <w:divBdr>
            <w:top w:val="none" w:sz="0" w:space="0" w:color="auto"/>
            <w:left w:val="none" w:sz="0" w:space="0" w:color="auto"/>
            <w:bottom w:val="none" w:sz="0" w:space="0" w:color="auto"/>
            <w:right w:val="none" w:sz="0" w:space="0" w:color="auto"/>
          </w:divBdr>
        </w:div>
        <w:div w:id="338435460">
          <w:marLeft w:val="0"/>
          <w:marRight w:val="0"/>
          <w:marTop w:val="0"/>
          <w:marBottom w:val="0"/>
          <w:divBdr>
            <w:top w:val="none" w:sz="0" w:space="0" w:color="auto"/>
            <w:left w:val="none" w:sz="0" w:space="0" w:color="auto"/>
            <w:bottom w:val="none" w:sz="0" w:space="0" w:color="auto"/>
            <w:right w:val="none" w:sz="0" w:space="0" w:color="auto"/>
          </w:divBdr>
        </w:div>
        <w:div w:id="1702591978">
          <w:marLeft w:val="0"/>
          <w:marRight w:val="0"/>
          <w:marTop w:val="0"/>
          <w:marBottom w:val="0"/>
          <w:divBdr>
            <w:top w:val="none" w:sz="0" w:space="0" w:color="auto"/>
            <w:left w:val="none" w:sz="0" w:space="0" w:color="auto"/>
            <w:bottom w:val="none" w:sz="0" w:space="0" w:color="auto"/>
            <w:right w:val="none" w:sz="0" w:space="0" w:color="auto"/>
          </w:divBdr>
        </w:div>
        <w:div w:id="837577979">
          <w:marLeft w:val="0"/>
          <w:marRight w:val="0"/>
          <w:marTop w:val="0"/>
          <w:marBottom w:val="0"/>
          <w:divBdr>
            <w:top w:val="none" w:sz="0" w:space="0" w:color="auto"/>
            <w:left w:val="none" w:sz="0" w:space="0" w:color="auto"/>
            <w:bottom w:val="none" w:sz="0" w:space="0" w:color="auto"/>
            <w:right w:val="none" w:sz="0" w:space="0" w:color="auto"/>
          </w:divBdr>
        </w:div>
        <w:div w:id="1930961452">
          <w:marLeft w:val="0"/>
          <w:marRight w:val="0"/>
          <w:marTop w:val="0"/>
          <w:marBottom w:val="0"/>
          <w:divBdr>
            <w:top w:val="none" w:sz="0" w:space="0" w:color="auto"/>
            <w:left w:val="none" w:sz="0" w:space="0" w:color="auto"/>
            <w:bottom w:val="none" w:sz="0" w:space="0" w:color="auto"/>
            <w:right w:val="none" w:sz="0" w:space="0" w:color="auto"/>
          </w:divBdr>
        </w:div>
        <w:div w:id="2015911716">
          <w:marLeft w:val="0"/>
          <w:marRight w:val="0"/>
          <w:marTop w:val="0"/>
          <w:marBottom w:val="0"/>
          <w:divBdr>
            <w:top w:val="none" w:sz="0" w:space="0" w:color="auto"/>
            <w:left w:val="none" w:sz="0" w:space="0" w:color="auto"/>
            <w:bottom w:val="none" w:sz="0" w:space="0" w:color="auto"/>
            <w:right w:val="none" w:sz="0" w:space="0" w:color="auto"/>
          </w:divBdr>
        </w:div>
        <w:div w:id="218594742">
          <w:marLeft w:val="0"/>
          <w:marRight w:val="0"/>
          <w:marTop w:val="0"/>
          <w:marBottom w:val="0"/>
          <w:divBdr>
            <w:top w:val="none" w:sz="0" w:space="0" w:color="auto"/>
            <w:left w:val="none" w:sz="0" w:space="0" w:color="auto"/>
            <w:bottom w:val="none" w:sz="0" w:space="0" w:color="auto"/>
            <w:right w:val="none" w:sz="0" w:space="0" w:color="auto"/>
          </w:divBdr>
        </w:div>
        <w:div w:id="1650136253">
          <w:marLeft w:val="0"/>
          <w:marRight w:val="0"/>
          <w:marTop w:val="0"/>
          <w:marBottom w:val="0"/>
          <w:divBdr>
            <w:top w:val="none" w:sz="0" w:space="0" w:color="auto"/>
            <w:left w:val="none" w:sz="0" w:space="0" w:color="auto"/>
            <w:bottom w:val="none" w:sz="0" w:space="0" w:color="auto"/>
            <w:right w:val="none" w:sz="0" w:space="0" w:color="auto"/>
          </w:divBdr>
        </w:div>
        <w:div w:id="365762760">
          <w:marLeft w:val="0"/>
          <w:marRight w:val="0"/>
          <w:marTop w:val="0"/>
          <w:marBottom w:val="0"/>
          <w:divBdr>
            <w:top w:val="none" w:sz="0" w:space="0" w:color="auto"/>
            <w:left w:val="none" w:sz="0" w:space="0" w:color="auto"/>
            <w:bottom w:val="none" w:sz="0" w:space="0" w:color="auto"/>
            <w:right w:val="none" w:sz="0" w:space="0" w:color="auto"/>
          </w:divBdr>
        </w:div>
        <w:div w:id="1330056996">
          <w:marLeft w:val="0"/>
          <w:marRight w:val="0"/>
          <w:marTop w:val="0"/>
          <w:marBottom w:val="0"/>
          <w:divBdr>
            <w:top w:val="none" w:sz="0" w:space="0" w:color="auto"/>
            <w:left w:val="none" w:sz="0" w:space="0" w:color="auto"/>
            <w:bottom w:val="none" w:sz="0" w:space="0" w:color="auto"/>
            <w:right w:val="none" w:sz="0" w:space="0" w:color="auto"/>
          </w:divBdr>
        </w:div>
        <w:div w:id="1519662195">
          <w:marLeft w:val="0"/>
          <w:marRight w:val="0"/>
          <w:marTop w:val="0"/>
          <w:marBottom w:val="0"/>
          <w:divBdr>
            <w:top w:val="none" w:sz="0" w:space="0" w:color="auto"/>
            <w:left w:val="none" w:sz="0" w:space="0" w:color="auto"/>
            <w:bottom w:val="none" w:sz="0" w:space="0" w:color="auto"/>
            <w:right w:val="none" w:sz="0" w:space="0" w:color="auto"/>
          </w:divBdr>
        </w:div>
        <w:div w:id="1164204633">
          <w:marLeft w:val="0"/>
          <w:marRight w:val="0"/>
          <w:marTop w:val="0"/>
          <w:marBottom w:val="0"/>
          <w:divBdr>
            <w:top w:val="none" w:sz="0" w:space="0" w:color="auto"/>
            <w:left w:val="none" w:sz="0" w:space="0" w:color="auto"/>
            <w:bottom w:val="none" w:sz="0" w:space="0" w:color="auto"/>
            <w:right w:val="none" w:sz="0" w:space="0" w:color="auto"/>
          </w:divBdr>
        </w:div>
        <w:div w:id="849954852">
          <w:marLeft w:val="0"/>
          <w:marRight w:val="0"/>
          <w:marTop w:val="0"/>
          <w:marBottom w:val="0"/>
          <w:divBdr>
            <w:top w:val="none" w:sz="0" w:space="0" w:color="auto"/>
            <w:left w:val="none" w:sz="0" w:space="0" w:color="auto"/>
            <w:bottom w:val="none" w:sz="0" w:space="0" w:color="auto"/>
            <w:right w:val="none" w:sz="0" w:space="0" w:color="auto"/>
          </w:divBdr>
        </w:div>
        <w:div w:id="656694080">
          <w:marLeft w:val="0"/>
          <w:marRight w:val="0"/>
          <w:marTop w:val="0"/>
          <w:marBottom w:val="0"/>
          <w:divBdr>
            <w:top w:val="none" w:sz="0" w:space="0" w:color="auto"/>
            <w:left w:val="none" w:sz="0" w:space="0" w:color="auto"/>
            <w:bottom w:val="none" w:sz="0" w:space="0" w:color="auto"/>
            <w:right w:val="none" w:sz="0" w:space="0" w:color="auto"/>
          </w:divBdr>
        </w:div>
        <w:div w:id="1929264423">
          <w:marLeft w:val="0"/>
          <w:marRight w:val="0"/>
          <w:marTop w:val="0"/>
          <w:marBottom w:val="0"/>
          <w:divBdr>
            <w:top w:val="none" w:sz="0" w:space="0" w:color="auto"/>
            <w:left w:val="none" w:sz="0" w:space="0" w:color="auto"/>
            <w:bottom w:val="none" w:sz="0" w:space="0" w:color="auto"/>
            <w:right w:val="none" w:sz="0" w:space="0" w:color="auto"/>
          </w:divBdr>
        </w:div>
        <w:div w:id="309216432">
          <w:marLeft w:val="0"/>
          <w:marRight w:val="0"/>
          <w:marTop w:val="0"/>
          <w:marBottom w:val="0"/>
          <w:divBdr>
            <w:top w:val="none" w:sz="0" w:space="0" w:color="auto"/>
            <w:left w:val="none" w:sz="0" w:space="0" w:color="auto"/>
            <w:bottom w:val="none" w:sz="0" w:space="0" w:color="auto"/>
            <w:right w:val="none" w:sz="0" w:space="0" w:color="auto"/>
          </w:divBdr>
        </w:div>
        <w:div w:id="532230286">
          <w:marLeft w:val="0"/>
          <w:marRight w:val="0"/>
          <w:marTop w:val="0"/>
          <w:marBottom w:val="0"/>
          <w:divBdr>
            <w:top w:val="none" w:sz="0" w:space="0" w:color="auto"/>
            <w:left w:val="none" w:sz="0" w:space="0" w:color="auto"/>
            <w:bottom w:val="none" w:sz="0" w:space="0" w:color="auto"/>
            <w:right w:val="none" w:sz="0" w:space="0" w:color="auto"/>
          </w:divBdr>
        </w:div>
        <w:div w:id="1170412969">
          <w:marLeft w:val="0"/>
          <w:marRight w:val="0"/>
          <w:marTop w:val="0"/>
          <w:marBottom w:val="0"/>
          <w:divBdr>
            <w:top w:val="none" w:sz="0" w:space="0" w:color="auto"/>
            <w:left w:val="none" w:sz="0" w:space="0" w:color="auto"/>
            <w:bottom w:val="none" w:sz="0" w:space="0" w:color="auto"/>
            <w:right w:val="none" w:sz="0" w:space="0" w:color="auto"/>
          </w:divBdr>
        </w:div>
        <w:div w:id="290792855">
          <w:marLeft w:val="0"/>
          <w:marRight w:val="0"/>
          <w:marTop w:val="0"/>
          <w:marBottom w:val="0"/>
          <w:divBdr>
            <w:top w:val="none" w:sz="0" w:space="0" w:color="auto"/>
            <w:left w:val="none" w:sz="0" w:space="0" w:color="auto"/>
            <w:bottom w:val="none" w:sz="0" w:space="0" w:color="auto"/>
            <w:right w:val="none" w:sz="0" w:space="0" w:color="auto"/>
          </w:divBdr>
        </w:div>
        <w:div w:id="745493682">
          <w:marLeft w:val="0"/>
          <w:marRight w:val="0"/>
          <w:marTop w:val="0"/>
          <w:marBottom w:val="0"/>
          <w:divBdr>
            <w:top w:val="none" w:sz="0" w:space="0" w:color="auto"/>
            <w:left w:val="none" w:sz="0" w:space="0" w:color="auto"/>
            <w:bottom w:val="none" w:sz="0" w:space="0" w:color="auto"/>
            <w:right w:val="none" w:sz="0" w:space="0" w:color="auto"/>
          </w:divBdr>
        </w:div>
        <w:div w:id="1578589102">
          <w:marLeft w:val="0"/>
          <w:marRight w:val="0"/>
          <w:marTop w:val="0"/>
          <w:marBottom w:val="0"/>
          <w:divBdr>
            <w:top w:val="none" w:sz="0" w:space="0" w:color="auto"/>
            <w:left w:val="none" w:sz="0" w:space="0" w:color="auto"/>
            <w:bottom w:val="none" w:sz="0" w:space="0" w:color="auto"/>
            <w:right w:val="none" w:sz="0" w:space="0" w:color="auto"/>
          </w:divBdr>
        </w:div>
        <w:div w:id="846941956">
          <w:marLeft w:val="0"/>
          <w:marRight w:val="0"/>
          <w:marTop w:val="0"/>
          <w:marBottom w:val="0"/>
          <w:divBdr>
            <w:top w:val="none" w:sz="0" w:space="0" w:color="auto"/>
            <w:left w:val="none" w:sz="0" w:space="0" w:color="auto"/>
            <w:bottom w:val="none" w:sz="0" w:space="0" w:color="auto"/>
            <w:right w:val="none" w:sz="0" w:space="0" w:color="auto"/>
          </w:divBdr>
        </w:div>
        <w:div w:id="1660881891">
          <w:marLeft w:val="0"/>
          <w:marRight w:val="0"/>
          <w:marTop w:val="0"/>
          <w:marBottom w:val="0"/>
          <w:divBdr>
            <w:top w:val="none" w:sz="0" w:space="0" w:color="auto"/>
            <w:left w:val="none" w:sz="0" w:space="0" w:color="auto"/>
            <w:bottom w:val="none" w:sz="0" w:space="0" w:color="auto"/>
            <w:right w:val="none" w:sz="0" w:space="0" w:color="auto"/>
          </w:divBdr>
        </w:div>
        <w:div w:id="166286758">
          <w:marLeft w:val="0"/>
          <w:marRight w:val="0"/>
          <w:marTop w:val="0"/>
          <w:marBottom w:val="0"/>
          <w:divBdr>
            <w:top w:val="none" w:sz="0" w:space="0" w:color="auto"/>
            <w:left w:val="none" w:sz="0" w:space="0" w:color="auto"/>
            <w:bottom w:val="none" w:sz="0" w:space="0" w:color="auto"/>
            <w:right w:val="none" w:sz="0" w:space="0" w:color="auto"/>
          </w:divBdr>
        </w:div>
        <w:div w:id="1546478663">
          <w:marLeft w:val="0"/>
          <w:marRight w:val="0"/>
          <w:marTop w:val="0"/>
          <w:marBottom w:val="0"/>
          <w:divBdr>
            <w:top w:val="none" w:sz="0" w:space="0" w:color="auto"/>
            <w:left w:val="none" w:sz="0" w:space="0" w:color="auto"/>
            <w:bottom w:val="none" w:sz="0" w:space="0" w:color="auto"/>
            <w:right w:val="none" w:sz="0" w:space="0" w:color="auto"/>
          </w:divBdr>
        </w:div>
        <w:div w:id="714700735">
          <w:marLeft w:val="0"/>
          <w:marRight w:val="0"/>
          <w:marTop w:val="0"/>
          <w:marBottom w:val="0"/>
          <w:divBdr>
            <w:top w:val="none" w:sz="0" w:space="0" w:color="auto"/>
            <w:left w:val="none" w:sz="0" w:space="0" w:color="auto"/>
            <w:bottom w:val="none" w:sz="0" w:space="0" w:color="auto"/>
            <w:right w:val="none" w:sz="0" w:space="0" w:color="auto"/>
          </w:divBdr>
        </w:div>
        <w:div w:id="180360789">
          <w:marLeft w:val="0"/>
          <w:marRight w:val="0"/>
          <w:marTop w:val="0"/>
          <w:marBottom w:val="0"/>
          <w:divBdr>
            <w:top w:val="none" w:sz="0" w:space="0" w:color="auto"/>
            <w:left w:val="none" w:sz="0" w:space="0" w:color="auto"/>
            <w:bottom w:val="none" w:sz="0" w:space="0" w:color="auto"/>
            <w:right w:val="none" w:sz="0" w:space="0" w:color="auto"/>
          </w:divBdr>
        </w:div>
        <w:div w:id="929390460">
          <w:marLeft w:val="0"/>
          <w:marRight w:val="0"/>
          <w:marTop w:val="0"/>
          <w:marBottom w:val="0"/>
          <w:divBdr>
            <w:top w:val="none" w:sz="0" w:space="0" w:color="auto"/>
            <w:left w:val="none" w:sz="0" w:space="0" w:color="auto"/>
            <w:bottom w:val="none" w:sz="0" w:space="0" w:color="auto"/>
            <w:right w:val="none" w:sz="0" w:space="0" w:color="auto"/>
          </w:divBdr>
        </w:div>
        <w:div w:id="1243487920">
          <w:marLeft w:val="0"/>
          <w:marRight w:val="0"/>
          <w:marTop w:val="0"/>
          <w:marBottom w:val="0"/>
          <w:divBdr>
            <w:top w:val="none" w:sz="0" w:space="0" w:color="auto"/>
            <w:left w:val="none" w:sz="0" w:space="0" w:color="auto"/>
            <w:bottom w:val="none" w:sz="0" w:space="0" w:color="auto"/>
            <w:right w:val="none" w:sz="0" w:space="0" w:color="auto"/>
          </w:divBdr>
        </w:div>
        <w:div w:id="1713730057">
          <w:marLeft w:val="0"/>
          <w:marRight w:val="0"/>
          <w:marTop w:val="0"/>
          <w:marBottom w:val="0"/>
          <w:divBdr>
            <w:top w:val="none" w:sz="0" w:space="0" w:color="auto"/>
            <w:left w:val="none" w:sz="0" w:space="0" w:color="auto"/>
            <w:bottom w:val="none" w:sz="0" w:space="0" w:color="auto"/>
            <w:right w:val="none" w:sz="0" w:space="0" w:color="auto"/>
          </w:divBdr>
        </w:div>
        <w:div w:id="2003971011">
          <w:marLeft w:val="0"/>
          <w:marRight w:val="0"/>
          <w:marTop w:val="0"/>
          <w:marBottom w:val="0"/>
          <w:divBdr>
            <w:top w:val="none" w:sz="0" w:space="0" w:color="auto"/>
            <w:left w:val="none" w:sz="0" w:space="0" w:color="auto"/>
            <w:bottom w:val="none" w:sz="0" w:space="0" w:color="auto"/>
            <w:right w:val="none" w:sz="0" w:space="0" w:color="auto"/>
          </w:divBdr>
        </w:div>
        <w:div w:id="1923105280">
          <w:marLeft w:val="0"/>
          <w:marRight w:val="0"/>
          <w:marTop w:val="0"/>
          <w:marBottom w:val="0"/>
          <w:divBdr>
            <w:top w:val="none" w:sz="0" w:space="0" w:color="auto"/>
            <w:left w:val="none" w:sz="0" w:space="0" w:color="auto"/>
            <w:bottom w:val="none" w:sz="0" w:space="0" w:color="auto"/>
            <w:right w:val="none" w:sz="0" w:space="0" w:color="auto"/>
          </w:divBdr>
        </w:div>
        <w:div w:id="658264075">
          <w:marLeft w:val="0"/>
          <w:marRight w:val="0"/>
          <w:marTop w:val="0"/>
          <w:marBottom w:val="0"/>
          <w:divBdr>
            <w:top w:val="none" w:sz="0" w:space="0" w:color="auto"/>
            <w:left w:val="none" w:sz="0" w:space="0" w:color="auto"/>
            <w:bottom w:val="none" w:sz="0" w:space="0" w:color="auto"/>
            <w:right w:val="none" w:sz="0" w:space="0" w:color="auto"/>
          </w:divBdr>
        </w:div>
        <w:div w:id="1234855049">
          <w:marLeft w:val="0"/>
          <w:marRight w:val="0"/>
          <w:marTop w:val="0"/>
          <w:marBottom w:val="0"/>
          <w:divBdr>
            <w:top w:val="none" w:sz="0" w:space="0" w:color="auto"/>
            <w:left w:val="none" w:sz="0" w:space="0" w:color="auto"/>
            <w:bottom w:val="none" w:sz="0" w:space="0" w:color="auto"/>
            <w:right w:val="none" w:sz="0" w:space="0" w:color="auto"/>
          </w:divBdr>
        </w:div>
        <w:div w:id="2106730221">
          <w:marLeft w:val="0"/>
          <w:marRight w:val="0"/>
          <w:marTop w:val="0"/>
          <w:marBottom w:val="0"/>
          <w:divBdr>
            <w:top w:val="none" w:sz="0" w:space="0" w:color="auto"/>
            <w:left w:val="none" w:sz="0" w:space="0" w:color="auto"/>
            <w:bottom w:val="none" w:sz="0" w:space="0" w:color="auto"/>
            <w:right w:val="none" w:sz="0" w:space="0" w:color="auto"/>
          </w:divBdr>
        </w:div>
        <w:div w:id="1754546552">
          <w:marLeft w:val="0"/>
          <w:marRight w:val="0"/>
          <w:marTop w:val="0"/>
          <w:marBottom w:val="0"/>
          <w:divBdr>
            <w:top w:val="none" w:sz="0" w:space="0" w:color="auto"/>
            <w:left w:val="none" w:sz="0" w:space="0" w:color="auto"/>
            <w:bottom w:val="none" w:sz="0" w:space="0" w:color="auto"/>
            <w:right w:val="none" w:sz="0" w:space="0" w:color="auto"/>
          </w:divBdr>
        </w:div>
        <w:div w:id="1084258051">
          <w:marLeft w:val="0"/>
          <w:marRight w:val="0"/>
          <w:marTop w:val="0"/>
          <w:marBottom w:val="0"/>
          <w:divBdr>
            <w:top w:val="none" w:sz="0" w:space="0" w:color="auto"/>
            <w:left w:val="none" w:sz="0" w:space="0" w:color="auto"/>
            <w:bottom w:val="none" w:sz="0" w:space="0" w:color="auto"/>
            <w:right w:val="none" w:sz="0" w:space="0" w:color="auto"/>
          </w:divBdr>
        </w:div>
        <w:div w:id="1779255001">
          <w:marLeft w:val="0"/>
          <w:marRight w:val="0"/>
          <w:marTop w:val="0"/>
          <w:marBottom w:val="0"/>
          <w:divBdr>
            <w:top w:val="none" w:sz="0" w:space="0" w:color="auto"/>
            <w:left w:val="none" w:sz="0" w:space="0" w:color="auto"/>
            <w:bottom w:val="none" w:sz="0" w:space="0" w:color="auto"/>
            <w:right w:val="none" w:sz="0" w:space="0" w:color="auto"/>
          </w:divBdr>
        </w:div>
        <w:div w:id="2138840576">
          <w:marLeft w:val="0"/>
          <w:marRight w:val="0"/>
          <w:marTop w:val="0"/>
          <w:marBottom w:val="0"/>
          <w:divBdr>
            <w:top w:val="none" w:sz="0" w:space="0" w:color="auto"/>
            <w:left w:val="none" w:sz="0" w:space="0" w:color="auto"/>
            <w:bottom w:val="none" w:sz="0" w:space="0" w:color="auto"/>
            <w:right w:val="none" w:sz="0" w:space="0" w:color="auto"/>
          </w:divBdr>
        </w:div>
        <w:div w:id="1770420636">
          <w:marLeft w:val="0"/>
          <w:marRight w:val="0"/>
          <w:marTop w:val="0"/>
          <w:marBottom w:val="0"/>
          <w:divBdr>
            <w:top w:val="none" w:sz="0" w:space="0" w:color="auto"/>
            <w:left w:val="none" w:sz="0" w:space="0" w:color="auto"/>
            <w:bottom w:val="none" w:sz="0" w:space="0" w:color="auto"/>
            <w:right w:val="none" w:sz="0" w:space="0" w:color="auto"/>
          </w:divBdr>
        </w:div>
        <w:div w:id="2131432170">
          <w:marLeft w:val="0"/>
          <w:marRight w:val="0"/>
          <w:marTop w:val="0"/>
          <w:marBottom w:val="0"/>
          <w:divBdr>
            <w:top w:val="none" w:sz="0" w:space="0" w:color="auto"/>
            <w:left w:val="none" w:sz="0" w:space="0" w:color="auto"/>
            <w:bottom w:val="none" w:sz="0" w:space="0" w:color="auto"/>
            <w:right w:val="none" w:sz="0" w:space="0" w:color="auto"/>
          </w:divBdr>
        </w:div>
        <w:div w:id="588854914">
          <w:marLeft w:val="0"/>
          <w:marRight w:val="0"/>
          <w:marTop w:val="0"/>
          <w:marBottom w:val="0"/>
          <w:divBdr>
            <w:top w:val="none" w:sz="0" w:space="0" w:color="auto"/>
            <w:left w:val="none" w:sz="0" w:space="0" w:color="auto"/>
            <w:bottom w:val="none" w:sz="0" w:space="0" w:color="auto"/>
            <w:right w:val="none" w:sz="0" w:space="0" w:color="auto"/>
          </w:divBdr>
        </w:div>
        <w:div w:id="1142574964">
          <w:marLeft w:val="0"/>
          <w:marRight w:val="0"/>
          <w:marTop w:val="0"/>
          <w:marBottom w:val="0"/>
          <w:divBdr>
            <w:top w:val="none" w:sz="0" w:space="0" w:color="auto"/>
            <w:left w:val="none" w:sz="0" w:space="0" w:color="auto"/>
            <w:bottom w:val="none" w:sz="0" w:space="0" w:color="auto"/>
            <w:right w:val="none" w:sz="0" w:space="0" w:color="auto"/>
          </w:divBdr>
        </w:div>
        <w:div w:id="578757617">
          <w:marLeft w:val="0"/>
          <w:marRight w:val="0"/>
          <w:marTop w:val="0"/>
          <w:marBottom w:val="0"/>
          <w:divBdr>
            <w:top w:val="none" w:sz="0" w:space="0" w:color="auto"/>
            <w:left w:val="none" w:sz="0" w:space="0" w:color="auto"/>
            <w:bottom w:val="none" w:sz="0" w:space="0" w:color="auto"/>
            <w:right w:val="none" w:sz="0" w:space="0" w:color="auto"/>
          </w:divBdr>
        </w:div>
        <w:div w:id="2006738879">
          <w:marLeft w:val="0"/>
          <w:marRight w:val="0"/>
          <w:marTop w:val="0"/>
          <w:marBottom w:val="0"/>
          <w:divBdr>
            <w:top w:val="none" w:sz="0" w:space="0" w:color="auto"/>
            <w:left w:val="none" w:sz="0" w:space="0" w:color="auto"/>
            <w:bottom w:val="none" w:sz="0" w:space="0" w:color="auto"/>
            <w:right w:val="none" w:sz="0" w:space="0" w:color="auto"/>
          </w:divBdr>
        </w:div>
        <w:div w:id="542406406">
          <w:marLeft w:val="0"/>
          <w:marRight w:val="0"/>
          <w:marTop w:val="0"/>
          <w:marBottom w:val="0"/>
          <w:divBdr>
            <w:top w:val="none" w:sz="0" w:space="0" w:color="auto"/>
            <w:left w:val="none" w:sz="0" w:space="0" w:color="auto"/>
            <w:bottom w:val="none" w:sz="0" w:space="0" w:color="auto"/>
            <w:right w:val="none" w:sz="0" w:space="0" w:color="auto"/>
          </w:divBdr>
        </w:div>
        <w:div w:id="1029453915">
          <w:marLeft w:val="0"/>
          <w:marRight w:val="0"/>
          <w:marTop w:val="0"/>
          <w:marBottom w:val="0"/>
          <w:divBdr>
            <w:top w:val="none" w:sz="0" w:space="0" w:color="auto"/>
            <w:left w:val="none" w:sz="0" w:space="0" w:color="auto"/>
            <w:bottom w:val="none" w:sz="0" w:space="0" w:color="auto"/>
            <w:right w:val="none" w:sz="0" w:space="0" w:color="auto"/>
          </w:divBdr>
        </w:div>
        <w:div w:id="448865875">
          <w:marLeft w:val="0"/>
          <w:marRight w:val="0"/>
          <w:marTop w:val="0"/>
          <w:marBottom w:val="0"/>
          <w:divBdr>
            <w:top w:val="none" w:sz="0" w:space="0" w:color="auto"/>
            <w:left w:val="none" w:sz="0" w:space="0" w:color="auto"/>
            <w:bottom w:val="none" w:sz="0" w:space="0" w:color="auto"/>
            <w:right w:val="none" w:sz="0" w:space="0" w:color="auto"/>
          </w:divBdr>
        </w:div>
        <w:div w:id="1334144735">
          <w:marLeft w:val="0"/>
          <w:marRight w:val="0"/>
          <w:marTop w:val="0"/>
          <w:marBottom w:val="0"/>
          <w:divBdr>
            <w:top w:val="none" w:sz="0" w:space="0" w:color="auto"/>
            <w:left w:val="none" w:sz="0" w:space="0" w:color="auto"/>
            <w:bottom w:val="none" w:sz="0" w:space="0" w:color="auto"/>
            <w:right w:val="none" w:sz="0" w:space="0" w:color="auto"/>
          </w:divBdr>
        </w:div>
        <w:div w:id="67844424">
          <w:marLeft w:val="0"/>
          <w:marRight w:val="0"/>
          <w:marTop w:val="0"/>
          <w:marBottom w:val="0"/>
          <w:divBdr>
            <w:top w:val="none" w:sz="0" w:space="0" w:color="auto"/>
            <w:left w:val="none" w:sz="0" w:space="0" w:color="auto"/>
            <w:bottom w:val="none" w:sz="0" w:space="0" w:color="auto"/>
            <w:right w:val="none" w:sz="0" w:space="0" w:color="auto"/>
          </w:divBdr>
        </w:div>
        <w:div w:id="496919521">
          <w:marLeft w:val="0"/>
          <w:marRight w:val="0"/>
          <w:marTop w:val="0"/>
          <w:marBottom w:val="0"/>
          <w:divBdr>
            <w:top w:val="none" w:sz="0" w:space="0" w:color="auto"/>
            <w:left w:val="none" w:sz="0" w:space="0" w:color="auto"/>
            <w:bottom w:val="none" w:sz="0" w:space="0" w:color="auto"/>
            <w:right w:val="none" w:sz="0" w:space="0" w:color="auto"/>
          </w:divBdr>
        </w:div>
        <w:div w:id="1633556150">
          <w:marLeft w:val="0"/>
          <w:marRight w:val="0"/>
          <w:marTop w:val="0"/>
          <w:marBottom w:val="0"/>
          <w:divBdr>
            <w:top w:val="none" w:sz="0" w:space="0" w:color="auto"/>
            <w:left w:val="none" w:sz="0" w:space="0" w:color="auto"/>
            <w:bottom w:val="none" w:sz="0" w:space="0" w:color="auto"/>
            <w:right w:val="none" w:sz="0" w:space="0" w:color="auto"/>
          </w:divBdr>
        </w:div>
        <w:div w:id="805899324">
          <w:marLeft w:val="0"/>
          <w:marRight w:val="0"/>
          <w:marTop w:val="0"/>
          <w:marBottom w:val="0"/>
          <w:divBdr>
            <w:top w:val="none" w:sz="0" w:space="0" w:color="auto"/>
            <w:left w:val="none" w:sz="0" w:space="0" w:color="auto"/>
            <w:bottom w:val="none" w:sz="0" w:space="0" w:color="auto"/>
            <w:right w:val="none" w:sz="0" w:space="0" w:color="auto"/>
          </w:divBdr>
        </w:div>
        <w:div w:id="1408259570">
          <w:marLeft w:val="0"/>
          <w:marRight w:val="0"/>
          <w:marTop w:val="0"/>
          <w:marBottom w:val="0"/>
          <w:divBdr>
            <w:top w:val="none" w:sz="0" w:space="0" w:color="auto"/>
            <w:left w:val="none" w:sz="0" w:space="0" w:color="auto"/>
            <w:bottom w:val="none" w:sz="0" w:space="0" w:color="auto"/>
            <w:right w:val="none" w:sz="0" w:space="0" w:color="auto"/>
          </w:divBdr>
        </w:div>
        <w:div w:id="964894524">
          <w:marLeft w:val="0"/>
          <w:marRight w:val="0"/>
          <w:marTop w:val="0"/>
          <w:marBottom w:val="0"/>
          <w:divBdr>
            <w:top w:val="none" w:sz="0" w:space="0" w:color="auto"/>
            <w:left w:val="none" w:sz="0" w:space="0" w:color="auto"/>
            <w:bottom w:val="none" w:sz="0" w:space="0" w:color="auto"/>
            <w:right w:val="none" w:sz="0" w:space="0" w:color="auto"/>
          </w:divBdr>
        </w:div>
        <w:div w:id="1319454802">
          <w:marLeft w:val="0"/>
          <w:marRight w:val="0"/>
          <w:marTop w:val="0"/>
          <w:marBottom w:val="0"/>
          <w:divBdr>
            <w:top w:val="none" w:sz="0" w:space="0" w:color="auto"/>
            <w:left w:val="none" w:sz="0" w:space="0" w:color="auto"/>
            <w:bottom w:val="none" w:sz="0" w:space="0" w:color="auto"/>
            <w:right w:val="none" w:sz="0" w:space="0" w:color="auto"/>
          </w:divBdr>
        </w:div>
        <w:div w:id="2142457029">
          <w:marLeft w:val="0"/>
          <w:marRight w:val="0"/>
          <w:marTop w:val="0"/>
          <w:marBottom w:val="0"/>
          <w:divBdr>
            <w:top w:val="none" w:sz="0" w:space="0" w:color="auto"/>
            <w:left w:val="none" w:sz="0" w:space="0" w:color="auto"/>
            <w:bottom w:val="none" w:sz="0" w:space="0" w:color="auto"/>
            <w:right w:val="none" w:sz="0" w:space="0" w:color="auto"/>
          </w:divBdr>
        </w:div>
        <w:div w:id="1290816937">
          <w:marLeft w:val="0"/>
          <w:marRight w:val="0"/>
          <w:marTop w:val="0"/>
          <w:marBottom w:val="0"/>
          <w:divBdr>
            <w:top w:val="none" w:sz="0" w:space="0" w:color="auto"/>
            <w:left w:val="none" w:sz="0" w:space="0" w:color="auto"/>
            <w:bottom w:val="none" w:sz="0" w:space="0" w:color="auto"/>
            <w:right w:val="none" w:sz="0" w:space="0" w:color="auto"/>
          </w:divBdr>
        </w:div>
        <w:div w:id="1729496509">
          <w:marLeft w:val="0"/>
          <w:marRight w:val="0"/>
          <w:marTop w:val="0"/>
          <w:marBottom w:val="0"/>
          <w:divBdr>
            <w:top w:val="none" w:sz="0" w:space="0" w:color="auto"/>
            <w:left w:val="none" w:sz="0" w:space="0" w:color="auto"/>
            <w:bottom w:val="none" w:sz="0" w:space="0" w:color="auto"/>
            <w:right w:val="none" w:sz="0" w:space="0" w:color="auto"/>
          </w:divBdr>
        </w:div>
        <w:div w:id="941835129">
          <w:marLeft w:val="0"/>
          <w:marRight w:val="0"/>
          <w:marTop w:val="0"/>
          <w:marBottom w:val="0"/>
          <w:divBdr>
            <w:top w:val="none" w:sz="0" w:space="0" w:color="auto"/>
            <w:left w:val="none" w:sz="0" w:space="0" w:color="auto"/>
            <w:bottom w:val="none" w:sz="0" w:space="0" w:color="auto"/>
            <w:right w:val="none" w:sz="0" w:space="0" w:color="auto"/>
          </w:divBdr>
        </w:div>
        <w:div w:id="442726076">
          <w:marLeft w:val="0"/>
          <w:marRight w:val="0"/>
          <w:marTop w:val="0"/>
          <w:marBottom w:val="0"/>
          <w:divBdr>
            <w:top w:val="none" w:sz="0" w:space="0" w:color="auto"/>
            <w:left w:val="none" w:sz="0" w:space="0" w:color="auto"/>
            <w:bottom w:val="none" w:sz="0" w:space="0" w:color="auto"/>
            <w:right w:val="none" w:sz="0" w:space="0" w:color="auto"/>
          </w:divBdr>
        </w:div>
        <w:div w:id="900289306">
          <w:marLeft w:val="0"/>
          <w:marRight w:val="0"/>
          <w:marTop w:val="0"/>
          <w:marBottom w:val="0"/>
          <w:divBdr>
            <w:top w:val="none" w:sz="0" w:space="0" w:color="auto"/>
            <w:left w:val="none" w:sz="0" w:space="0" w:color="auto"/>
            <w:bottom w:val="none" w:sz="0" w:space="0" w:color="auto"/>
            <w:right w:val="none" w:sz="0" w:space="0" w:color="auto"/>
          </w:divBdr>
        </w:div>
        <w:div w:id="825125667">
          <w:marLeft w:val="0"/>
          <w:marRight w:val="0"/>
          <w:marTop w:val="0"/>
          <w:marBottom w:val="0"/>
          <w:divBdr>
            <w:top w:val="none" w:sz="0" w:space="0" w:color="auto"/>
            <w:left w:val="none" w:sz="0" w:space="0" w:color="auto"/>
            <w:bottom w:val="none" w:sz="0" w:space="0" w:color="auto"/>
            <w:right w:val="none" w:sz="0" w:space="0" w:color="auto"/>
          </w:divBdr>
        </w:div>
        <w:div w:id="1357004882">
          <w:marLeft w:val="0"/>
          <w:marRight w:val="0"/>
          <w:marTop w:val="0"/>
          <w:marBottom w:val="0"/>
          <w:divBdr>
            <w:top w:val="none" w:sz="0" w:space="0" w:color="auto"/>
            <w:left w:val="none" w:sz="0" w:space="0" w:color="auto"/>
            <w:bottom w:val="none" w:sz="0" w:space="0" w:color="auto"/>
            <w:right w:val="none" w:sz="0" w:space="0" w:color="auto"/>
          </w:divBdr>
        </w:div>
        <w:div w:id="431901399">
          <w:marLeft w:val="0"/>
          <w:marRight w:val="0"/>
          <w:marTop w:val="0"/>
          <w:marBottom w:val="0"/>
          <w:divBdr>
            <w:top w:val="none" w:sz="0" w:space="0" w:color="auto"/>
            <w:left w:val="none" w:sz="0" w:space="0" w:color="auto"/>
            <w:bottom w:val="none" w:sz="0" w:space="0" w:color="auto"/>
            <w:right w:val="none" w:sz="0" w:space="0" w:color="auto"/>
          </w:divBdr>
        </w:div>
        <w:div w:id="1066420153">
          <w:marLeft w:val="0"/>
          <w:marRight w:val="0"/>
          <w:marTop w:val="0"/>
          <w:marBottom w:val="0"/>
          <w:divBdr>
            <w:top w:val="none" w:sz="0" w:space="0" w:color="auto"/>
            <w:left w:val="none" w:sz="0" w:space="0" w:color="auto"/>
            <w:bottom w:val="none" w:sz="0" w:space="0" w:color="auto"/>
            <w:right w:val="none" w:sz="0" w:space="0" w:color="auto"/>
          </w:divBdr>
        </w:div>
        <w:div w:id="869074031">
          <w:marLeft w:val="0"/>
          <w:marRight w:val="0"/>
          <w:marTop w:val="0"/>
          <w:marBottom w:val="0"/>
          <w:divBdr>
            <w:top w:val="none" w:sz="0" w:space="0" w:color="auto"/>
            <w:left w:val="none" w:sz="0" w:space="0" w:color="auto"/>
            <w:bottom w:val="none" w:sz="0" w:space="0" w:color="auto"/>
            <w:right w:val="none" w:sz="0" w:space="0" w:color="auto"/>
          </w:divBdr>
        </w:div>
        <w:div w:id="727266321">
          <w:marLeft w:val="0"/>
          <w:marRight w:val="0"/>
          <w:marTop w:val="0"/>
          <w:marBottom w:val="0"/>
          <w:divBdr>
            <w:top w:val="none" w:sz="0" w:space="0" w:color="auto"/>
            <w:left w:val="none" w:sz="0" w:space="0" w:color="auto"/>
            <w:bottom w:val="none" w:sz="0" w:space="0" w:color="auto"/>
            <w:right w:val="none" w:sz="0" w:space="0" w:color="auto"/>
          </w:divBdr>
        </w:div>
        <w:div w:id="248347679">
          <w:marLeft w:val="0"/>
          <w:marRight w:val="0"/>
          <w:marTop w:val="0"/>
          <w:marBottom w:val="0"/>
          <w:divBdr>
            <w:top w:val="none" w:sz="0" w:space="0" w:color="auto"/>
            <w:left w:val="none" w:sz="0" w:space="0" w:color="auto"/>
            <w:bottom w:val="none" w:sz="0" w:space="0" w:color="auto"/>
            <w:right w:val="none" w:sz="0" w:space="0" w:color="auto"/>
          </w:divBdr>
        </w:div>
        <w:div w:id="1354569873">
          <w:marLeft w:val="0"/>
          <w:marRight w:val="0"/>
          <w:marTop w:val="0"/>
          <w:marBottom w:val="0"/>
          <w:divBdr>
            <w:top w:val="none" w:sz="0" w:space="0" w:color="auto"/>
            <w:left w:val="none" w:sz="0" w:space="0" w:color="auto"/>
            <w:bottom w:val="none" w:sz="0" w:space="0" w:color="auto"/>
            <w:right w:val="none" w:sz="0" w:space="0" w:color="auto"/>
          </w:divBdr>
        </w:div>
        <w:div w:id="1880239295">
          <w:marLeft w:val="0"/>
          <w:marRight w:val="0"/>
          <w:marTop w:val="0"/>
          <w:marBottom w:val="0"/>
          <w:divBdr>
            <w:top w:val="none" w:sz="0" w:space="0" w:color="auto"/>
            <w:left w:val="none" w:sz="0" w:space="0" w:color="auto"/>
            <w:bottom w:val="none" w:sz="0" w:space="0" w:color="auto"/>
            <w:right w:val="none" w:sz="0" w:space="0" w:color="auto"/>
          </w:divBdr>
        </w:div>
        <w:div w:id="509640688">
          <w:marLeft w:val="0"/>
          <w:marRight w:val="0"/>
          <w:marTop w:val="0"/>
          <w:marBottom w:val="0"/>
          <w:divBdr>
            <w:top w:val="none" w:sz="0" w:space="0" w:color="auto"/>
            <w:left w:val="none" w:sz="0" w:space="0" w:color="auto"/>
            <w:bottom w:val="none" w:sz="0" w:space="0" w:color="auto"/>
            <w:right w:val="none" w:sz="0" w:space="0" w:color="auto"/>
          </w:divBdr>
        </w:div>
        <w:div w:id="1043561997">
          <w:marLeft w:val="0"/>
          <w:marRight w:val="0"/>
          <w:marTop w:val="0"/>
          <w:marBottom w:val="0"/>
          <w:divBdr>
            <w:top w:val="none" w:sz="0" w:space="0" w:color="auto"/>
            <w:left w:val="none" w:sz="0" w:space="0" w:color="auto"/>
            <w:bottom w:val="none" w:sz="0" w:space="0" w:color="auto"/>
            <w:right w:val="none" w:sz="0" w:space="0" w:color="auto"/>
          </w:divBdr>
        </w:div>
        <w:div w:id="1494956923">
          <w:marLeft w:val="0"/>
          <w:marRight w:val="0"/>
          <w:marTop w:val="0"/>
          <w:marBottom w:val="0"/>
          <w:divBdr>
            <w:top w:val="none" w:sz="0" w:space="0" w:color="auto"/>
            <w:left w:val="none" w:sz="0" w:space="0" w:color="auto"/>
            <w:bottom w:val="none" w:sz="0" w:space="0" w:color="auto"/>
            <w:right w:val="none" w:sz="0" w:space="0" w:color="auto"/>
          </w:divBdr>
        </w:div>
        <w:div w:id="130290850">
          <w:marLeft w:val="0"/>
          <w:marRight w:val="0"/>
          <w:marTop w:val="0"/>
          <w:marBottom w:val="0"/>
          <w:divBdr>
            <w:top w:val="none" w:sz="0" w:space="0" w:color="auto"/>
            <w:left w:val="none" w:sz="0" w:space="0" w:color="auto"/>
            <w:bottom w:val="none" w:sz="0" w:space="0" w:color="auto"/>
            <w:right w:val="none" w:sz="0" w:space="0" w:color="auto"/>
          </w:divBdr>
        </w:div>
        <w:div w:id="420950913">
          <w:marLeft w:val="0"/>
          <w:marRight w:val="0"/>
          <w:marTop w:val="0"/>
          <w:marBottom w:val="0"/>
          <w:divBdr>
            <w:top w:val="none" w:sz="0" w:space="0" w:color="auto"/>
            <w:left w:val="none" w:sz="0" w:space="0" w:color="auto"/>
            <w:bottom w:val="none" w:sz="0" w:space="0" w:color="auto"/>
            <w:right w:val="none" w:sz="0" w:space="0" w:color="auto"/>
          </w:divBdr>
        </w:div>
        <w:div w:id="2145080281">
          <w:marLeft w:val="0"/>
          <w:marRight w:val="0"/>
          <w:marTop w:val="0"/>
          <w:marBottom w:val="0"/>
          <w:divBdr>
            <w:top w:val="none" w:sz="0" w:space="0" w:color="auto"/>
            <w:left w:val="none" w:sz="0" w:space="0" w:color="auto"/>
            <w:bottom w:val="none" w:sz="0" w:space="0" w:color="auto"/>
            <w:right w:val="none" w:sz="0" w:space="0" w:color="auto"/>
          </w:divBdr>
        </w:div>
        <w:div w:id="1584605333">
          <w:marLeft w:val="0"/>
          <w:marRight w:val="0"/>
          <w:marTop w:val="0"/>
          <w:marBottom w:val="0"/>
          <w:divBdr>
            <w:top w:val="none" w:sz="0" w:space="0" w:color="auto"/>
            <w:left w:val="none" w:sz="0" w:space="0" w:color="auto"/>
            <w:bottom w:val="none" w:sz="0" w:space="0" w:color="auto"/>
            <w:right w:val="none" w:sz="0" w:space="0" w:color="auto"/>
          </w:divBdr>
        </w:div>
        <w:div w:id="2137525542">
          <w:marLeft w:val="0"/>
          <w:marRight w:val="0"/>
          <w:marTop w:val="0"/>
          <w:marBottom w:val="0"/>
          <w:divBdr>
            <w:top w:val="none" w:sz="0" w:space="0" w:color="auto"/>
            <w:left w:val="none" w:sz="0" w:space="0" w:color="auto"/>
            <w:bottom w:val="none" w:sz="0" w:space="0" w:color="auto"/>
            <w:right w:val="none" w:sz="0" w:space="0" w:color="auto"/>
          </w:divBdr>
        </w:div>
        <w:div w:id="1819684904">
          <w:marLeft w:val="0"/>
          <w:marRight w:val="0"/>
          <w:marTop w:val="0"/>
          <w:marBottom w:val="0"/>
          <w:divBdr>
            <w:top w:val="none" w:sz="0" w:space="0" w:color="auto"/>
            <w:left w:val="none" w:sz="0" w:space="0" w:color="auto"/>
            <w:bottom w:val="none" w:sz="0" w:space="0" w:color="auto"/>
            <w:right w:val="none" w:sz="0" w:space="0" w:color="auto"/>
          </w:divBdr>
        </w:div>
        <w:div w:id="1927298957">
          <w:marLeft w:val="0"/>
          <w:marRight w:val="0"/>
          <w:marTop w:val="0"/>
          <w:marBottom w:val="0"/>
          <w:divBdr>
            <w:top w:val="none" w:sz="0" w:space="0" w:color="auto"/>
            <w:left w:val="none" w:sz="0" w:space="0" w:color="auto"/>
            <w:bottom w:val="none" w:sz="0" w:space="0" w:color="auto"/>
            <w:right w:val="none" w:sz="0" w:space="0" w:color="auto"/>
          </w:divBdr>
        </w:div>
        <w:div w:id="346710006">
          <w:marLeft w:val="0"/>
          <w:marRight w:val="0"/>
          <w:marTop w:val="0"/>
          <w:marBottom w:val="0"/>
          <w:divBdr>
            <w:top w:val="none" w:sz="0" w:space="0" w:color="auto"/>
            <w:left w:val="none" w:sz="0" w:space="0" w:color="auto"/>
            <w:bottom w:val="none" w:sz="0" w:space="0" w:color="auto"/>
            <w:right w:val="none" w:sz="0" w:space="0" w:color="auto"/>
          </w:divBdr>
        </w:div>
        <w:div w:id="305623793">
          <w:marLeft w:val="0"/>
          <w:marRight w:val="0"/>
          <w:marTop w:val="0"/>
          <w:marBottom w:val="0"/>
          <w:divBdr>
            <w:top w:val="none" w:sz="0" w:space="0" w:color="auto"/>
            <w:left w:val="none" w:sz="0" w:space="0" w:color="auto"/>
            <w:bottom w:val="none" w:sz="0" w:space="0" w:color="auto"/>
            <w:right w:val="none" w:sz="0" w:space="0" w:color="auto"/>
          </w:divBdr>
        </w:div>
        <w:div w:id="733895982">
          <w:marLeft w:val="0"/>
          <w:marRight w:val="0"/>
          <w:marTop w:val="0"/>
          <w:marBottom w:val="0"/>
          <w:divBdr>
            <w:top w:val="none" w:sz="0" w:space="0" w:color="auto"/>
            <w:left w:val="none" w:sz="0" w:space="0" w:color="auto"/>
            <w:bottom w:val="none" w:sz="0" w:space="0" w:color="auto"/>
            <w:right w:val="none" w:sz="0" w:space="0" w:color="auto"/>
          </w:divBdr>
        </w:div>
        <w:div w:id="1149783841">
          <w:marLeft w:val="0"/>
          <w:marRight w:val="0"/>
          <w:marTop w:val="0"/>
          <w:marBottom w:val="0"/>
          <w:divBdr>
            <w:top w:val="none" w:sz="0" w:space="0" w:color="auto"/>
            <w:left w:val="none" w:sz="0" w:space="0" w:color="auto"/>
            <w:bottom w:val="none" w:sz="0" w:space="0" w:color="auto"/>
            <w:right w:val="none" w:sz="0" w:space="0" w:color="auto"/>
          </w:divBdr>
        </w:div>
        <w:div w:id="1467432167">
          <w:marLeft w:val="0"/>
          <w:marRight w:val="0"/>
          <w:marTop w:val="0"/>
          <w:marBottom w:val="0"/>
          <w:divBdr>
            <w:top w:val="none" w:sz="0" w:space="0" w:color="auto"/>
            <w:left w:val="none" w:sz="0" w:space="0" w:color="auto"/>
            <w:bottom w:val="none" w:sz="0" w:space="0" w:color="auto"/>
            <w:right w:val="none" w:sz="0" w:space="0" w:color="auto"/>
          </w:divBdr>
        </w:div>
        <w:div w:id="380324935">
          <w:marLeft w:val="0"/>
          <w:marRight w:val="0"/>
          <w:marTop w:val="0"/>
          <w:marBottom w:val="0"/>
          <w:divBdr>
            <w:top w:val="none" w:sz="0" w:space="0" w:color="auto"/>
            <w:left w:val="none" w:sz="0" w:space="0" w:color="auto"/>
            <w:bottom w:val="none" w:sz="0" w:space="0" w:color="auto"/>
            <w:right w:val="none" w:sz="0" w:space="0" w:color="auto"/>
          </w:divBdr>
        </w:div>
        <w:div w:id="1455556229">
          <w:marLeft w:val="0"/>
          <w:marRight w:val="0"/>
          <w:marTop w:val="0"/>
          <w:marBottom w:val="0"/>
          <w:divBdr>
            <w:top w:val="none" w:sz="0" w:space="0" w:color="auto"/>
            <w:left w:val="none" w:sz="0" w:space="0" w:color="auto"/>
            <w:bottom w:val="none" w:sz="0" w:space="0" w:color="auto"/>
            <w:right w:val="none" w:sz="0" w:space="0" w:color="auto"/>
          </w:divBdr>
        </w:div>
        <w:div w:id="391275366">
          <w:marLeft w:val="0"/>
          <w:marRight w:val="0"/>
          <w:marTop w:val="0"/>
          <w:marBottom w:val="0"/>
          <w:divBdr>
            <w:top w:val="none" w:sz="0" w:space="0" w:color="auto"/>
            <w:left w:val="none" w:sz="0" w:space="0" w:color="auto"/>
            <w:bottom w:val="none" w:sz="0" w:space="0" w:color="auto"/>
            <w:right w:val="none" w:sz="0" w:space="0" w:color="auto"/>
          </w:divBdr>
        </w:div>
        <w:div w:id="1659528149">
          <w:marLeft w:val="0"/>
          <w:marRight w:val="0"/>
          <w:marTop w:val="0"/>
          <w:marBottom w:val="0"/>
          <w:divBdr>
            <w:top w:val="none" w:sz="0" w:space="0" w:color="auto"/>
            <w:left w:val="none" w:sz="0" w:space="0" w:color="auto"/>
            <w:bottom w:val="none" w:sz="0" w:space="0" w:color="auto"/>
            <w:right w:val="none" w:sz="0" w:space="0" w:color="auto"/>
          </w:divBdr>
        </w:div>
        <w:div w:id="2029479880">
          <w:marLeft w:val="0"/>
          <w:marRight w:val="0"/>
          <w:marTop w:val="0"/>
          <w:marBottom w:val="0"/>
          <w:divBdr>
            <w:top w:val="none" w:sz="0" w:space="0" w:color="auto"/>
            <w:left w:val="none" w:sz="0" w:space="0" w:color="auto"/>
            <w:bottom w:val="none" w:sz="0" w:space="0" w:color="auto"/>
            <w:right w:val="none" w:sz="0" w:space="0" w:color="auto"/>
          </w:divBdr>
        </w:div>
        <w:div w:id="2026594737">
          <w:marLeft w:val="0"/>
          <w:marRight w:val="0"/>
          <w:marTop w:val="0"/>
          <w:marBottom w:val="0"/>
          <w:divBdr>
            <w:top w:val="none" w:sz="0" w:space="0" w:color="auto"/>
            <w:left w:val="none" w:sz="0" w:space="0" w:color="auto"/>
            <w:bottom w:val="none" w:sz="0" w:space="0" w:color="auto"/>
            <w:right w:val="none" w:sz="0" w:space="0" w:color="auto"/>
          </w:divBdr>
        </w:div>
        <w:div w:id="1589457516">
          <w:marLeft w:val="0"/>
          <w:marRight w:val="0"/>
          <w:marTop w:val="0"/>
          <w:marBottom w:val="0"/>
          <w:divBdr>
            <w:top w:val="none" w:sz="0" w:space="0" w:color="auto"/>
            <w:left w:val="none" w:sz="0" w:space="0" w:color="auto"/>
            <w:bottom w:val="none" w:sz="0" w:space="0" w:color="auto"/>
            <w:right w:val="none" w:sz="0" w:space="0" w:color="auto"/>
          </w:divBdr>
        </w:div>
        <w:div w:id="33584509">
          <w:marLeft w:val="0"/>
          <w:marRight w:val="0"/>
          <w:marTop w:val="0"/>
          <w:marBottom w:val="0"/>
          <w:divBdr>
            <w:top w:val="none" w:sz="0" w:space="0" w:color="auto"/>
            <w:left w:val="none" w:sz="0" w:space="0" w:color="auto"/>
            <w:bottom w:val="none" w:sz="0" w:space="0" w:color="auto"/>
            <w:right w:val="none" w:sz="0" w:space="0" w:color="auto"/>
          </w:divBdr>
        </w:div>
        <w:div w:id="1424765928">
          <w:marLeft w:val="0"/>
          <w:marRight w:val="0"/>
          <w:marTop w:val="0"/>
          <w:marBottom w:val="0"/>
          <w:divBdr>
            <w:top w:val="none" w:sz="0" w:space="0" w:color="auto"/>
            <w:left w:val="none" w:sz="0" w:space="0" w:color="auto"/>
            <w:bottom w:val="none" w:sz="0" w:space="0" w:color="auto"/>
            <w:right w:val="none" w:sz="0" w:space="0" w:color="auto"/>
          </w:divBdr>
        </w:div>
        <w:div w:id="1472096406">
          <w:marLeft w:val="0"/>
          <w:marRight w:val="0"/>
          <w:marTop w:val="0"/>
          <w:marBottom w:val="0"/>
          <w:divBdr>
            <w:top w:val="none" w:sz="0" w:space="0" w:color="auto"/>
            <w:left w:val="none" w:sz="0" w:space="0" w:color="auto"/>
            <w:bottom w:val="none" w:sz="0" w:space="0" w:color="auto"/>
            <w:right w:val="none" w:sz="0" w:space="0" w:color="auto"/>
          </w:divBdr>
        </w:div>
        <w:div w:id="1182356263">
          <w:marLeft w:val="0"/>
          <w:marRight w:val="0"/>
          <w:marTop w:val="0"/>
          <w:marBottom w:val="0"/>
          <w:divBdr>
            <w:top w:val="none" w:sz="0" w:space="0" w:color="auto"/>
            <w:left w:val="none" w:sz="0" w:space="0" w:color="auto"/>
            <w:bottom w:val="none" w:sz="0" w:space="0" w:color="auto"/>
            <w:right w:val="none" w:sz="0" w:space="0" w:color="auto"/>
          </w:divBdr>
        </w:div>
        <w:div w:id="818493986">
          <w:marLeft w:val="0"/>
          <w:marRight w:val="0"/>
          <w:marTop w:val="0"/>
          <w:marBottom w:val="0"/>
          <w:divBdr>
            <w:top w:val="none" w:sz="0" w:space="0" w:color="auto"/>
            <w:left w:val="none" w:sz="0" w:space="0" w:color="auto"/>
            <w:bottom w:val="none" w:sz="0" w:space="0" w:color="auto"/>
            <w:right w:val="none" w:sz="0" w:space="0" w:color="auto"/>
          </w:divBdr>
        </w:div>
        <w:div w:id="1045450394">
          <w:marLeft w:val="0"/>
          <w:marRight w:val="0"/>
          <w:marTop w:val="0"/>
          <w:marBottom w:val="0"/>
          <w:divBdr>
            <w:top w:val="none" w:sz="0" w:space="0" w:color="auto"/>
            <w:left w:val="none" w:sz="0" w:space="0" w:color="auto"/>
            <w:bottom w:val="none" w:sz="0" w:space="0" w:color="auto"/>
            <w:right w:val="none" w:sz="0" w:space="0" w:color="auto"/>
          </w:divBdr>
        </w:div>
        <w:div w:id="2142993256">
          <w:marLeft w:val="0"/>
          <w:marRight w:val="0"/>
          <w:marTop w:val="0"/>
          <w:marBottom w:val="0"/>
          <w:divBdr>
            <w:top w:val="none" w:sz="0" w:space="0" w:color="auto"/>
            <w:left w:val="none" w:sz="0" w:space="0" w:color="auto"/>
            <w:bottom w:val="none" w:sz="0" w:space="0" w:color="auto"/>
            <w:right w:val="none" w:sz="0" w:space="0" w:color="auto"/>
          </w:divBdr>
        </w:div>
        <w:div w:id="1775779772">
          <w:marLeft w:val="0"/>
          <w:marRight w:val="0"/>
          <w:marTop w:val="0"/>
          <w:marBottom w:val="0"/>
          <w:divBdr>
            <w:top w:val="none" w:sz="0" w:space="0" w:color="auto"/>
            <w:left w:val="none" w:sz="0" w:space="0" w:color="auto"/>
            <w:bottom w:val="none" w:sz="0" w:space="0" w:color="auto"/>
            <w:right w:val="none" w:sz="0" w:space="0" w:color="auto"/>
          </w:divBdr>
        </w:div>
        <w:div w:id="480584003">
          <w:marLeft w:val="0"/>
          <w:marRight w:val="0"/>
          <w:marTop w:val="0"/>
          <w:marBottom w:val="0"/>
          <w:divBdr>
            <w:top w:val="none" w:sz="0" w:space="0" w:color="auto"/>
            <w:left w:val="none" w:sz="0" w:space="0" w:color="auto"/>
            <w:bottom w:val="none" w:sz="0" w:space="0" w:color="auto"/>
            <w:right w:val="none" w:sz="0" w:space="0" w:color="auto"/>
          </w:divBdr>
        </w:div>
        <w:div w:id="144248913">
          <w:marLeft w:val="0"/>
          <w:marRight w:val="0"/>
          <w:marTop w:val="0"/>
          <w:marBottom w:val="0"/>
          <w:divBdr>
            <w:top w:val="none" w:sz="0" w:space="0" w:color="auto"/>
            <w:left w:val="none" w:sz="0" w:space="0" w:color="auto"/>
            <w:bottom w:val="none" w:sz="0" w:space="0" w:color="auto"/>
            <w:right w:val="none" w:sz="0" w:space="0" w:color="auto"/>
          </w:divBdr>
        </w:div>
        <w:div w:id="281150892">
          <w:marLeft w:val="0"/>
          <w:marRight w:val="0"/>
          <w:marTop w:val="0"/>
          <w:marBottom w:val="0"/>
          <w:divBdr>
            <w:top w:val="none" w:sz="0" w:space="0" w:color="auto"/>
            <w:left w:val="none" w:sz="0" w:space="0" w:color="auto"/>
            <w:bottom w:val="none" w:sz="0" w:space="0" w:color="auto"/>
            <w:right w:val="none" w:sz="0" w:space="0" w:color="auto"/>
          </w:divBdr>
        </w:div>
        <w:div w:id="294526680">
          <w:marLeft w:val="0"/>
          <w:marRight w:val="0"/>
          <w:marTop w:val="0"/>
          <w:marBottom w:val="0"/>
          <w:divBdr>
            <w:top w:val="none" w:sz="0" w:space="0" w:color="auto"/>
            <w:left w:val="none" w:sz="0" w:space="0" w:color="auto"/>
            <w:bottom w:val="none" w:sz="0" w:space="0" w:color="auto"/>
            <w:right w:val="none" w:sz="0" w:space="0" w:color="auto"/>
          </w:divBdr>
        </w:div>
        <w:div w:id="1687554452">
          <w:marLeft w:val="0"/>
          <w:marRight w:val="0"/>
          <w:marTop w:val="0"/>
          <w:marBottom w:val="0"/>
          <w:divBdr>
            <w:top w:val="none" w:sz="0" w:space="0" w:color="auto"/>
            <w:left w:val="none" w:sz="0" w:space="0" w:color="auto"/>
            <w:bottom w:val="none" w:sz="0" w:space="0" w:color="auto"/>
            <w:right w:val="none" w:sz="0" w:space="0" w:color="auto"/>
          </w:divBdr>
        </w:div>
        <w:div w:id="187180497">
          <w:marLeft w:val="0"/>
          <w:marRight w:val="0"/>
          <w:marTop w:val="0"/>
          <w:marBottom w:val="0"/>
          <w:divBdr>
            <w:top w:val="none" w:sz="0" w:space="0" w:color="auto"/>
            <w:left w:val="none" w:sz="0" w:space="0" w:color="auto"/>
            <w:bottom w:val="none" w:sz="0" w:space="0" w:color="auto"/>
            <w:right w:val="none" w:sz="0" w:space="0" w:color="auto"/>
          </w:divBdr>
        </w:div>
        <w:div w:id="1283997153">
          <w:marLeft w:val="0"/>
          <w:marRight w:val="0"/>
          <w:marTop w:val="0"/>
          <w:marBottom w:val="0"/>
          <w:divBdr>
            <w:top w:val="none" w:sz="0" w:space="0" w:color="auto"/>
            <w:left w:val="none" w:sz="0" w:space="0" w:color="auto"/>
            <w:bottom w:val="none" w:sz="0" w:space="0" w:color="auto"/>
            <w:right w:val="none" w:sz="0" w:space="0" w:color="auto"/>
          </w:divBdr>
        </w:div>
        <w:div w:id="2140683065">
          <w:marLeft w:val="0"/>
          <w:marRight w:val="0"/>
          <w:marTop w:val="0"/>
          <w:marBottom w:val="0"/>
          <w:divBdr>
            <w:top w:val="none" w:sz="0" w:space="0" w:color="auto"/>
            <w:left w:val="none" w:sz="0" w:space="0" w:color="auto"/>
            <w:bottom w:val="none" w:sz="0" w:space="0" w:color="auto"/>
            <w:right w:val="none" w:sz="0" w:space="0" w:color="auto"/>
          </w:divBdr>
        </w:div>
        <w:div w:id="149444751">
          <w:marLeft w:val="0"/>
          <w:marRight w:val="0"/>
          <w:marTop w:val="0"/>
          <w:marBottom w:val="0"/>
          <w:divBdr>
            <w:top w:val="none" w:sz="0" w:space="0" w:color="auto"/>
            <w:left w:val="none" w:sz="0" w:space="0" w:color="auto"/>
            <w:bottom w:val="none" w:sz="0" w:space="0" w:color="auto"/>
            <w:right w:val="none" w:sz="0" w:space="0" w:color="auto"/>
          </w:divBdr>
        </w:div>
        <w:div w:id="2008242605">
          <w:marLeft w:val="0"/>
          <w:marRight w:val="0"/>
          <w:marTop w:val="0"/>
          <w:marBottom w:val="0"/>
          <w:divBdr>
            <w:top w:val="none" w:sz="0" w:space="0" w:color="auto"/>
            <w:left w:val="none" w:sz="0" w:space="0" w:color="auto"/>
            <w:bottom w:val="none" w:sz="0" w:space="0" w:color="auto"/>
            <w:right w:val="none" w:sz="0" w:space="0" w:color="auto"/>
          </w:divBdr>
        </w:div>
        <w:div w:id="1572230173">
          <w:marLeft w:val="0"/>
          <w:marRight w:val="0"/>
          <w:marTop w:val="0"/>
          <w:marBottom w:val="0"/>
          <w:divBdr>
            <w:top w:val="none" w:sz="0" w:space="0" w:color="auto"/>
            <w:left w:val="none" w:sz="0" w:space="0" w:color="auto"/>
            <w:bottom w:val="none" w:sz="0" w:space="0" w:color="auto"/>
            <w:right w:val="none" w:sz="0" w:space="0" w:color="auto"/>
          </w:divBdr>
        </w:div>
        <w:div w:id="160433484">
          <w:marLeft w:val="0"/>
          <w:marRight w:val="0"/>
          <w:marTop w:val="0"/>
          <w:marBottom w:val="0"/>
          <w:divBdr>
            <w:top w:val="none" w:sz="0" w:space="0" w:color="auto"/>
            <w:left w:val="none" w:sz="0" w:space="0" w:color="auto"/>
            <w:bottom w:val="none" w:sz="0" w:space="0" w:color="auto"/>
            <w:right w:val="none" w:sz="0" w:space="0" w:color="auto"/>
          </w:divBdr>
        </w:div>
        <w:div w:id="899245383">
          <w:marLeft w:val="0"/>
          <w:marRight w:val="0"/>
          <w:marTop w:val="0"/>
          <w:marBottom w:val="0"/>
          <w:divBdr>
            <w:top w:val="none" w:sz="0" w:space="0" w:color="auto"/>
            <w:left w:val="none" w:sz="0" w:space="0" w:color="auto"/>
            <w:bottom w:val="none" w:sz="0" w:space="0" w:color="auto"/>
            <w:right w:val="none" w:sz="0" w:space="0" w:color="auto"/>
          </w:divBdr>
        </w:div>
        <w:div w:id="24839783">
          <w:marLeft w:val="0"/>
          <w:marRight w:val="0"/>
          <w:marTop w:val="0"/>
          <w:marBottom w:val="0"/>
          <w:divBdr>
            <w:top w:val="none" w:sz="0" w:space="0" w:color="auto"/>
            <w:left w:val="none" w:sz="0" w:space="0" w:color="auto"/>
            <w:bottom w:val="none" w:sz="0" w:space="0" w:color="auto"/>
            <w:right w:val="none" w:sz="0" w:space="0" w:color="auto"/>
          </w:divBdr>
        </w:div>
        <w:div w:id="509297048">
          <w:marLeft w:val="0"/>
          <w:marRight w:val="0"/>
          <w:marTop w:val="0"/>
          <w:marBottom w:val="0"/>
          <w:divBdr>
            <w:top w:val="none" w:sz="0" w:space="0" w:color="auto"/>
            <w:left w:val="none" w:sz="0" w:space="0" w:color="auto"/>
            <w:bottom w:val="none" w:sz="0" w:space="0" w:color="auto"/>
            <w:right w:val="none" w:sz="0" w:space="0" w:color="auto"/>
          </w:divBdr>
        </w:div>
        <w:div w:id="219369010">
          <w:marLeft w:val="0"/>
          <w:marRight w:val="0"/>
          <w:marTop w:val="0"/>
          <w:marBottom w:val="0"/>
          <w:divBdr>
            <w:top w:val="none" w:sz="0" w:space="0" w:color="auto"/>
            <w:left w:val="none" w:sz="0" w:space="0" w:color="auto"/>
            <w:bottom w:val="none" w:sz="0" w:space="0" w:color="auto"/>
            <w:right w:val="none" w:sz="0" w:space="0" w:color="auto"/>
          </w:divBdr>
        </w:div>
        <w:div w:id="1873809659">
          <w:marLeft w:val="0"/>
          <w:marRight w:val="0"/>
          <w:marTop w:val="0"/>
          <w:marBottom w:val="0"/>
          <w:divBdr>
            <w:top w:val="none" w:sz="0" w:space="0" w:color="auto"/>
            <w:left w:val="none" w:sz="0" w:space="0" w:color="auto"/>
            <w:bottom w:val="none" w:sz="0" w:space="0" w:color="auto"/>
            <w:right w:val="none" w:sz="0" w:space="0" w:color="auto"/>
          </w:divBdr>
        </w:div>
        <w:div w:id="1805152142">
          <w:marLeft w:val="0"/>
          <w:marRight w:val="0"/>
          <w:marTop w:val="0"/>
          <w:marBottom w:val="0"/>
          <w:divBdr>
            <w:top w:val="none" w:sz="0" w:space="0" w:color="auto"/>
            <w:left w:val="none" w:sz="0" w:space="0" w:color="auto"/>
            <w:bottom w:val="none" w:sz="0" w:space="0" w:color="auto"/>
            <w:right w:val="none" w:sz="0" w:space="0" w:color="auto"/>
          </w:divBdr>
        </w:div>
        <w:div w:id="1400590449">
          <w:marLeft w:val="0"/>
          <w:marRight w:val="0"/>
          <w:marTop w:val="0"/>
          <w:marBottom w:val="0"/>
          <w:divBdr>
            <w:top w:val="none" w:sz="0" w:space="0" w:color="auto"/>
            <w:left w:val="none" w:sz="0" w:space="0" w:color="auto"/>
            <w:bottom w:val="none" w:sz="0" w:space="0" w:color="auto"/>
            <w:right w:val="none" w:sz="0" w:space="0" w:color="auto"/>
          </w:divBdr>
        </w:div>
        <w:div w:id="812646892">
          <w:marLeft w:val="0"/>
          <w:marRight w:val="0"/>
          <w:marTop w:val="0"/>
          <w:marBottom w:val="0"/>
          <w:divBdr>
            <w:top w:val="none" w:sz="0" w:space="0" w:color="auto"/>
            <w:left w:val="none" w:sz="0" w:space="0" w:color="auto"/>
            <w:bottom w:val="none" w:sz="0" w:space="0" w:color="auto"/>
            <w:right w:val="none" w:sz="0" w:space="0" w:color="auto"/>
          </w:divBdr>
        </w:div>
        <w:div w:id="1065185295">
          <w:marLeft w:val="0"/>
          <w:marRight w:val="0"/>
          <w:marTop w:val="0"/>
          <w:marBottom w:val="0"/>
          <w:divBdr>
            <w:top w:val="none" w:sz="0" w:space="0" w:color="auto"/>
            <w:left w:val="none" w:sz="0" w:space="0" w:color="auto"/>
            <w:bottom w:val="none" w:sz="0" w:space="0" w:color="auto"/>
            <w:right w:val="none" w:sz="0" w:space="0" w:color="auto"/>
          </w:divBdr>
        </w:div>
        <w:div w:id="184367104">
          <w:marLeft w:val="0"/>
          <w:marRight w:val="0"/>
          <w:marTop w:val="0"/>
          <w:marBottom w:val="0"/>
          <w:divBdr>
            <w:top w:val="none" w:sz="0" w:space="0" w:color="auto"/>
            <w:left w:val="none" w:sz="0" w:space="0" w:color="auto"/>
            <w:bottom w:val="none" w:sz="0" w:space="0" w:color="auto"/>
            <w:right w:val="none" w:sz="0" w:space="0" w:color="auto"/>
          </w:divBdr>
        </w:div>
        <w:div w:id="6107170">
          <w:marLeft w:val="0"/>
          <w:marRight w:val="0"/>
          <w:marTop w:val="0"/>
          <w:marBottom w:val="0"/>
          <w:divBdr>
            <w:top w:val="none" w:sz="0" w:space="0" w:color="auto"/>
            <w:left w:val="none" w:sz="0" w:space="0" w:color="auto"/>
            <w:bottom w:val="none" w:sz="0" w:space="0" w:color="auto"/>
            <w:right w:val="none" w:sz="0" w:space="0" w:color="auto"/>
          </w:divBdr>
        </w:div>
        <w:div w:id="669722589">
          <w:marLeft w:val="0"/>
          <w:marRight w:val="0"/>
          <w:marTop w:val="0"/>
          <w:marBottom w:val="0"/>
          <w:divBdr>
            <w:top w:val="none" w:sz="0" w:space="0" w:color="auto"/>
            <w:left w:val="none" w:sz="0" w:space="0" w:color="auto"/>
            <w:bottom w:val="none" w:sz="0" w:space="0" w:color="auto"/>
            <w:right w:val="none" w:sz="0" w:space="0" w:color="auto"/>
          </w:divBdr>
        </w:div>
        <w:div w:id="1375076978">
          <w:marLeft w:val="0"/>
          <w:marRight w:val="0"/>
          <w:marTop w:val="0"/>
          <w:marBottom w:val="0"/>
          <w:divBdr>
            <w:top w:val="none" w:sz="0" w:space="0" w:color="auto"/>
            <w:left w:val="none" w:sz="0" w:space="0" w:color="auto"/>
            <w:bottom w:val="none" w:sz="0" w:space="0" w:color="auto"/>
            <w:right w:val="none" w:sz="0" w:space="0" w:color="auto"/>
          </w:divBdr>
        </w:div>
        <w:div w:id="1435055617">
          <w:marLeft w:val="0"/>
          <w:marRight w:val="0"/>
          <w:marTop w:val="0"/>
          <w:marBottom w:val="0"/>
          <w:divBdr>
            <w:top w:val="none" w:sz="0" w:space="0" w:color="auto"/>
            <w:left w:val="none" w:sz="0" w:space="0" w:color="auto"/>
            <w:bottom w:val="none" w:sz="0" w:space="0" w:color="auto"/>
            <w:right w:val="none" w:sz="0" w:space="0" w:color="auto"/>
          </w:divBdr>
        </w:div>
        <w:div w:id="1593006789">
          <w:marLeft w:val="0"/>
          <w:marRight w:val="0"/>
          <w:marTop w:val="0"/>
          <w:marBottom w:val="0"/>
          <w:divBdr>
            <w:top w:val="none" w:sz="0" w:space="0" w:color="auto"/>
            <w:left w:val="none" w:sz="0" w:space="0" w:color="auto"/>
            <w:bottom w:val="none" w:sz="0" w:space="0" w:color="auto"/>
            <w:right w:val="none" w:sz="0" w:space="0" w:color="auto"/>
          </w:divBdr>
        </w:div>
        <w:div w:id="1384056402">
          <w:marLeft w:val="0"/>
          <w:marRight w:val="0"/>
          <w:marTop w:val="0"/>
          <w:marBottom w:val="0"/>
          <w:divBdr>
            <w:top w:val="none" w:sz="0" w:space="0" w:color="auto"/>
            <w:left w:val="none" w:sz="0" w:space="0" w:color="auto"/>
            <w:bottom w:val="none" w:sz="0" w:space="0" w:color="auto"/>
            <w:right w:val="none" w:sz="0" w:space="0" w:color="auto"/>
          </w:divBdr>
        </w:div>
        <w:div w:id="227886770">
          <w:marLeft w:val="0"/>
          <w:marRight w:val="0"/>
          <w:marTop w:val="0"/>
          <w:marBottom w:val="0"/>
          <w:divBdr>
            <w:top w:val="none" w:sz="0" w:space="0" w:color="auto"/>
            <w:left w:val="none" w:sz="0" w:space="0" w:color="auto"/>
            <w:bottom w:val="none" w:sz="0" w:space="0" w:color="auto"/>
            <w:right w:val="none" w:sz="0" w:space="0" w:color="auto"/>
          </w:divBdr>
        </w:div>
        <w:div w:id="936327598">
          <w:marLeft w:val="0"/>
          <w:marRight w:val="0"/>
          <w:marTop w:val="0"/>
          <w:marBottom w:val="0"/>
          <w:divBdr>
            <w:top w:val="none" w:sz="0" w:space="0" w:color="auto"/>
            <w:left w:val="none" w:sz="0" w:space="0" w:color="auto"/>
            <w:bottom w:val="none" w:sz="0" w:space="0" w:color="auto"/>
            <w:right w:val="none" w:sz="0" w:space="0" w:color="auto"/>
          </w:divBdr>
        </w:div>
        <w:div w:id="1334071156">
          <w:marLeft w:val="0"/>
          <w:marRight w:val="0"/>
          <w:marTop w:val="0"/>
          <w:marBottom w:val="0"/>
          <w:divBdr>
            <w:top w:val="none" w:sz="0" w:space="0" w:color="auto"/>
            <w:left w:val="none" w:sz="0" w:space="0" w:color="auto"/>
            <w:bottom w:val="none" w:sz="0" w:space="0" w:color="auto"/>
            <w:right w:val="none" w:sz="0" w:space="0" w:color="auto"/>
          </w:divBdr>
        </w:div>
        <w:div w:id="846822398">
          <w:marLeft w:val="0"/>
          <w:marRight w:val="0"/>
          <w:marTop w:val="0"/>
          <w:marBottom w:val="0"/>
          <w:divBdr>
            <w:top w:val="none" w:sz="0" w:space="0" w:color="auto"/>
            <w:left w:val="none" w:sz="0" w:space="0" w:color="auto"/>
            <w:bottom w:val="none" w:sz="0" w:space="0" w:color="auto"/>
            <w:right w:val="none" w:sz="0" w:space="0" w:color="auto"/>
          </w:divBdr>
        </w:div>
        <w:div w:id="1877310577">
          <w:marLeft w:val="0"/>
          <w:marRight w:val="0"/>
          <w:marTop w:val="0"/>
          <w:marBottom w:val="0"/>
          <w:divBdr>
            <w:top w:val="none" w:sz="0" w:space="0" w:color="auto"/>
            <w:left w:val="none" w:sz="0" w:space="0" w:color="auto"/>
            <w:bottom w:val="none" w:sz="0" w:space="0" w:color="auto"/>
            <w:right w:val="none" w:sz="0" w:space="0" w:color="auto"/>
          </w:divBdr>
        </w:div>
        <w:div w:id="717171965">
          <w:marLeft w:val="0"/>
          <w:marRight w:val="0"/>
          <w:marTop w:val="0"/>
          <w:marBottom w:val="0"/>
          <w:divBdr>
            <w:top w:val="none" w:sz="0" w:space="0" w:color="auto"/>
            <w:left w:val="none" w:sz="0" w:space="0" w:color="auto"/>
            <w:bottom w:val="none" w:sz="0" w:space="0" w:color="auto"/>
            <w:right w:val="none" w:sz="0" w:space="0" w:color="auto"/>
          </w:divBdr>
        </w:div>
        <w:div w:id="2030715507">
          <w:marLeft w:val="0"/>
          <w:marRight w:val="0"/>
          <w:marTop w:val="0"/>
          <w:marBottom w:val="0"/>
          <w:divBdr>
            <w:top w:val="none" w:sz="0" w:space="0" w:color="auto"/>
            <w:left w:val="none" w:sz="0" w:space="0" w:color="auto"/>
            <w:bottom w:val="none" w:sz="0" w:space="0" w:color="auto"/>
            <w:right w:val="none" w:sz="0" w:space="0" w:color="auto"/>
          </w:divBdr>
        </w:div>
        <w:div w:id="1370450304">
          <w:marLeft w:val="0"/>
          <w:marRight w:val="0"/>
          <w:marTop w:val="0"/>
          <w:marBottom w:val="0"/>
          <w:divBdr>
            <w:top w:val="none" w:sz="0" w:space="0" w:color="auto"/>
            <w:left w:val="none" w:sz="0" w:space="0" w:color="auto"/>
            <w:bottom w:val="none" w:sz="0" w:space="0" w:color="auto"/>
            <w:right w:val="none" w:sz="0" w:space="0" w:color="auto"/>
          </w:divBdr>
        </w:div>
        <w:div w:id="1742604094">
          <w:marLeft w:val="0"/>
          <w:marRight w:val="0"/>
          <w:marTop w:val="0"/>
          <w:marBottom w:val="0"/>
          <w:divBdr>
            <w:top w:val="none" w:sz="0" w:space="0" w:color="auto"/>
            <w:left w:val="none" w:sz="0" w:space="0" w:color="auto"/>
            <w:bottom w:val="none" w:sz="0" w:space="0" w:color="auto"/>
            <w:right w:val="none" w:sz="0" w:space="0" w:color="auto"/>
          </w:divBdr>
        </w:div>
        <w:div w:id="1770851216">
          <w:marLeft w:val="0"/>
          <w:marRight w:val="0"/>
          <w:marTop w:val="0"/>
          <w:marBottom w:val="0"/>
          <w:divBdr>
            <w:top w:val="none" w:sz="0" w:space="0" w:color="auto"/>
            <w:left w:val="none" w:sz="0" w:space="0" w:color="auto"/>
            <w:bottom w:val="none" w:sz="0" w:space="0" w:color="auto"/>
            <w:right w:val="none" w:sz="0" w:space="0" w:color="auto"/>
          </w:divBdr>
        </w:div>
        <w:div w:id="488136420">
          <w:marLeft w:val="0"/>
          <w:marRight w:val="0"/>
          <w:marTop w:val="0"/>
          <w:marBottom w:val="0"/>
          <w:divBdr>
            <w:top w:val="none" w:sz="0" w:space="0" w:color="auto"/>
            <w:left w:val="none" w:sz="0" w:space="0" w:color="auto"/>
            <w:bottom w:val="none" w:sz="0" w:space="0" w:color="auto"/>
            <w:right w:val="none" w:sz="0" w:space="0" w:color="auto"/>
          </w:divBdr>
        </w:div>
        <w:div w:id="1779637328">
          <w:marLeft w:val="0"/>
          <w:marRight w:val="0"/>
          <w:marTop w:val="0"/>
          <w:marBottom w:val="0"/>
          <w:divBdr>
            <w:top w:val="none" w:sz="0" w:space="0" w:color="auto"/>
            <w:left w:val="none" w:sz="0" w:space="0" w:color="auto"/>
            <w:bottom w:val="none" w:sz="0" w:space="0" w:color="auto"/>
            <w:right w:val="none" w:sz="0" w:space="0" w:color="auto"/>
          </w:divBdr>
        </w:div>
        <w:div w:id="690229835">
          <w:marLeft w:val="0"/>
          <w:marRight w:val="0"/>
          <w:marTop w:val="0"/>
          <w:marBottom w:val="0"/>
          <w:divBdr>
            <w:top w:val="none" w:sz="0" w:space="0" w:color="auto"/>
            <w:left w:val="none" w:sz="0" w:space="0" w:color="auto"/>
            <w:bottom w:val="none" w:sz="0" w:space="0" w:color="auto"/>
            <w:right w:val="none" w:sz="0" w:space="0" w:color="auto"/>
          </w:divBdr>
        </w:div>
        <w:div w:id="1217011402">
          <w:marLeft w:val="0"/>
          <w:marRight w:val="0"/>
          <w:marTop w:val="0"/>
          <w:marBottom w:val="0"/>
          <w:divBdr>
            <w:top w:val="none" w:sz="0" w:space="0" w:color="auto"/>
            <w:left w:val="none" w:sz="0" w:space="0" w:color="auto"/>
            <w:bottom w:val="none" w:sz="0" w:space="0" w:color="auto"/>
            <w:right w:val="none" w:sz="0" w:space="0" w:color="auto"/>
          </w:divBdr>
        </w:div>
        <w:div w:id="605312566">
          <w:marLeft w:val="0"/>
          <w:marRight w:val="0"/>
          <w:marTop w:val="0"/>
          <w:marBottom w:val="0"/>
          <w:divBdr>
            <w:top w:val="none" w:sz="0" w:space="0" w:color="auto"/>
            <w:left w:val="none" w:sz="0" w:space="0" w:color="auto"/>
            <w:bottom w:val="none" w:sz="0" w:space="0" w:color="auto"/>
            <w:right w:val="none" w:sz="0" w:space="0" w:color="auto"/>
          </w:divBdr>
        </w:div>
        <w:div w:id="2061859373">
          <w:marLeft w:val="0"/>
          <w:marRight w:val="0"/>
          <w:marTop w:val="0"/>
          <w:marBottom w:val="0"/>
          <w:divBdr>
            <w:top w:val="none" w:sz="0" w:space="0" w:color="auto"/>
            <w:left w:val="none" w:sz="0" w:space="0" w:color="auto"/>
            <w:bottom w:val="none" w:sz="0" w:space="0" w:color="auto"/>
            <w:right w:val="none" w:sz="0" w:space="0" w:color="auto"/>
          </w:divBdr>
        </w:div>
        <w:div w:id="1298025546">
          <w:marLeft w:val="0"/>
          <w:marRight w:val="0"/>
          <w:marTop w:val="0"/>
          <w:marBottom w:val="0"/>
          <w:divBdr>
            <w:top w:val="none" w:sz="0" w:space="0" w:color="auto"/>
            <w:left w:val="none" w:sz="0" w:space="0" w:color="auto"/>
            <w:bottom w:val="none" w:sz="0" w:space="0" w:color="auto"/>
            <w:right w:val="none" w:sz="0" w:space="0" w:color="auto"/>
          </w:divBdr>
        </w:div>
        <w:div w:id="1355157381">
          <w:marLeft w:val="0"/>
          <w:marRight w:val="0"/>
          <w:marTop w:val="0"/>
          <w:marBottom w:val="0"/>
          <w:divBdr>
            <w:top w:val="none" w:sz="0" w:space="0" w:color="auto"/>
            <w:left w:val="none" w:sz="0" w:space="0" w:color="auto"/>
            <w:bottom w:val="none" w:sz="0" w:space="0" w:color="auto"/>
            <w:right w:val="none" w:sz="0" w:space="0" w:color="auto"/>
          </w:divBdr>
        </w:div>
        <w:div w:id="1858351170">
          <w:marLeft w:val="0"/>
          <w:marRight w:val="0"/>
          <w:marTop w:val="0"/>
          <w:marBottom w:val="0"/>
          <w:divBdr>
            <w:top w:val="none" w:sz="0" w:space="0" w:color="auto"/>
            <w:left w:val="none" w:sz="0" w:space="0" w:color="auto"/>
            <w:bottom w:val="none" w:sz="0" w:space="0" w:color="auto"/>
            <w:right w:val="none" w:sz="0" w:space="0" w:color="auto"/>
          </w:divBdr>
        </w:div>
        <w:div w:id="1717267344">
          <w:marLeft w:val="0"/>
          <w:marRight w:val="0"/>
          <w:marTop w:val="0"/>
          <w:marBottom w:val="0"/>
          <w:divBdr>
            <w:top w:val="none" w:sz="0" w:space="0" w:color="auto"/>
            <w:left w:val="none" w:sz="0" w:space="0" w:color="auto"/>
            <w:bottom w:val="none" w:sz="0" w:space="0" w:color="auto"/>
            <w:right w:val="none" w:sz="0" w:space="0" w:color="auto"/>
          </w:divBdr>
        </w:div>
        <w:div w:id="663976231">
          <w:marLeft w:val="0"/>
          <w:marRight w:val="0"/>
          <w:marTop w:val="0"/>
          <w:marBottom w:val="0"/>
          <w:divBdr>
            <w:top w:val="none" w:sz="0" w:space="0" w:color="auto"/>
            <w:left w:val="none" w:sz="0" w:space="0" w:color="auto"/>
            <w:bottom w:val="none" w:sz="0" w:space="0" w:color="auto"/>
            <w:right w:val="none" w:sz="0" w:space="0" w:color="auto"/>
          </w:divBdr>
        </w:div>
        <w:div w:id="2117367133">
          <w:marLeft w:val="0"/>
          <w:marRight w:val="0"/>
          <w:marTop w:val="0"/>
          <w:marBottom w:val="0"/>
          <w:divBdr>
            <w:top w:val="none" w:sz="0" w:space="0" w:color="auto"/>
            <w:left w:val="none" w:sz="0" w:space="0" w:color="auto"/>
            <w:bottom w:val="none" w:sz="0" w:space="0" w:color="auto"/>
            <w:right w:val="none" w:sz="0" w:space="0" w:color="auto"/>
          </w:divBdr>
        </w:div>
        <w:div w:id="219752001">
          <w:marLeft w:val="0"/>
          <w:marRight w:val="0"/>
          <w:marTop w:val="0"/>
          <w:marBottom w:val="0"/>
          <w:divBdr>
            <w:top w:val="none" w:sz="0" w:space="0" w:color="auto"/>
            <w:left w:val="none" w:sz="0" w:space="0" w:color="auto"/>
            <w:bottom w:val="none" w:sz="0" w:space="0" w:color="auto"/>
            <w:right w:val="none" w:sz="0" w:space="0" w:color="auto"/>
          </w:divBdr>
        </w:div>
        <w:div w:id="331028972">
          <w:marLeft w:val="0"/>
          <w:marRight w:val="0"/>
          <w:marTop w:val="0"/>
          <w:marBottom w:val="0"/>
          <w:divBdr>
            <w:top w:val="none" w:sz="0" w:space="0" w:color="auto"/>
            <w:left w:val="none" w:sz="0" w:space="0" w:color="auto"/>
            <w:bottom w:val="none" w:sz="0" w:space="0" w:color="auto"/>
            <w:right w:val="none" w:sz="0" w:space="0" w:color="auto"/>
          </w:divBdr>
        </w:div>
        <w:div w:id="282880717">
          <w:marLeft w:val="0"/>
          <w:marRight w:val="0"/>
          <w:marTop w:val="0"/>
          <w:marBottom w:val="0"/>
          <w:divBdr>
            <w:top w:val="none" w:sz="0" w:space="0" w:color="auto"/>
            <w:left w:val="none" w:sz="0" w:space="0" w:color="auto"/>
            <w:bottom w:val="none" w:sz="0" w:space="0" w:color="auto"/>
            <w:right w:val="none" w:sz="0" w:space="0" w:color="auto"/>
          </w:divBdr>
        </w:div>
        <w:div w:id="1452432748">
          <w:marLeft w:val="0"/>
          <w:marRight w:val="0"/>
          <w:marTop w:val="0"/>
          <w:marBottom w:val="0"/>
          <w:divBdr>
            <w:top w:val="none" w:sz="0" w:space="0" w:color="auto"/>
            <w:left w:val="none" w:sz="0" w:space="0" w:color="auto"/>
            <w:bottom w:val="none" w:sz="0" w:space="0" w:color="auto"/>
            <w:right w:val="none" w:sz="0" w:space="0" w:color="auto"/>
          </w:divBdr>
        </w:div>
        <w:div w:id="536890086">
          <w:marLeft w:val="0"/>
          <w:marRight w:val="0"/>
          <w:marTop w:val="0"/>
          <w:marBottom w:val="0"/>
          <w:divBdr>
            <w:top w:val="none" w:sz="0" w:space="0" w:color="auto"/>
            <w:left w:val="none" w:sz="0" w:space="0" w:color="auto"/>
            <w:bottom w:val="none" w:sz="0" w:space="0" w:color="auto"/>
            <w:right w:val="none" w:sz="0" w:space="0" w:color="auto"/>
          </w:divBdr>
        </w:div>
        <w:div w:id="72777087">
          <w:marLeft w:val="0"/>
          <w:marRight w:val="0"/>
          <w:marTop w:val="0"/>
          <w:marBottom w:val="0"/>
          <w:divBdr>
            <w:top w:val="none" w:sz="0" w:space="0" w:color="auto"/>
            <w:left w:val="none" w:sz="0" w:space="0" w:color="auto"/>
            <w:bottom w:val="none" w:sz="0" w:space="0" w:color="auto"/>
            <w:right w:val="none" w:sz="0" w:space="0" w:color="auto"/>
          </w:divBdr>
        </w:div>
        <w:div w:id="784075993">
          <w:marLeft w:val="0"/>
          <w:marRight w:val="0"/>
          <w:marTop w:val="0"/>
          <w:marBottom w:val="0"/>
          <w:divBdr>
            <w:top w:val="none" w:sz="0" w:space="0" w:color="auto"/>
            <w:left w:val="none" w:sz="0" w:space="0" w:color="auto"/>
            <w:bottom w:val="none" w:sz="0" w:space="0" w:color="auto"/>
            <w:right w:val="none" w:sz="0" w:space="0" w:color="auto"/>
          </w:divBdr>
        </w:div>
        <w:div w:id="1652324935">
          <w:marLeft w:val="0"/>
          <w:marRight w:val="0"/>
          <w:marTop w:val="0"/>
          <w:marBottom w:val="0"/>
          <w:divBdr>
            <w:top w:val="none" w:sz="0" w:space="0" w:color="auto"/>
            <w:left w:val="none" w:sz="0" w:space="0" w:color="auto"/>
            <w:bottom w:val="none" w:sz="0" w:space="0" w:color="auto"/>
            <w:right w:val="none" w:sz="0" w:space="0" w:color="auto"/>
          </w:divBdr>
        </w:div>
        <w:div w:id="759911443">
          <w:marLeft w:val="0"/>
          <w:marRight w:val="0"/>
          <w:marTop w:val="0"/>
          <w:marBottom w:val="0"/>
          <w:divBdr>
            <w:top w:val="none" w:sz="0" w:space="0" w:color="auto"/>
            <w:left w:val="none" w:sz="0" w:space="0" w:color="auto"/>
            <w:bottom w:val="none" w:sz="0" w:space="0" w:color="auto"/>
            <w:right w:val="none" w:sz="0" w:space="0" w:color="auto"/>
          </w:divBdr>
        </w:div>
        <w:div w:id="25448245">
          <w:marLeft w:val="0"/>
          <w:marRight w:val="0"/>
          <w:marTop w:val="0"/>
          <w:marBottom w:val="0"/>
          <w:divBdr>
            <w:top w:val="none" w:sz="0" w:space="0" w:color="auto"/>
            <w:left w:val="none" w:sz="0" w:space="0" w:color="auto"/>
            <w:bottom w:val="none" w:sz="0" w:space="0" w:color="auto"/>
            <w:right w:val="none" w:sz="0" w:space="0" w:color="auto"/>
          </w:divBdr>
        </w:div>
        <w:div w:id="1105349821">
          <w:marLeft w:val="0"/>
          <w:marRight w:val="0"/>
          <w:marTop w:val="0"/>
          <w:marBottom w:val="0"/>
          <w:divBdr>
            <w:top w:val="none" w:sz="0" w:space="0" w:color="auto"/>
            <w:left w:val="none" w:sz="0" w:space="0" w:color="auto"/>
            <w:bottom w:val="none" w:sz="0" w:space="0" w:color="auto"/>
            <w:right w:val="none" w:sz="0" w:space="0" w:color="auto"/>
          </w:divBdr>
        </w:div>
        <w:div w:id="272247535">
          <w:marLeft w:val="0"/>
          <w:marRight w:val="0"/>
          <w:marTop w:val="0"/>
          <w:marBottom w:val="0"/>
          <w:divBdr>
            <w:top w:val="none" w:sz="0" w:space="0" w:color="auto"/>
            <w:left w:val="none" w:sz="0" w:space="0" w:color="auto"/>
            <w:bottom w:val="none" w:sz="0" w:space="0" w:color="auto"/>
            <w:right w:val="none" w:sz="0" w:space="0" w:color="auto"/>
          </w:divBdr>
        </w:div>
        <w:div w:id="921646157">
          <w:marLeft w:val="0"/>
          <w:marRight w:val="0"/>
          <w:marTop w:val="0"/>
          <w:marBottom w:val="0"/>
          <w:divBdr>
            <w:top w:val="none" w:sz="0" w:space="0" w:color="auto"/>
            <w:left w:val="none" w:sz="0" w:space="0" w:color="auto"/>
            <w:bottom w:val="none" w:sz="0" w:space="0" w:color="auto"/>
            <w:right w:val="none" w:sz="0" w:space="0" w:color="auto"/>
          </w:divBdr>
        </w:div>
        <w:div w:id="229199252">
          <w:marLeft w:val="0"/>
          <w:marRight w:val="0"/>
          <w:marTop w:val="0"/>
          <w:marBottom w:val="0"/>
          <w:divBdr>
            <w:top w:val="none" w:sz="0" w:space="0" w:color="auto"/>
            <w:left w:val="none" w:sz="0" w:space="0" w:color="auto"/>
            <w:bottom w:val="none" w:sz="0" w:space="0" w:color="auto"/>
            <w:right w:val="none" w:sz="0" w:space="0" w:color="auto"/>
          </w:divBdr>
        </w:div>
        <w:div w:id="1033921772">
          <w:marLeft w:val="0"/>
          <w:marRight w:val="0"/>
          <w:marTop w:val="0"/>
          <w:marBottom w:val="0"/>
          <w:divBdr>
            <w:top w:val="none" w:sz="0" w:space="0" w:color="auto"/>
            <w:left w:val="none" w:sz="0" w:space="0" w:color="auto"/>
            <w:bottom w:val="none" w:sz="0" w:space="0" w:color="auto"/>
            <w:right w:val="none" w:sz="0" w:space="0" w:color="auto"/>
          </w:divBdr>
        </w:div>
        <w:div w:id="1521580122">
          <w:marLeft w:val="0"/>
          <w:marRight w:val="0"/>
          <w:marTop w:val="0"/>
          <w:marBottom w:val="0"/>
          <w:divBdr>
            <w:top w:val="none" w:sz="0" w:space="0" w:color="auto"/>
            <w:left w:val="none" w:sz="0" w:space="0" w:color="auto"/>
            <w:bottom w:val="none" w:sz="0" w:space="0" w:color="auto"/>
            <w:right w:val="none" w:sz="0" w:space="0" w:color="auto"/>
          </w:divBdr>
        </w:div>
        <w:div w:id="1222475096">
          <w:marLeft w:val="0"/>
          <w:marRight w:val="0"/>
          <w:marTop w:val="0"/>
          <w:marBottom w:val="0"/>
          <w:divBdr>
            <w:top w:val="none" w:sz="0" w:space="0" w:color="auto"/>
            <w:left w:val="none" w:sz="0" w:space="0" w:color="auto"/>
            <w:bottom w:val="none" w:sz="0" w:space="0" w:color="auto"/>
            <w:right w:val="none" w:sz="0" w:space="0" w:color="auto"/>
          </w:divBdr>
        </w:div>
        <w:div w:id="1003439112">
          <w:marLeft w:val="0"/>
          <w:marRight w:val="0"/>
          <w:marTop w:val="0"/>
          <w:marBottom w:val="0"/>
          <w:divBdr>
            <w:top w:val="none" w:sz="0" w:space="0" w:color="auto"/>
            <w:left w:val="none" w:sz="0" w:space="0" w:color="auto"/>
            <w:bottom w:val="none" w:sz="0" w:space="0" w:color="auto"/>
            <w:right w:val="none" w:sz="0" w:space="0" w:color="auto"/>
          </w:divBdr>
        </w:div>
        <w:div w:id="2005550268">
          <w:marLeft w:val="0"/>
          <w:marRight w:val="0"/>
          <w:marTop w:val="0"/>
          <w:marBottom w:val="0"/>
          <w:divBdr>
            <w:top w:val="none" w:sz="0" w:space="0" w:color="auto"/>
            <w:left w:val="none" w:sz="0" w:space="0" w:color="auto"/>
            <w:bottom w:val="none" w:sz="0" w:space="0" w:color="auto"/>
            <w:right w:val="none" w:sz="0" w:space="0" w:color="auto"/>
          </w:divBdr>
        </w:div>
        <w:div w:id="1949123806">
          <w:marLeft w:val="0"/>
          <w:marRight w:val="0"/>
          <w:marTop w:val="0"/>
          <w:marBottom w:val="0"/>
          <w:divBdr>
            <w:top w:val="none" w:sz="0" w:space="0" w:color="auto"/>
            <w:left w:val="none" w:sz="0" w:space="0" w:color="auto"/>
            <w:bottom w:val="none" w:sz="0" w:space="0" w:color="auto"/>
            <w:right w:val="none" w:sz="0" w:space="0" w:color="auto"/>
          </w:divBdr>
        </w:div>
        <w:div w:id="217783565">
          <w:marLeft w:val="0"/>
          <w:marRight w:val="0"/>
          <w:marTop w:val="0"/>
          <w:marBottom w:val="0"/>
          <w:divBdr>
            <w:top w:val="none" w:sz="0" w:space="0" w:color="auto"/>
            <w:left w:val="none" w:sz="0" w:space="0" w:color="auto"/>
            <w:bottom w:val="none" w:sz="0" w:space="0" w:color="auto"/>
            <w:right w:val="none" w:sz="0" w:space="0" w:color="auto"/>
          </w:divBdr>
        </w:div>
        <w:div w:id="496727480">
          <w:marLeft w:val="0"/>
          <w:marRight w:val="0"/>
          <w:marTop w:val="0"/>
          <w:marBottom w:val="0"/>
          <w:divBdr>
            <w:top w:val="none" w:sz="0" w:space="0" w:color="auto"/>
            <w:left w:val="none" w:sz="0" w:space="0" w:color="auto"/>
            <w:bottom w:val="none" w:sz="0" w:space="0" w:color="auto"/>
            <w:right w:val="none" w:sz="0" w:space="0" w:color="auto"/>
          </w:divBdr>
        </w:div>
        <w:div w:id="1298997202">
          <w:marLeft w:val="0"/>
          <w:marRight w:val="0"/>
          <w:marTop w:val="0"/>
          <w:marBottom w:val="0"/>
          <w:divBdr>
            <w:top w:val="none" w:sz="0" w:space="0" w:color="auto"/>
            <w:left w:val="none" w:sz="0" w:space="0" w:color="auto"/>
            <w:bottom w:val="none" w:sz="0" w:space="0" w:color="auto"/>
            <w:right w:val="none" w:sz="0" w:space="0" w:color="auto"/>
          </w:divBdr>
        </w:div>
        <w:div w:id="667245390">
          <w:marLeft w:val="0"/>
          <w:marRight w:val="0"/>
          <w:marTop w:val="0"/>
          <w:marBottom w:val="0"/>
          <w:divBdr>
            <w:top w:val="none" w:sz="0" w:space="0" w:color="auto"/>
            <w:left w:val="none" w:sz="0" w:space="0" w:color="auto"/>
            <w:bottom w:val="none" w:sz="0" w:space="0" w:color="auto"/>
            <w:right w:val="none" w:sz="0" w:space="0" w:color="auto"/>
          </w:divBdr>
        </w:div>
        <w:div w:id="1681156079">
          <w:marLeft w:val="0"/>
          <w:marRight w:val="0"/>
          <w:marTop w:val="0"/>
          <w:marBottom w:val="0"/>
          <w:divBdr>
            <w:top w:val="none" w:sz="0" w:space="0" w:color="auto"/>
            <w:left w:val="none" w:sz="0" w:space="0" w:color="auto"/>
            <w:bottom w:val="none" w:sz="0" w:space="0" w:color="auto"/>
            <w:right w:val="none" w:sz="0" w:space="0" w:color="auto"/>
          </w:divBdr>
        </w:div>
        <w:div w:id="1372150471">
          <w:marLeft w:val="0"/>
          <w:marRight w:val="0"/>
          <w:marTop w:val="0"/>
          <w:marBottom w:val="0"/>
          <w:divBdr>
            <w:top w:val="none" w:sz="0" w:space="0" w:color="auto"/>
            <w:left w:val="none" w:sz="0" w:space="0" w:color="auto"/>
            <w:bottom w:val="none" w:sz="0" w:space="0" w:color="auto"/>
            <w:right w:val="none" w:sz="0" w:space="0" w:color="auto"/>
          </w:divBdr>
        </w:div>
        <w:div w:id="370351681">
          <w:marLeft w:val="0"/>
          <w:marRight w:val="0"/>
          <w:marTop w:val="0"/>
          <w:marBottom w:val="0"/>
          <w:divBdr>
            <w:top w:val="none" w:sz="0" w:space="0" w:color="auto"/>
            <w:left w:val="none" w:sz="0" w:space="0" w:color="auto"/>
            <w:bottom w:val="none" w:sz="0" w:space="0" w:color="auto"/>
            <w:right w:val="none" w:sz="0" w:space="0" w:color="auto"/>
          </w:divBdr>
        </w:div>
        <w:div w:id="830365592">
          <w:marLeft w:val="0"/>
          <w:marRight w:val="0"/>
          <w:marTop w:val="0"/>
          <w:marBottom w:val="0"/>
          <w:divBdr>
            <w:top w:val="none" w:sz="0" w:space="0" w:color="auto"/>
            <w:left w:val="none" w:sz="0" w:space="0" w:color="auto"/>
            <w:bottom w:val="none" w:sz="0" w:space="0" w:color="auto"/>
            <w:right w:val="none" w:sz="0" w:space="0" w:color="auto"/>
          </w:divBdr>
        </w:div>
        <w:div w:id="2142796330">
          <w:marLeft w:val="0"/>
          <w:marRight w:val="0"/>
          <w:marTop w:val="0"/>
          <w:marBottom w:val="0"/>
          <w:divBdr>
            <w:top w:val="none" w:sz="0" w:space="0" w:color="auto"/>
            <w:left w:val="none" w:sz="0" w:space="0" w:color="auto"/>
            <w:bottom w:val="none" w:sz="0" w:space="0" w:color="auto"/>
            <w:right w:val="none" w:sz="0" w:space="0" w:color="auto"/>
          </w:divBdr>
        </w:div>
        <w:div w:id="1454210741">
          <w:marLeft w:val="0"/>
          <w:marRight w:val="0"/>
          <w:marTop w:val="0"/>
          <w:marBottom w:val="0"/>
          <w:divBdr>
            <w:top w:val="none" w:sz="0" w:space="0" w:color="auto"/>
            <w:left w:val="none" w:sz="0" w:space="0" w:color="auto"/>
            <w:bottom w:val="none" w:sz="0" w:space="0" w:color="auto"/>
            <w:right w:val="none" w:sz="0" w:space="0" w:color="auto"/>
          </w:divBdr>
        </w:div>
        <w:div w:id="444496540">
          <w:marLeft w:val="0"/>
          <w:marRight w:val="0"/>
          <w:marTop w:val="0"/>
          <w:marBottom w:val="0"/>
          <w:divBdr>
            <w:top w:val="none" w:sz="0" w:space="0" w:color="auto"/>
            <w:left w:val="none" w:sz="0" w:space="0" w:color="auto"/>
            <w:bottom w:val="none" w:sz="0" w:space="0" w:color="auto"/>
            <w:right w:val="none" w:sz="0" w:space="0" w:color="auto"/>
          </w:divBdr>
        </w:div>
        <w:div w:id="1665890337">
          <w:marLeft w:val="0"/>
          <w:marRight w:val="0"/>
          <w:marTop w:val="0"/>
          <w:marBottom w:val="0"/>
          <w:divBdr>
            <w:top w:val="none" w:sz="0" w:space="0" w:color="auto"/>
            <w:left w:val="none" w:sz="0" w:space="0" w:color="auto"/>
            <w:bottom w:val="none" w:sz="0" w:space="0" w:color="auto"/>
            <w:right w:val="none" w:sz="0" w:space="0" w:color="auto"/>
          </w:divBdr>
        </w:div>
        <w:div w:id="753090360">
          <w:marLeft w:val="0"/>
          <w:marRight w:val="0"/>
          <w:marTop w:val="0"/>
          <w:marBottom w:val="0"/>
          <w:divBdr>
            <w:top w:val="none" w:sz="0" w:space="0" w:color="auto"/>
            <w:left w:val="none" w:sz="0" w:space="0" w:color="auto"/>
            <w:bottom w:val="none" w:sz="0" w:space="0" w:color="auto"/>
            <w:right w:val="none" w:sz="0" w:space="0" w:color="auto"/>
          </w:divBdr>
        </w:div>
        <w:div w:id="1397819825">
          <w:marLeft w:val="0"/>
          <w:marRight w:val="0"/>
          <w:marTop w:val="0"/>
          <w:marBottom w:val="0"/>
          <w:divBdr>
            <w:top w:val="none" w:sz="0" w:space="0" w:color="auto"/>
            <w:left w:val="none" w:sz="0" w:space="0" w:color="auto"/>
            <w:bottom w:val="none" w:sz="0" w:space="0" w:color="auto"/>
            <w:right w:val="none" w:sz="0" w:space="0" w:color="auto"/>
          </w:divBdr>
        </w:div>
        <w:div w:id="1202596545">
          <w:marLeft w:val="0"/>
          <w:marRight w:val="0"/>
          <w:marTop w:val="0"/>
          <w:marBottom w:val="0"/>
          <w:divBdr>
            <w:top w:val="none" w:sz="0" w:space="0" w:color="auto"/>
            <w:left w:val="none" w:sz="0" w:space="0" w:color="auto"/>
            <w:bottom w:val="none" w:sz="0" w:space="0" w:color="auto"/>
            <w:right w:val="none" w:sz="0" w:space="0" w:color="auto"/>
          </w:divBdr>
        </w:div>
        <w:div w:id="922685217">
          <w:marLeft w:val="0"/>
          <w:marRight w:val="0"/>
          <w:marTop w:val="0"/>
          <w:marBottom w:val="0"/>
          <w:divBdr>
            <w:top w:val="none" w:sz="0" w:space="0" w:color="auto"/>
            <w:left w:val="none" w:sz="0" w:space="0" w:color="auto"/>
            <w:bottom w:val="none" w:sz="0" w:space="0" w:color="auto"/>
            <w:right w:val="none" w:sz="0" w:space="0" w:color="auto"/>
          </w:divBdr>
        </w:div>
        <w:div w:id="1618828459">
          <w:marLeft w:val="0"/>
          <w:marRight w:val="0"/>
          <w:marTop w:val="0"/>
          <w:marBottom w:val="0"/>
          <w:divBdr>
            <w:top w:val="none" w:sz="0" w:space="0" w:color="auto"/>
            <w:left w:val="none" w:sz="0" w:space="0" w:color="auto"/>
            <w:bottom w:val="none" w:sz="0" w:space="0" w:color="auto"/>
            <w:right w:val="none" w:sz="0" w:space="0" w:color="auto"/>
          </w:divBdr>
        </w:div>
        <w:div w:id="581916927">
          <w:marLeft w:val="0"/>
          <w:marRight w:val="0"/>
          <w:marTop w:val="0"/>
          <w:marBottom w:val="0"/>
          <w:divBdr>
            <w:top w:val="none" w:sz="0" w:space="0" w:color="auto"/>
            <w:left w:val="none" w:sz="0" w:space="0" w:color="auto"/>
            <w:bottom w:val="none" w:sz="0" w:space="0" w:color="auto"/>
            <w:right w:val="none" w:sz="0" w:space="0" w:color="auto"/>
          </w:divBdr>
        </w:div>
        <w:div w:id="1075473788">
          <w:marLeft w:val="0"/>
          <w:marRight w:val="0"/>
          <w:marTop w:val="0"/>
          <w:marBottom w:val="0"/>
          <w:divBdr>
            <w:top w:val="none" w:sz="0" w:space="0" w:color="auto"/>
            <w:left w:val="none" w:sz="0" w:space="0" w:color="auto"/>
            <w:bottom w:val="none" w:sz="0" w:space="0" w:color="auto"/>
            <w:right w:val="none" w:sz="0" w:space="0" w:color="auto"/>
          </w:divBdr>
        </w:div>
        <w:div w:id="1745183602">
          <w:marLeft w:val="0"/>
          <w:marRight w:val="0"/>
          <w:marTop w:val="0"/>
          <w:marBottom w:val="0"/>
          <w:divBdr>
            <w:top w:val="none" w:sz="0" w:space="0" w:color="auto"/>
            <w:left w:val="none" w:sz="0" w:space="0" w:color="auto"/>
            <w:bottom w:val="none" w:sz="0" w:space="0" w:color="auto"/>
            <w:right w:val="none" w:sz="0" w:space="0" w:color="auto"/>
          </w:divBdr>
        </w:div>
        <w:div w:id="728726088">
          <w:marLeft w:val="0"/>
          <w:marRight w:val="0"/>
          <w:marTop w:val="0"/>
          <w:marBottom w:val="0"/>
          <w:divBdr>
            <w:top w:val="none" w:sz="0" w:space="0" w:color="auto"/>
            <w:left w:val="none" w:sz="0" w:space="0" w:color="auto"/>
            <w:bottom w:val="none" w:sz="0" w:space="0" w:color="auto"/>
            <w:right w:val="none" w:sz="0" w:space="0" w:color="auto"/>
          </w:divBdr>
        </w:div>
        <w:div w:id="1428846842">
          <w:marLeft w:val="0"/>
          <w:marRight w:val="0"/>
          <w:marTop w:val="0"/>
          <w:marBottom w:val="0"/>
          <w:divBdr>
            <w:top w:val="none" w:sz="0" w:space="0" w:color="auto"/>
            <w:left w:val="none" w:sz="0" w:space="0" w:color="auto"/>
            <w:bottom w:val="none" w:sz="0" w:space="0" w:color="auto"/>
            <w:right w:val="none" w:sz="0" w:space="0" w:color="auto"/>
          </w:divBdr>
        </w:div>
        <w:div w:id="1085490018">
          <w:marLeft w:val="0"/>
          <w:marRight w:val="0"/>
          <w:marTop w:val="0"/>
          <w:marBottom w:val="0"/>
          <w:divBdr>
            <w:top w:val="none" w:sz="0" w:space="0" w:color="auto"/>
            <w:left w:val="none" w:sz="0" w:space="0" w:color="auto"/>
            <w:bottom w:val="none" w:sz="0" w:space="0" w:color="auto"/>
            <w:right w:val="none" w:sz="0" w:space="0" w:color="auto"/>
          </w:divBdr>
        </w:div>
        <w:div w:id="283195256">
          <w:marLeft w:val="0"/>
          <w:marRight w:val="0"/>
          <w:marTop w:val="0"/>
          <w:marBottom w:val="0"/>
          <w:divBdr>
            <w:top w:val="none" w:sz="0" w:space="0" w:color="auto"/>
            <w:left w:val="none" w:sz="0" w:space="0" w:color="auto"/>
            <w:bottom w:val="none" w:sz="0" w:space="0" w:color="auto"/>
            <w:right w:val="none" w:sz="0" w:space="0" w:color="auto"/>
          </w:divBdr>
        </w:div>
        <w:div w:id="2109694050">
          <w:marLeft w:val="0"/>
          <w:marRight w:val="0"/>
          <w:marTop w:val="0"/>
          <w:marBottom w:val="0"/>
          <w:divBdr>
            <w:top w:val="none" w:sz="0" w:space="0" w:color="auto"/>
            <w:left w:val="none" w:sz="0" w:space="0" w:color="auto"/>
            <w:bottom w:val="none" w:sz="0" w:space="0" w:color="auto"/>
            <w:right w:val="none" w:sz="0" w:space="0" w:color="auto"/>
          </w:divBdr>
        </w:div>
        <w:div w:id="854609884">
          <w:marLeft w:val="0"/>
          <w:marRight w:val="0"/>
          <w:marTop w:val="0"/>
          <w:marBottom w:val="0"/>
          <w:divBdr>
            <w:top w:val="none" w:sz="0" w:space="0" w:color="auto"/>
            <w:left w:val="none" w:sz="0" w:space="0" w:color="auto"/>
            <w:bottom w:val="none" w:sz="0" w:space="0" w:color="auto"/>
            <w:right w:val="none" w:sz="0" w:space="0" w:color="auto"/>
          </w:divBdr>
        </w:div>
        <w:div w:id="944847377">
          <w:marLeft w:val="0"/>
          <w:marRight w:val="0"/>
          <w:marTop w:val="0"/>
          <w:marBottom w:val="0"/>
          <w:divBdr>
            <w:top w:val="none" w:sz="0" w:space="0" w:color="auto"/>
            <w:left w:val="none" w:sz="0" w:space="0" w:color="auto"/>
            <w:bottom w:val="none" w:sz="0" w:space="0" w:color="auto"/>
            <w:right w:val="none" w:sz="0" w:space="0" w:color="auto"/>
          </w:divBdr>
        </w:div>
        <w:div w:id="697048431">
          <w:marLeft w:val="0"/>
          <w:marRight w:val="0"/>
          <w:marTop w:val="0"/>
          <w:marBottom w:val="0"/>
          <w:divBdr>
            <w:top w:val="none" w:sz="0" w:space="0" w:color="auto"/>
            <w:left w:val="none" w:sz="0" w:space="0" w:color="auto"/>
            <w:bottom w:val="none" w:sz="0" w:space="0" w:color="auto"/>
            <w:right w:val="none" w:sz="0" w:space="0" w:color="auto"/>
          </w:divBdr>
        </w:div>
        <w:div w:id="829833326">
          <w:marLeft w:val="0"/>
          <w:marRight w:val="0"/>
          <w:marTop w:val="0"/>
          <w:marBottom w:val="0"/>
          <w:divBdr>
            <w:top w:val="none" w:sz="0" w:space="0" w:color="auto"/>
            <w:left w:val="none" w:sz="0" w:space="0" w:color="auto"/>
            <w:bottom w:val="none" w:sz="0" w:space="0" w:color="auto"/>
            <w:right w:val="none" w:sz="0" w:space="0" w:color="auto"/>
          </w:divBdr>
        </w:div>
        <w:div w:id="1282230415">
          <w:marLeft w:val="0"/>
          <w:marRight w:val="0"/>
          <w:marTop w:val="0"/>
          <w:marBottom w:val="0"/>
          <w:divBdr>
            <w:top w:val="none" w:sz="0" w:space="0" w:color="auto"/>
            <w:left w:val="none" w:sz="0" w:space="0" w:color="auto"/>
            <w:bottom w:val="none" w:sz="0" w:space="0" w:color="auto"/>
            <w:right w:val="none" w:sz="0" w:space="0" w:color="auto"/>
          </w:divBdr>
        </w:div>
        <w:div w:id="895898400">
          <w:marLeft w:val="0"/>
          <w:marRight w:val="0"/>
          <w:marTop w:val="0"/>
          <w:marBottom w:val="0"/>
          <w:divBdr>
            <w:top w:val="none" w:sz="0" w:space="0" w:color="auto"/>
            <w:left w:val="none" w:sz="0" w:space="0" w:color="auto"/>
            <w:bottom w:val="none" w:sz="0" w:space="0" w:color="auto"/>
            <w:right w:val="none" w:sz="0" w:space="0" w:color="auto"/>
          </w:divBdr>
        </w:div>
        <w:div w:id="597296309">
          <w:marLeft w:val="0"/>
          <w:marRight w:val="0"/>
          <w:marTop w:val="0"/>
          <w:marBottom w:val="0"/>
          <w:divBdr>
            <w:top w:val="none" w:sz="0" w:space="0" w:color="auto"/>
            <w:left w:val="none" w:sz="0" w:space="0" w:color="auto"/>
            <w:bottom w:val="none" w:sz="0" w:space="0" w:color="auto"/>
            <w:right w:val="none" w:sz="0" w:space="0" w:color="auto"/>
          </w:divBdr>
        </w:div>
        <w:div w:id="443811659">
          <w:marLeft w:val="0"/>
          <w:marRight w:val="0"/>
          <w:marTop w:val="0"/>
          <w:marBottom w:val="0"/>
          <w:divBdr>
            <w:top w:val="none" w:sz="0" w:space="0" w:color="auto"/>
            <w:left w:val="none" w:sz="0" w:space="0" w:color="auto"/>
            <w:bottom w:val="none" w:sz="0" w:space="0" w:color="auto"/>
            <w:right w:val="none" w:sz="0" w:space="0" w:color="auto"/>
          </w:divBdr>
        </w:div>
        <w:div w:id="1642803784">
          <w:marLeft w:val="0"/>
          <w:marRight w:val="0"/>
          <w:marTop w:val="0"/>
          <w:marBottom w:val="0"/>
          <w:divBdr>
            <w:top w:val="none" w:sz="0" w:space="0" w:color="auto"/>
            <w:left w:val="none" w:sz="0" w:space="0" w:color="auto"/>
            <w:bottom w:val="none" w:sz="0" w:space="0" w:color="auto"/>
            <w:right w:val="none" w:sz="0" w:space="0" w:color="auto"/>
          </w:divBdr>
        </w:div>
        <w:div w:id="300699481">
          <w:marLeft w:val="0"/>
          <w:marRight w:val="0"/>
          <w:marTop w:val="0"/>
          <w:marBottom w:val="0"/>
          <w:divBdr>
            <w:top w:val="none" w:sz="0" w:space="0" w:color="auto"/>
            <w:left w:val="none" w:sz="0" w:space="0" w:color="auto"/>
            <w:bottom w:val="none" w:sz="0" w:space="0" w:color="auto"/>
            <w:right w:val="none" w:sz="0" w:space="0" w:color="auto"/>
          </w:divBdr>
        </w:div>
        <w:div w:id="402026117">
          <w:marLeft w:val="0"/>
          <w:marRight w:val="0"/>
          <w:marTop w:val="0"/>
          <w:marBottom w:val="0"/>
          <w:divBdr>
            <w:top w:val="none" w:sz="0" w:space="0" w:color="auto"/>
            <w:left w:val="none" w:sz="0" w:space="0" w:color="auto"/>
            <w:bottom w:val="none" w:sz="0" w:space="0" w:color="auto"/>
            <w:right w:val="none" w:sz="0" w:space="0" w:color="auto"/>
          </w:divBdr>
        </w:div>
        <w:div w:id="187960140">
          <w:marLeft w:val="0"/>
          <w:marRight w:val="0"/>
          <w:marTop w:val="0"/>
          <w:marBottom w:val="0"/>
          <w:divBdr>
            <w:top w:val="none" w:sz="0" w:space="0" w:color="auto"/>
            <w:left w:val="none" w:sz="0" w:space="0" w:color="auto"/>
            <w:bottom w:val="none" w:sz="0" w:space="0" w:color="auto"/>
            <w:right w:val="none" w:sz="0" w:space="0" w:color="auto"/>
          </w:divBdr>
        </w:div>
        <w:div w:id="2107072926">
          <w:marLeft w:val="0"/>
          <w:marRight w:val="0"/>
          <w:marTop w:val="0"/>
          <w:marBottom w:val="0"/>
          <w:divBdr>
            <w:top w:val="none" w:sz="0" w:space="0" w:color="auto"/>
            <w:left w:val="none" w:sz="0" w:space="0" w:color="auto"/>
            <w:bottom w:val="none" w:sz="0" w:space="0" w:color="auto"/>
            <w:right w:val="none" w:sz="0" w:space="0" w:color="auto"/>
          </w:divBdr>
        </w:div>
        <w:div w:id="298072830">
          <w:marLeft w:val="0"/>
          <w:marRight w:val="0"/>
          <w:marTop w:val="0"/>
          <w:marBottom w:val="0"/>
          <w:divBdr>
            <w:top w:val="none" w:sz="0" w:space="0" w:color="auto"/>
            <w:left w:val="none" w:sz="0" w:space="0" w:color="auto"/>
            <w:bottom w:val="none" w:sz="0" w:space="0" w:color="auto"/>
            <w:right w:val="none" w:sz="0" w:space="0" w:color="auto"/>
          </w:divBdr>
        </w:div>
        <w:div w:id="811026718">
          <w:marLeft w:val="0"/>
          <w:marRight w:val="0"/>
          <w:marTop w:val="0"/>
          <w:marBottom w:val="0"/>
          <w:divBdr>
            <w:top w:val="none" w:sz="0" w:space="0" w:color="auto"/>
            <w:left w:val="none" w:sz="0" w:space="0" w:color="auto"/>
            <w:bottom w:val="none" w:sz="0" w:space="0" w:color="auto"/>
            <w:right w:val="none" w:sz="0" w:space="0" w:color="auto"/>
          </w:divBdr>
        </w:div>
        <w:div w:id="655064954">
          <w:marLeft w:val="0"/>
          <w:marRight w:val="0"/>
          <w:marTop w:val="0"/>
          <w:marBottom w:val="0"/>
          <w:divBdr>
            <w:top w:val="none" w:sz="0" w:space="0" w:color="auto"/>
            <w:left w:val="none" w:sz="0" w:space="0" w:color="auto"/>
            <w:bottom w:val="none" w:sz="0" w:space="0" w:color="auto"/>
            <w:right w:val="none" w:sz="0" w:space="0" w:color="auto"/>
          </w:divBdr>
        </w:div>
        <w:div w:id="735205086">
          <w:marLeft w:val="0"/>
          <w:marRight w:val="0"/>
          <w:marTop w:val="0"/>
          <w:marBottom w:val="0"/>
          <w:divBdr>
            <w:top w:val="none" w:sz="0" w:space="0" w:color="auto"/>
            <w:left w:val="none" w:sz="0" w:space="0" w:color="auto"/>
            <w:bottom w:val="none" w:sz="0" w:space="0" w:color="auto"/>
            <w:right w:val="none" w:sz="0" w:space="0" w:color="auto"/>
          </w:divBdr>
        </w:div>
        <w:div w:id="564335807">
          <w:marLeft w:val="0"/>
          <w:marRight w:val="0"/>
          <w:marTop w:val="0"/>
          <w:marBottom w:val="0"/>
          <w:divBdr>
            <w:top w:val="none" w:sz="0" w:space="0" w:color="auto"/>
            <w:left w:val="none" w:sz="0" w:space="0" w:color="auto"/>
            <w:bottom w:val="none" w:sz="0" w:space="0" w:color="auto"/>
            <w:right w:val="none" w:sz="0" w:space="0" w:color="auto"/>
          </w:divBdr>
        </w:div>
        <w:div w:id="1791850280">
          <w:marLeft w:val="0"/>
          <w:marRight w:val="0"/>
          <w:marTop w:val="0"/>
          <w:marBottom w:val="0"/>
          <w:divBdr>
            <w:top w:val="none" w:sz="0" w:space="0" w:color="auto"/>
            <w:left w:val="none" w:sz="0" w:space="0" w:color="auto"/>
            <w:bottom w:val="none" w:sz="0" w:space="0" w:color="auto"/>
            <w:right w:val="none" w:sz="0" w:space="0" w:color="auto"/>
          </w:divBdr>
        </w:div>
        <w:div w:id="1935823165">
          <w:marLeft w:val="0"/>
          <w:marRight w:val="0"/>
          <w:marTop w:val="0"/>
          <w:marBottom w:val="0"/>
          <w:divBdr>
            <w:top w:val="none" w:sz="0" w:space="0" w:color="auto"/>
            <w:left w:val="none" w:sz="0" w:space="0" w:color="auto"/>
            <w:bottom w:val="none" w:sz="0" w:space="0" w:color="auto"/>
            <w:right w:val="none" w:sz="0" w:space="0" w:color="auto"/>
          </w:divBdr>
        </w:div>
        <w:div w:id="760568224">
          <w:marLeft w:val="0"/>
          <w:marRight w:val="0"/>
          <w:marTop w:val="0"/>
          <w:marBottom w:val="0"/>
          <w:divBdr>
            <w:top w:val="none" w:sz="0" w:space="0" w:color="auto"/>
            <w:left w:val="none" w:sz="0" w:space="0" w:color="auto"/>
            <w:bottom w:val="none" w:sz="0" w:space="0" w:color="auto"/>
            <w:right w:val="none" w:sz="0" w:space="0" w:color="auto"/>
          </w:divBdr>
        </w:div>
        <w:div w:id="1891529961">
          <w:marLeft w:val="0"/>
          <w:marRight w:val="0"/>
          <w:marTop w:val="0"/>
          <w:marBottom w:val="0"/>
          <w:divBdr>
            <w:top w:val="none" w:sz="0" w:space="0" w:color="auto"/>
            <w:left w:val="none" w:sz="0" w:space="0" w:color="auto"/>
            <w:bottom w:val="none" w:sz="0" w:space="0" w:color="auto"/>
            <w:right w:val="none" w:sz="0" w:space="0" w:color="auto"/>
          </w:divBdr>
        </w:div>
        <w:div w:id="1032540216">
          <w:marLeft w:val="0"/>
          <w:marRight w:val="0"/>
          <w:marTop w:val="0"/>
          <w:marBottom w:val="0"/>
          <w:divBdr>
            <w:top w:val="none" w:sz="0" w:space="0" w:color="auto"/>
            <w:left w:val="none" w:sz="0" w:space="0" w:color="auto"/>
            <w:bottom w:val="none" w:sz="0" w:space="0" w:color="auto"/>
            <w:right w:val="none" w:sz="0" w:space="0" w:color="auto"/>
          </w:divBdr>
        </w:div>
        <w:div w:id="629089978">
          <w:marLeft w:val="0"/>
          <w:marRight w:val="0"/>
          <w:marTop w:val="0"/>
          <w:marBottom w:val="0"/>
          <w:divBdr>
            <w:top w:val="none" w:sz="0" w:space="0" w:color="auto"/>
            <w:left w:val="none" w:sz="0" w:space="0" w:color="auto"/>
            <w:bottom w:val="none" w:sz="0" w:space="0" w:color="auto"/>
            <w:right w:val="none" w:sz="0" w:space="0" w:color="auto"/>
          </w:divBdr>
        </w:div>
        <w:div w:id="878778763">
          <w:marLeft w:val="0"/>
          <w:marRight w:val="0"/>
          <w:marTop w:val="0"/>
          <w:marBottom w:val="0"/>
          <w:divBdr>
            <w:top w:val="single" w:sz="6" w:space="9" w:color="EEEEEE"/>
            <w:left w:val="single" w:sz="6" w:space="9" w:color="EEEEEE"/>
            <w:bottom w:val="single" w:sz="6" w:space="9" w:color="EEEEEE"/>
            <w:right w:val="single" w:sz="6" w:space="9" w:color="EEEEEE"/>
          </w:divBdr>
        </w:div>
        <w:div w:id="20017148">
          <w:marLeft w:val="0"/>
          <w:marRight w:val="0"/>
          <w:marTop w:val="0"/>
          <w:marBottom w:val="0"/>
          <w:divBdr>
            <w:top w:val="none" w:sz="0" w:space="0" w:color="auto"/>
            <w:left w:val="none" w:sz="0" w:space="0" w:color="auto"/>
            <w:bottom w:val="none" w:sz="0" w:space="0" w:color="auto"/>
            <w:right w:val="none" w:sz="0" w:space="0" w:color="auto"/>
          </w:divBdr>
          <w:divsChild>
            <w:div w:id="120854565">
              <w:marLeft w:val="0"/>
              <w:marRight w:val="0"/>
              <w:marTop w:val="0"/>
              <w:marBottom w:val="0"/>
              <w:divBdr>
                <w:top w:val="none" w:sz="0" w:space="0" w:color="auto"/>
                <w:left w:val="none" w:sz="0" w:space="0" w:color="auto"/>
                <w:bottom w:val="none" w:sz="0" w:space="0" w:color="auto"/>
                <w:right w:val="none" w:sz="0" w:space="0" w:color="auto"/>
              </w:divBdr>
            </w:div>
            <w:div w:id="1615674459">
              <w:marLeft w:val="0"/>
              <w:marRight w:val="0"/>
              <w:marTop w:val="0"/>
              <w:marBottom w:val="0"/>
              <w:divBdr>
                <w:top w:val="none" w:sz="0" w:space="0" w:color="auto"/>
                <w:left w:val="none" w:sz="0" w:space="0" w:color="auto"/>
                <w:bottom w:val="none" w:sz="0" w:space="0" w:color="auto"/>
                <w:right w:val="none" w:sz="0" w:space="0" w:color="auto"/>
              </w:divBdr>
            </w:div>
            <w:div w:id="2067754267">
              <w:marLeft w:val="0"/>
              <w:marRight w:val="0"/>
              <w:marTop w:val="0"/>
              <w:marBottom w:val="0"/>
              <w:divBdr>
                <w:top w:val="none" w:sz="0" w:space="0" w:color="auto"/>
                <w:left w:val="none" w:sz="0" w:space="0" w:color="auto"/>
                <w:bottom w:val="none" w:sz="0" w:space="0" w:color="auto"/>
                <w:right w:val="none" w:sz="0" w:space="0" w:color="auto"/>
              </w:divBdr>
            </w:div>
            <w:div w:id="1163352195">
              <w:marLeft w:val="0"/>
              <w:marRight w:val="0"/>
              <w:marTop w:val="0"/>
              <w:marBottom w:val="0"/>
              <w:divBdr>
                <w:top w:val="none" w:sz="0" w:space="0" w:color="auto"/>
                <w:left w:val="none" w:sz="0" w:space="0" w:color="auto"/>
                <w:bottom w:val="none" w:sz="0" w:space="0" w:color="auto"/>
                <w:right w:val="none" w:sz="0" w:space="0" w:color="auto"/>
              </w:divBdr>
            </w:div>
            <w:div w:id="1187868946">
              <w:marLeft w:val="0"/>
              <w:marRight w:val="0"/>
              <w:marTop w:val="0"/>
              <w:marBottom w:val="0"/>
              <w:divBdr>
                <w:top w:val="none" w:sz="0" w:space="0" w:color="auto"/>
                <w:left w:val="none" w:sz="0" w:space="0" w:color="auto"/>
                <w:bottom w:val="none" w:sz="0" w:space="0" w:color="auto"/>
                <w:right w:val="none" w:sz="0" w:space="0" w:color="auto"/>
              </w:divBdr>
            </w:div>
            <w:div w:id="1807118636">
              <w:marLeft w:val="0"/>
              <w:marRight w:val="0"/>
              <w:marTop w:val="0"/>
              <w:marBottom w:val="0"/>
              <w:divBdr>
                <w:top w:val="none" w:sz="0" w:space="0" w:color="auto"/>
                <w:left w:val="none" w:sz="0" w:space="0" w:color="auto"/>
                <w:bottom w:val="none" w:sz="0" w:space="0" w:color="auto"/>
                <w:right w:val="none" w:sz="0" w:space="0" w:color="auto"/>
              </w:divBdr>
            </w:div>
            <w:div w:id="123242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07917">
      <w:bodyDiv w:val="1"/>
      <w:marLeft w:val="0"/>
      <w:marRight w:val="0"/>
      <w:marTop w:val="0"/>
      <w:marBottom w:val="0"/>
      <w:divBdr>
        <w:top w:val="none" w:sz="0" w:space="0" w:color="auto"/>
        <w:left w:val="none" w:sz="0" w:space="0" w:color="auto"/>
        <w:bottom w:val="none" w:sz="0" w:space="0" w:color="auto"/>
        <w:right w:val="none" w:sz="0" w:space="0" w:color="auto"/>
      </w:divBdr>
    </w:div>
    <w:div w:id="1364283469">
      <w:bodyDiv w:val="1"/>
      <w:marLeft w:val="0"/>
      <w:marRight w:val="0"/>
      <w:marTop w:val="0"/>
      <w:marBottom w:val="0"/>
      <w:divBdr>
        <w:top w:val="none" w:sz="0" w:space="0" w:color="auto"/>
        <w:left w:val="none" w:sz="0" w:space="0" w:color="auto"/>
        <w:bottom w:val="none" w:sz="0" w:space="0" w:color="auto"/>
        <w:right w:val="none" w:sz="0" w:space="0" w:color="auto"/>
      </w:divBdr>
      <w:divsChild>
        <w:div w:id="653533728">
          <w:marLeft w:val="1166"/>
          <w:marRight w:val="0"/>
          <w:marTop w:val="106"/>
          <w:marBottom w:val="0"/>
          <w:divBdr>
            <w:top w:val="none" w:sz="0" w:space="0" w:color="auto"/>
            <w:left w:val="none" w:sz="0" w:space="0" w:color="auto"/>
            <w:bottom w:val="none" w:sz="0" w:space="0" w:color="auto"/>
            <w:right w:val="none" w:sz="0" w:space="0" w:color="auto"/>
          </w:divBdr>
        </w:div>
        <w:div w:id="1440831576">
          <w:marLeft w:val="1166"/>
          <w:marRight w:val="0"/>
          <w:marTop w:val="106"/>
          <w:marBottom w:val="0"/>
          <w:divBdr>
            <w:top w:val="none" w:sz="0" w:space="0" w:color="auto"/>
            <w:left w:val="none" w:sz="0" w:space="0" w:color="auto"/>
            <w:bottom w:val="none" w:sz="0" w:space="0" w:color="auto"/>
            <w:right w:val="none" w:sz="0" w:space="0" w:color="auto"/>
          </w:divBdr>
        </w:div>
        <w:div w:id="1337339395">
          <w:marLeft w:val="1166"/>
          <w:marRight w:val="0"/>
          <w:marTop w:val="106"/>
          <w:marBottom w:val="0"/>
          <w:divBdr>
            <w:top w:val="none" w:sz="0" w:space="0" w:color="auto"/>
            <w:left w:val="none" w:sz="0" w:space="0" w:color="auto"/>
            <w:bottom w:val="none" w:sz="0" w:space="0" w:color="auto"/>
            <w:right w:val="none" w:sz="0" w:space="0" w:color="auto"/>
          </w:divBdr>
        </w:div>
      </w:divsChild>
    </w:div>
    <w:div w:id="1386180245">
      <w:bodyDiv w:val="1"/>
      <w:marLeft w:val="0"/>
      <w:marRight w:val="0"/>
      <w:marTop w:val="0"/>
      <w:marBottom w:val="0"/>
      <w:divBdr>
        <w:top w:val="none" w:sz="0" w:space="0" w:color="auto"/>
        <w:left w:val="none" w:sz="0" w:space="0" w:color="auto"/>
        <w:bottom w:val="none" w:sz="0" w:space="0" w:color="auto"/>
        <w:right w:val="none" w:sz="0" w:space="0" w:color="auto"/>
      </w:divBdr>
    </w:div>
    <w:div w:id="1401096939">
      <w:bodyDiv w:val="1"/>
      <w:marLeft w:val="0"/>
      <w:marRight w:val="0"/>
      <w:marTop w:val="0"/>
      <w:marBottom w:val="0"/>
      <w:divBdr>
        <w:top w:val="none" w:sz="0" w:space="0" w:color="auto"/>
        <w:left w:val="none" w:sz="0" w:space="0" w:color="auto"/>
        <w:bottom w:val="none" w:sz="0" w:space="0" w:color="auto"/>
        <w:right w:val="none" w:sz="0" w:space="0" w:color="auto"/>
      </w:divBdr>
      <w:divsChild>
        <w:div w:id="137915112">
          <w:marLeft w:val="0"/>
          <w:marRight w:val="0"/>
          <w:marTop w:val="0"/>
          <w:marBottom w:val="0"/>
          <w:divBdr>
            <w:top w:val="none" w:sz="0" w:space="0" w:color="auto"/>
            <w:left w:val="none" w:sz="0" w:space="0" w:color="auto"/>
            <w:bottom w:val="none" w:sz="0" w:space="0" w:color="auto"/>
            <w:right w:val="none" w:sz="0" w:space="0" w:color="auto"/>
          </w:divBdr>
        </w:div>
        <w:div w:id="1686397969">
          <w:marLeft w:val="0"/>
          <w:marRight w:val="0"/>
          <w:marTop w:val="0"/>
          <w:marBottom w:val="0"/>
          <w:divBdr>
            <w:top w:val="none" w:sz="0" w:space="0" w:color="auto"/>
            <w:left w:val="none" w:sz="0" w:space="0" w:color="auto"/>
            <w:bottom w:val="none" w:sz="0" w:space="0" w:color="auto"/>
            <w:right w:val="none" w:sz="0" w:space="0" w:color="auto"/>
          </w:divBdr>
        </w:div>
        <w:div w:id="177045132">
          <w:marLeft w:val="0"/>
          <w:marRight w:val="0"/>
          <w:marTop w:val="0"/>
          <w:marBottom w:val="0"/>
          <w:divBdr>
            <w:top w:val="none" w:sz="0" w:space="0" w:color="auto"/>
            <w:left w:val="none" w:sz="0" w:space="0" w:color="auto"/>
            <w:bottom w:val="none" w:sz="0" w:space="0" w:color="auto"/>
            <w:right w:val="none" w:sz="0" w:space="0" w:color="auto"/>
          </w:divBdr>
        </w:div>
        <w:div w:id="1996444910">
          <w:marLeft w:val="0"/>
          <w:marRight w:val="0"/>
          <w:marTop w:val="0"/>
          <w:marBottom w:val="0"/>
          <w:divBdr>
            <w:top w:val="none" w:sz="0" w:space="0" w:color="auto"/>
            <w:left w:val="none" w:sz="0" w:space="0" w:color="auto"/>
            <w:bottom w:val="none" w:sz="0" w:space="0" w:color="auto"/>
            <w:right w:val="none" w:sz="0" w:space="0" w:color="auto"/>
          </w:divBdr>
        </w:div>
      </w:divsChild>
    </w:div>
    <w:div w:id="1418093383">
      <w:bodyDiv w:val="1"/>
      <w:marLeft w:val="0"/>
      <w:marRight w:val="0"/>
      <w:marTop w:val="0"/>
      <w:marBottom w:val="0"/>
      <w:divBdr>
        <w:top w:val="none" w:sz="0" w:space="0" w:color="auto"/>
        <w:left w:val="none" w:sz="0" w:space="0" w:color="auto"/>
        <w:bottom w:val="none" w:sz="0" w:space="0" w:color="auto"/>
        <w:right w:val="none" w:sz="0" w:space="0" w:color="auto"/>
      </w:divBdr>
      <w:divsChild>
        <w:div w:id="1535456906">
          <w:marLeft w:val="0"/>
          <w:marRight w:val="0"/>
          <w:marTop w:val="0"/>
          <w:marBottom w:val="0"/>
          <w:divBdr>
            <w:top w:val="none" w:sz="0" w:space="0" w:color="auto"/>
            <w:left w:val="none" w:sz="0" w:space="0" w:color="auto"/>
            <w:bottom w:val="none" w:sz="0" w:space="0" w:color="auto"/>
            <w:right w:val="none" w:sz="0" w:space="0" w:color="auto"/>
          </w:divBdr>
        </w:div>
      </w:divsChild>
    </w:div>
    <w:div w:id="1437094094">
      <w:bodyDiv w:val="1"/>
      <w:marLeft w:val="0"/>
      <w:marRight w:val="0"/>
      <w:marTop w:val="0"/>
      <w:marBottom w:val="0"/>
      <w:divBdr>
        <w:top w:val="none" w:sz="0" w:space="0" w:color="auto"/>
        <w:left w:val="none" w:sz="0" w:space="0" w:color="auto"/>
        <w:bottom w:val="none" w:sz="0" w:space="0" w:color="auto"/>
        <w:right w:val="none" w:sz="0" w:space="0" w:color="auto"/>
      </w:divBdr>
      <w:divsChild>
        <w:div w:id="2092460613">
          <w:marLeft w:val="1166"/>
          <w:marRight w:val="0"/>
          <w:marTop w:val="106"/>
          <w:marBottom w:val="0"/>
          <w:divBdr>
            <w:top w:val="none" w:sz="0" w:space="0" w:color="auto"/>
            <w:left w:val="none" w:sz="0" w:space="0" w:color="auto"/>
            <w:bottom w:val="none" w:sz="0" w:space="0" w:color="auto"/>
            <w:right w:val="none" w:sz="0" w:space="0" w:color="auto"/>
          </w:divBdr>
        </w:div>
        <w:div w:id="1425763911">
          <w:marLeft w:val="1166"/>
          <w:marRight w:val="0"/>
          <w:marTop w:val="106"/>
          <w:marBottom w:val="0"/>
          <w:divBdr>
            <w:top w:val="none" w:sz="0" w:space="0" w:color="auto"/>
            <w:left w:val="none" w:sz="0" w:space="0" w:color="auto"/>
            <w:bottom w:val="none" w:sz="0" w:space="0" w:color="auto"/>
            <w:right w:val="none" w:sz="0" w:space="0" w:color="auto"/>
          </w:divBdr>
        </w:div>
      </w:divsChild>
    </w:div>
    <w:div w:id="1450857522">
      <w:bodyDiv w:val="1"/>
      <w:marLeft w:val="0"/>
      <w:marRight w:val="0"/>
      <w:marTop w:val="0"/>
      <w:marBottom w:val="0"/>
      <w:divBdr>
        <w:top w:val="none" w:sz="0" w:space="0" w:color="auto"/>
        <w:left w:val="none" w:sz="0" w:space="0" w:color="auto"/>
        <w:bottom w:val="none" w:sz="0" w:space="0" w:color="auto"/>
        <w:right w:val="none" w:sz="0" w:space="0" w:color="auto"/>
      </w:divBdr>
    </w:div>
    <w:div w:id="1459451182">
      <w:bodyDiv w:val="1"/>
      <w:marLeft w:val="0"/>
      <w:marRight w:val="0"/>
      <w:marTop w:val="0"/>
      <w:marBottom w:val="0"/>
      <w:divBdr>
        <w:top w:val="none" w:sz="0" w:space="0" w:color="auto"/>
        <w:left w:val="none" w:sz="0" w:space="0" w:color="auto"/>
        <w:bottom w:val="none" w:sz="0" w:space="0" w:color="auto"/>
        <w:right w:val="none" w:sz="0" w:space="0" w:color="auto"/>
      </w:divBdr>
    </w:div>
    <w:div w:id="1461339197">
      <w:bodyDiv w:val="1"/>
      <w:marLeft w:val="0"/>
      <w:marRight w:val="0"/>
      <w:marTop w:val="0"/>
      <w:marBottom w:val="0"/>
      <w:divBdr>
        <w:top w:val="none" w:sz="0" w:space="0" w:color="auto"/>
        <w:left w:val="none" w:sz="0" w:space="0" w:color="auto"/>
        <w:bottom w:val="none" w:sz="0" w:space="0" w:color="auto"/>
        <w:right w:val="none" w:sz="0" w:space="0" w:color="auto"/>
      </w:divBdr>
      <w:divsChild>
        <w:div w:id="873075086">
          <w:marLeft w:val="1166"/>
          <w:marRight w:val="0"/>
          <w:marTop w:val="106"/>
          <w:marBottom w:val="0"/>
          <w:divBdr>
            <w:top w:val="none" w:sz="0" w:space="0" w:color="auto"/>
            <w:left w:val="none" w:sz="0" w:space="0" w:color="auto"/>
            <w:bottom w:val="none" w:sz="0" w:space="0" w:color="auto"/>
            <w:right w:val="none" w:sz="0" w:space="0" w:color="auto"/>
          </w:divBdr>
        </w:div>
        <w:div w:id="943658615">
          <w:marLeft w:val="1166"/>
          <w:marRight w:val="0"/>
          <w:marTop w:val="106"/>
          <w:marBottom w:val="0"/>
          <w:divBdr>
            <w:top w:val="none" w:sz="0" w:space="0" w:color="auto"/>
            <w:left w:val="none" w:sz="0" w:space="0" w:color="auto"/>
            <w:bottom w:val="none" w:sz="0" w:space="0" w:color="auto"/>
            <w:right w:val="none" w:sz="0" w:space="0" w:color="auto"/>
          </w:divBdr>
        </w:div>
        <w:div w:id="456991045">
          <w:marLeft w:val="1166"/>
          <w:marRight w:val="0"/>
          <w:marTop w:val="106"/>
          <w:marBottom w:val="0"/>
          <w:divBdr>
            <w:top w:val="none" w:sz="0" w:space="0" w:color="auto"/>
            <w:left w:val="none" w:sz="0" w:space="0" w:color="auto"/>
            <w:bottom w:val="none" w:sz="0" w:space="0" w:color="auto"/>
            <w:right w:val="none" w:sz="0" w:space="0" w:color="auto"/>
          </w:divBdr>
        </w:div>
      </w:divsChild>
    </w:div>
    <w:div w:id="1481339225">
      <w:bodyDiv w:val="1"/>
      <w:marLeft w:val="0"/>
      <w:marRight w:val="0"/>
      <w:marTop w:val="0"/>
      <w:marBottom w:val="0"/>
      <w:divBdr>
        <w:top w:val="none" w:sz="0" w:space="0" w:color="auto"/>
        <w:left w:val="none" w:sz="0" w:space="0" w:color="auto"/>
        <w:bottom w:val="none" w:sz="0" w:space="0" w:color="auto"/>
        <w:right w:val="none" w:sz="0" w:space="0" w:color="auto"/>
      </w:divBdr>
    </w:div>
    <w:div w:id="1510025994">
      <w:bodyDiv w:val="1"/>
      <w:marLeft w:val="0"/>
      <w:marRight w:val="0"/>
      <w:marTop w:val="0"/>
      <w:marBottom w:val="0"/>
      <w:divBdr>
        <w:top w:val="none" w:sz="0" w:space="0" w:color="auto"/>
        <w:left w:val="none" w:sz="0" w:space="0" w:color="auto"/>
        <w:bottom w:val="none" w:sz="0" w:space="0" w:color="auto"/>
        <w:right w:val="none" w:sz="0" w:space="0" w:color="auto"/>
      </w:divBdr>
    </w:div>
    <w:div w:id="1525174274">
      <w:bodyDiv w:val="1"/>
      <w:marLeft w:val="0"/>
      <w:marRight w:val="0"/>
      <w:marTop w:val="0"/>
      <w:marBottom w:val="0"/>
      <w:divBdr>
        <w:top w:val="none" w:sz="0" w:space="0" w:color="auto"/>
        <w:left w:val="none" w:sz="0" w:space="0" w:color="auto"/>
        <w:bottom w:val="none" w:sz="0" w:space="0" w:color="auto"/>
        <w:right w:val="none" w:sz="0" w:space="0" w:color="auto"/>
      </w:divBdr>
    </w:div>
    <w:div w:id="1529757393">
      <w:bodyDiv w:val="1"/>
      <w:marLeft w:val="0"/>
      <w:marRight w:val="0"/>
      <w:marTop w:val="0"/>
      <w:marBottom w:val="0"/>
      <w:divBdr>
        <w:top w:val="none" w:sz="0" w:space="0" w:color="auto"/>
        <w:left w:val="none" w:sz="0" w:space="0" w:color="auto"/>
        <w:bottom w:val="none" w:sz="0" w:space="0" w:color="auto"/>
        <w:right w:val="none" w:sz="0" w:space="0" w:color="auto"/>
      </w:divBdr>
    </w:div>
    <w:div w:id="1532375438">
      <w:bodyDiv w:val="1"/>
      <w:marLeft w:val="0"/>
      <w:marRight w:val="0"/>
      <w:marTop w:val="0"/>
      <w:marBottom w:val="0"/>
      <w:divBdr>
        <w:top w:val="none" w:sz="0" w:space="0" w:color="auto"/>
        <w:left w:val="none" w:sz="0" w:space="0" w:color="auto"/>
        <w:bottom w:val="none" w:sz="0" w:space="0" w:color="auto"/>
        <w:right w:val="none" w:sz="0" w:space="0" w:color="auto"/>
      </w:divBdr>
    </w:div>
    <w:div w:id="1557818732">
      <w:bodyDiv w:val="1"/>
      <w:marLeft w:val="0"/>
      <w:marRight w:val="0"/>
      <w:marTop w:val="0"/>
      <w:marBottom w:val="0"/>
      <w:divBdr>
        <w:top w:val="none" w:sz="0" w:space="0" w:color="auto"/>
        <w:left w:val="none" w:sz="0" w:space="0" w:color="auto"/>
        <w:bottom w:val="none" w:sz="0" w:space="0" w:color="auto"/>
        <w:right w:val="none" w:sz="0" w:space="0" w:color="auto"/>
      </w:divBdr>
      <w:divsChild>
        <w:div w:id="2086609351">
          <w:marLeft w:val="1166"/>
          <w:marRight w:val="0"/>
          <w:marTop w:val="106"/>
          <w:marBottom w:val="0"/>
          <w:divBdr>
            <w:top w:val="none" w:sz="0" w:space="0" w:color="auto"/>
            <w:left w:val="none" w:sz="0" w:space="0" w:color="auto"/>
            <w:bottom w:val="none" w:sz="0" w:space="0" w:color="auto"/>
            <w:right w:val="none" w:sz="0" w:space="0" w:color="auto"/>
          </w:divBdr>
        </w:div>
      </w:divsChild>
    </w:div>
    <w:div w:id="1571189194">
      <w:bodyDiv w:val="1"/>
      <w:marLeft w:val="0"/>
      <w:marRight w:val="0"/>
      <w:marTop w:val="0"/>
      <w:marBottom w:val="0"/>
      <w:divBdr>
        <w:top w:val="none" w:sz="0" w:space="0" w:color="auto"/>
        <w:left w:val="none" w:sz="0" w:space="0" w:color="auto"/>
        <w:bottom w:val="none" w:sz="0" w:space="0" w:color="auto"/>
        <w:right w:val="none" w:sz="0" w:space="0" w:color="auto"/>
      </w:divBdr>
    </w:div>
    <w:div w:id="1580215937">
      <w:bodyDiv w:val="1"/>
      <w:marLeft w:val="0"/>
      <w:marRight w:val="0"/>
      <w:marTop w:val="0"/>
      <w:marBottom w:val="0"/>
      <w:divBdr>
        <w:top w:val="none" w:sz="0" w:space="0" w:color="auto"/>
        <w:left w:val="none" w:sz="0" w:space="0" w:color="auto"/>
        <w:bottom w:val="none" w:sz="0" w:space="0" w:color="auto"/>
        <w:right w:val="none" w:sz="0" w:space="0" w:color="auto"/>
      </w:divBdr>
    </w:div>
    <w:div w:id="1582639975">
      <w:bodyDiv w:val="1"/>
      <w:marLeft w:val="0"/>
      <w:marRight w:val="0"/>
      <w:marTop w:val="0"/>
      <w:marBottom w:val="0"/>
      <w:divBdr>
        <w:top w:val="none" w:sz="0" w:space="0" w:color="auto"/>
        <w:left w:val="none" w:sz="0" w:space="0" w:color="auto"/>
        <w:bottom w:val="none" w:sz="0" w:space="0" w:color="auto"/>
        <w:right w:val="none" w:sz="0" w:space="0" w:color="auto"/>
      </w:divBdr>
      <w:divsChild>
        <w:div w:id="1159080628">
          <w:marLeft w:val="1166"/>
          <w:marRight w:val="0"/>
          <w:marTop w:val="106"/>
          <w:marBottom w:val="0"/>
          <w:divBdr>
            <w:top w:val="none" w:sz="0" w:space="0" w:color="auto"/>
            <w:left w:val="none" w:sz="0" w:space="0" w:color="auto"/>
            <w:bottom w:val="none" w:sz="0" w:space="0" w:color="auto"/>
            <w:right w:val="none" w:sz="0" w:space="0" w:color="auto"/>
          </w:divBdr>
        </w:div>
        <w:div w:id="1786464841">
          <w:marLeft w:val="1166"/>
          <w:marRight w:val="0"/>
          <w:marTop w:val="106"/>
          <w:marBottom w:val="0"/>
          <w:divBdr>
            <w:top w:val="none" w:sz="0" w:space="0" w:color="auto"/>
            <w:left w:val="none" w:sz="0" w:space="0" w:color="auto"/>
            <w:bottom w:val="none" w:sz="0" w:space="0" w:color="auto"/>
            <w:right w:val="none" w:sz="0" w:space="0" w:color="auto"/>
          </w:divBdr>
        </w:div>
      </w:divsChild>
    </w:div>
    <w:div w:id="1589003222">
      <w:bodyDiv w:val="1"/>
      <w:marLeft w:val="0"/>
      <w:marRight w:val="0"/>
      <w:marTop w:val="0"/>
      <w:marBottom w:val="0"/>
      <w:divBdr>
        <w:top w:val="none" w:sz="0" w:space="0" w:color="auto"/>
        <w:left w:val="none" w:sz="0" w:space="0" w:color="auto"/>
        <w:bottom w:val="none" w:sz="0" w:space="0" w:color="auto"/>
        <w:right w:val="none" w:sz="0" w:space="0" w:color="auto"/>
      </w:divBdr>
    </w:div>
    <w:div w:id="1615332426">
      <w:bodyDiv w:val="1"/>
      <w:marLeft w:val="0"/>
      <w:marRight w:val="0"/>
      <w:marTop w:val="0"/>
      <w:marBottom w:val="0"/>
      <w:divBdr>
        <w:top w:val="none" w:sz="0" w:space="0" w:color="auto"/>
        <w:left w:val="none" w:sz="0" w:space="0" w:color="auto"/>
        <w:bottom w:val="none" w:sz="0" w:space="0" w:color="auto"/>
        <w:right w:val="none" w:sz="0" w:space="0" w:color="auto"/>
      </w:divBdr>
    </w:div>
    <w:div w:id="1619724743">
      <w:bodyDiv w:val="1"/>
      <w:marLeft w:val="0"/>
      <w:marRight w:val="0"/>
      <w:marTop w:val="0"/>
      <w:marBottom w:val="0"/>
      <w:divBdr>
        <w:top w:val="none" w:sz="0" w:space="0" w:color="auto"/>
        <w:left w:val="none" w:sz="0" w:space="0" w:color="auto"/>
        <w:bottom w:val="none" w:sz="0" w:space="0" w:color="auto"/>
        <w:right w:val="none" w:sz="0" w:space="0" w:color="auto"/>
      </w:divBdr>
    </w:div>
    <w:div w:id="1629239983">
      <w:bodyDiv w:val="1"/>
      <w:marLeft w:val="0"/>
      <w:marRight w:val="0"/>
      <w:marTop w:val="0"/>
      <w:marBottom w:val="0"/>
      <w:divBdr>
        <w:top w:val="none" w:sz="0" w:space="0" w:color="auto"/>
        <w:left w:val="none" w:sz="0" w:space="0" w:color="auto"/>
        <w:bottom w:val="none" w:sz="0" w:space="0" w:color="auto"/>
        <w:right w:val="none" w:sz="0" w:space="0" w:color="auto"/>
      </w:divBdr>
      <w:divsChild>
        <w:div w:id="1065032425">
          <w:marLeft w:val="0"/>
          <w:marRight w:val="0"/>
          <w:marTop w:val="0"/>
          <w:marBottom w:val="0"/>
          <w:divBdr>
            <w:top w:val="none" w:sz="0" w:space="0" w:color="auto"/>
            <w:left w:val="none" w:sz="0" w:space="0" w:color="auto"/>
            <w:bottom w:val="none" w:sz="0" w:space="0" w:color="auto"/>
            <w:right w:val="none" w:sz="0" w:space="0" w:color="auto"/>
          </w:divBdr>
        </w:div>
      </w:divsChild>
    </w:div>
    <w:div w:id="1671714586">
      <w:bodyDiv w:val="1"/>
      <w:marLeft w:val="0"/>
      <w:marRight w:val="0"/>
      <w:marTop w:val="0"/>
      <w:marBottom w:val="0"/>
      <w:divBdr>
        <w:top w:val="none" w:sz="0" w:space="0" w:color="auto"/>
        <w:left w:val="none" w:sz="0" w:space="0" w:color="auto"/>
        <w:bottom w:val="none" w:sz="0" w:space="0" w:color="auto"/>
        <w:right w:val="none" w:sz="0" w:space="0" w:color="auto"/>
      </w:divBdr>
    </w:div>
    <w:div w:id="1675298497">
      <w:bodyDiv w:val="1"/>
      <w:marLeft w:val="0"/>
      <w:marRight w:val="0"/>
      <w:marTop w:val="0"/>
      <w:marBottom w:val="0"/>
      <w:divBdr>
        <w:top w:val="none" w:sz="0" w:space="0" w:color="auto"/>
        <w:left w:val="none" w:sz="0" w:space="0" w:color="auto"/>
        <w:bottom w:val="none" w:sz="0" w:space="0" w:color="auto"/>
        <w:right w:val="none" w:sz="0" w:space="0" w:color="auto"/>
      </w:divBdr>
      <w:divsChild>
        <w:div w:id="46339035">
          <w:marLeft w:val="0"/>
          <w:marRight w:val="0"/>
          <w:marTop w:val="0"/>
          <w:marBottom w:val="0"/>
          <w:divBdr>
            <w:top w:val="none" w:sz="0" w:space="0" w:color="auto"/>
            <w:left w:val="none" w:sz="0" w:space="0" w:color="auto"/>
            <w:bottom w:val="none" w:sz="0" w:space="0" w:color="auto"/>
            <w:right w:val="none" w:sz="0" w:space="0" w:color="auto"/>
          </w:divBdr>
        </w:div>
        <w:div w:id="882398753">
          <w:marLeft w:val="0"/>
          <w:marRight w:val="0"/>
          <w:marTop w:val="0"/>
          <w:marBottom w:val="0"/>
          <w:divBdr>
            <w:top w:val="none" w:sz="0" w:space="0" w:color="auto"/>
            <w:left w:val="none" w:sz="0" w:space="0" w:color="auto"/>
            <w:bottom w:val="none" w:sz="0" w:space="0" w:color="auto"/>
            <w:right w:val="none" w:sz="0" w:space="0" w:color="auto"/>
          </w:divBdr>
        </w:div>
        <w:div w:id="1269854302">
          <w:marLeft w:val="0"/>
          <w:marRight w:val="0"/>
          <w:marTop w:val="0"/>
          <w:marBottom w:val="0"/>
          <w:divBdr>
            <w:top w:val="none" w:sz="0" w:space="0" w:color="auto"/>
            <w:left w:val="none" w:sz="0" w:space="0" w:color="auto"/>
            <w:bottom w:val="none" w:sz="0" w:space="0" w:color="auto"/>
            <w:right w:val="none" w:sz="0" w:space="0" w:color="auto"/>
          </w:divBdr>
        </w:div>
        <w:div w:id="1727945653">
          <w:marLeft w:val="0"/>
          <w:marRight w:val="0"/>
          <w:marTop w:val="0"/>
          <w:marBottom w:val="0"/>
          <w:divBdr>
            <w:top w:val="none" w:sz="0" w:space="0" w:color="auto"/>
            <w:left w:val="none" w:sz="0" w:space="0" w:color="auto"/>
            <w:bottom w:val="none" w:sz="0" w:space="0" w:color="auto"/>
            <w:right w:val="none" w:sz="0" w:space="0" w:color="auto"/>
          </w:divBdr>
        </w:div>
        <w:div w:id="1666276352">
          <w:marLeft w:val="0"/>
          <w:marRight w:val="0"/>
          <w:marTop w:val="0"/>
          <w:marBottom w:val="0"/>
          <w:divBdr>
            <w:top w:val="none" w:sz="0" w:space="0" w:color="auto"/>
            <w:left w:val="none" w:sz="0" w:space="0" w:color="auto"/>
            <w:bottom w:val="none" w:sz="0" w:space="0" w:color="auto"/>
            <w:right w:val="none" w:sz="0" w:space="0" w:color="auto"/>
          </w:divBdr>
        </w:div>
        <w:div w:id="2123649307">
          <w:marLeft w:val="0"/>
          <w:marRight w:val="0"/>
          <w:marTop w:val="0"/>
          <w:marBottom w:val="0"/>
          <w:divBdr>
            <w:top w:val="none" w:sz="0" w:space="0" w:color="auto"/>
            <w:left w:val="none" w:sz="0" w:space="0" w:color="auto"/>
            <w:bottom w:val="none" w:sz="0" w:space="0" w:color="auto"/>
            <w:right w:val="none" w:sz="0" w:space="0" w:color="auto"/>
          </w:divBdr>
        </w:div>
        <w:div w:id="615871438">
          <w:marLeft w:val="0"/>
          <w:marRight w:val="0"/>
          <w:marTop w:val="0"/>
          <w:marBottom w:val="0"/>
          <w:divBdr>
            <w:top w:val="none" w:sz="0" w:space="0" w:color="auto"/>
            <w:left w:val="none" w:sz="0" w:space="0" w:color="auto"/>
            <w:bottom w:val="none" w:sz="0" w:space="0" w:color="auto"/>
            <w:right w:val="none" w:sz="0" w:space="0" w:color="auto"/>
          </w:divBdr>
        </w:div>
        <w:div w:id="1397707646">
          <w:marLeft w:val="0"/>
          <w:marRight w:val="0"/>
          <w:marTop w:val="0"/>
          <w:marBottom w:val="0"/>
          <w:divBdr>
            <w:top w:val="none" w:sz="0" w:space="0" w:color="auto"/>
            <w:left w:val="none" w:sz="0" w:space="0" w:color="auto"/>
            <w:bottom w:val="none" w:sz="0" w:space="0" w:color="auto"/>
            <w:right w:val="none" w:sz="0" w:space="0" w:color="auto"/>
          </w:divBdr>
        </w:div>
        <w:div w:id="392776518">
          <w:marLeft w:val="0"/>
          <w:marRight w:val="0"/>
          <w:marTop w:val="0"/>
          <w:marBottom w:val="0"/>
          <w:divBdr>
            <w:top w:val="none" w:sz="0" w:space="0" w:color="auto"/>
            <w:left w:val="none" w:sz="0" w:space="0" w:color="auto"/>
            <w:bottom w:val="none" w:sz="0" w:space="0" w:color="auto"/>
            <w:right w:val="none" w:sz="0" w:space="0" w:color="auto"/>
          </w:divBdr>
        </w:div>
      </w:divsChild>
    </w:div>
    <w:div w:id="1710953099">
      <w:bodyDiv w:val="1"/>
      <w:marLeft w:val="0"/>
      <w:marRight w:val="0"/>
      <w:marTop w:val="0"/>
      <w:marBottom w:val="0"/>
      <w:divBdr>
        <w:top w:val="none" w:sz="0" w:space="0" w:color="auto"/>
        <w:left w:val="none" w:sz="0" w:space="0" w:color="auto"/>
        <w:bottom w:val="none" w:sz="0" w:space="0" w:color="auto"/>
        <w:right w:val="none" w:sz="0" w:space="0" w:color="auto"/>
      </w:divBdr>
    </w:div>
    <w:div w:id="1712458945">
      <w:bodyDiv w:val="1"/>
      <w:marLeft w:val="0"/>
      <w:marRight w:val="0"/>
      <w:marTop w:val="0"/>
      <w:marBottom w:val="0"/>
      <w:divBdr>
        <w:top w:val="none" w:sz="0" w:space="0" w:color="auto"/>
        <w:left w:val="none" w:sz="0" w:space="0" w:color="auto"/>
        <w:bottom w:val="none" w:sz="0" w:space="0" w:color="auto"/>
        <w:right w:val="none" w:sz="0" w:space="0" w:color="auto"/>
      </w:divBdr>
      <w:divsChild>
        <w:div w:id="1428116905">
          <w:marLeft w:val="0"/>
          <w:marRight w:val="0"/>
          <w:marTop w:val="0"/>
          <w:marBottom w:val="0"/>
          <w:divBdr>
            <w:top w:val="none" w:sz="0" w:space="0" w:color="auto"/>
            <w:left w:val="none" w:sz="0" w:space="0" w:color="auto"/>
            <w:bottom w:val="none" w:sz="0" w:space="0" w:color="auto"/>
            <w:right w:val="none" w:sz="0" w:space="0" w:color="auto"/>
          </w:divBdr>
        </w:div>
      </w:divsChild>
    </w:div>
    <w:div w:id="1733036276">
      <w:bodyDiv w:val="1"/>
      <w:marLeft w:val="0"/>
      <w:marRight w:val="0"/>
      <w:marTop w:val="0"/>
      <w:marBottom w:val="0"/>
      <w:divBdr>
        <w:top w:val="none" w:sz="0" w:space="0" w:color="auto"/>
        <w:left w:val="none" w:sz="0" w:space="0" w:color="auto"/>
        <w:bottom w:val="none" w:sz="0" w:space="0" w:color="auto"/>
        <w:right w:val="none" w:sz="0" w:space="0" w:color="auto"/>
      </w:divBdr>
    </w:div>
    <w:div w:id="1735615042">
      <w:bodyDiv w:val="1"/>
      <w:marLeft w:val="0"/>
      <w:marRight w:val="0"/>
      <w:marTop w:val="0"/>
      <w:marBottom w:val="0"/>
      <w:divBdr>
        <w:top w:val="none" w:sz="0" w:space="0" w:color="auto"/>
        <w:left w:val="none" w:sz="0" w:space="0" w:color="auto"/>
        <w:bottom w:val="none" w:sz="0" w:space="0" w:color="auto"/>
        <w:right w:val="none" w:sz="0" w:space="0" w:color="auto"/>
      </w:divBdr>
    </w:div>
    <w:div w:id="1745763597">
      <w:bodyDiv w:val="1"/>
      <w:marLeft w:val="0"/>
      <w:marRight w:val="0"/>
      <w:marTop w:val="0"/>
      <w:marBottom w:val="0"/>
      <w:divBdr>
        <w:top w:val="none" w:sz="0" w:space="0" w:color="auto"/>
        <w:left w:val="none" w:sz="0" w:space="0" w:color="auto"/>
        <w:bottom w:val="none" w:sz="0" w:space="0" w:color="auto"/>
        <w:right w:val="none" w:sz="0" w:space="0" w:color="auto"/>
      </w:divBdr>
    </w:div>
    <w:div w:id="1764302683">
      <w:bodyDiv w:val="1"/>
      <w:marLeft w:val="0"/>
      <w:marRight w:val="0"/>
      <w:marTop w:val="0"/>
      <w:marBottom w:val="0"/>
      <w:divBdr>
        <w:top w:val="none" w:sz="0" w:space="0" w:color="auto"/>
        <w:left w:val="none" w:sz="0" w:space="0" w:color="auto"/>
        <w:bottom w:val="none" w:sz="0" w:space="0" w:color="auto"/>
        <w:right w:val="none" w:sz="0" w:space="0" w:color="auto"/>
      </w:divBdr>
    </w:div>
    <w:div w:id="1781684906">
      <w:bodyDiv w:val="1"/>
      <w:marLeft w:val="0"/>
      <w:marRight w:val="0"/>
      <w:marTop w:val="0"/>
      <w:marBottom w:val="0"/>
      <w:divBdr>
        <w:top w:val="none" w:sz="0" w:space="0" w:color="auto"/>
        <w:left w:val="none" w:sz="0" w:space="0" w:color="auto"/>
        <w:bottom w:val="none" w:sz="0" w:space="0" w:color="auto"/>
        <w:right w:val="none" w:sz="0" w:space="0" w:color="auto"/>
      </w:divBdr>
      <w:divsChild>
        <w:div w:id="640112034">
          <w:marLeft w:val="1382"/>
          <w:marRight w:val="0"/>
          <w:marTop w:val="106"/>
          <w:marBottom w:val="0"/>
          <w:divBdr>
            <w:top w:val="none" w:sz="0" w:space="0" w:color="auto"/>
            <w:left w:val="none" w:sz="0" w:space="0" w:color="auto"/>
            <w:bottom w:val="none" w:sz="0" w:space="0" w:color="auto"/>
            <w:right w:val="none" w:sz="0" w:space="0" w:color="auto"/>
          </w:divBdr>
        </w:div>
        <w:div w:id="2132700107">
          <w:marLeft w:val="1382"/>
          <w:marRight w:val="0"/>
          <w:marTop w:val="106"/>
          <w:marBottom w:val="0"/>
          <w:divBdr>
            <w:top w:val="none" w:sz="0" w:space="0" w:color="auto"/>
            <w:left w:val="none" w:sz="0" w:space="0" w:color="auto"/>
            <w:bottom w:val="none" w:sz="0" w:space="0" w:color="auto"/>
            <w:right w:val="none" w:sz="0" w:space="0" w:color="auto"/>
          </w:divBdr>
        </w:div>
      </w:divsChild>
    </w:div>
    <w:div w:id="1794714081">
      <w:bodyDiv w:val="1"/>
      <w:marLeft w:val="0"/>
      <w:marRight w:val="0"/>
      <w:marTop w:val="0"/>
      <w:marBottom w:val="0"/>
      <w:divBdr>
        <w:top w:val="none" w:sz="0" w:space="0" w:color="auto"/>
        <w:left w:val="none" w:sz="0" w:space="0" w:color="auto"/>
        <w:bottom w:val="none" w:sz="0" w:space="0" w:color="auto"/>
        <w:right w:val="none" w:sz="0" w:space="0" w:color="auto"/>
      </w:divBdr>
    </w:div>
    <w:div w:id="1810315872">
      <w:bodyDiv w:val="1"/>
      <w:marLeft w:val="0"/>
      <w:marRight w:val="0"/>
      <w:marTop w:val="0"/>
      <w:marBottom w:val="0"/>
      <w:divBdr>
        <w:top w:val="none" w:sz="0" w:space="0" w:color="auto"/>
        <w:left w:val="none" w:sz="0" w:space="0" w:color="auto"/>
        <w:bottom w:val="none" w:sz="0" w:space="0" w:color="auto"/>
        <w:right w:val="none" w:sz="0" w:space="0" w:color="auto"/>
      </w:divBdr>
      <w:divsChild>
        <w:div w:id="108160848">
          <w:marLeft w:val="0"/>
          <w:marRight w:val="0"/>
          <w:marTop w:val="0"/>
          <w:marBottom w:val="0"/>
          <w:divBdr>
            <w:top w:val="none" w:sz="0" w:space="0" w:color="auto"/>
            <w:left w:val="none" w:sz="0" w:space="0" w:color="auto"/>
            <w:bottom w:val="none" w:sz="0" w:space="0" w:color="auto"/>
            <w:right w:val="none" w:sz="0" w:space="0" w:color="auto"/>
          </w:divBdr>
        </w:div>
        <w:div w:id="63525906">
          <w:marLeft w:val="0"/>
          <w:marRight w:val="0"/>
          <w:marTop w:val="0"/>
          <w:marBottom w:val="0"/>
          <w:divBdr>
            <w:top w:val="none" w:sz="0" w:space="0" w:color="auto"/>
            <w:left w:val="none" w:sz="0" w:space="0" w:color="auto"/>
            <w:bottom w:val="none" w:sz="0" w:space="0" w:color="auto"/>
            <w:right w:val="none" w:sz="0" w:space="0" w:color="auto"/>
          </w:divBdr>
        </w:div>
        <w:div w:id="1759212289">
          <w:marLeft w:val="0"/>
          <w:marRight w:val="0"/>
          <w:marTop w:val="0"/>
          <w:marBottom w:val="0"/>
          <w:divBdr>
            <w:top w:val="none" w:sz="0" w:space="0" w:color="auto"/>
            <w:left w:val="none" w:sz="0" w:space="0" w:color="auto"/>
            <w:bottom w:val="none" w:sz="0" w:space="0" w:color="auto"/>
            <w:right w:val="none" w:sz="0" w:space="0" w:color="auto"/>
          </w:divBdr>
        </w:div>
        <w:div w:id="480658506">
          <w:marLeft w:val="0"/>
          <w:marRight w:val="0"/>
          <w:marTop w:val="0"/>
          <w:marBottom w:val="0"/>
          <w:divBdr>
            <w:top w:val="none" w:sz="0" w:space="0" w:color="auto"/>
            <w:left w:val="none" w:sz="0" w:space="0" w:color="auto"/>
            <w:bottom w:val="none" w:sz="0" w:space="0" w:color="auto"/>
            <w:right w:val="none" w:sz="0" w:space="0" w:color="auto"/>
          </w:divBdr>
        </w:div>
      </w:divsChild>
    </w:div>
    <w:div w:id="1824076621">
      <w:bodyDiv w:val="1"/>
      <w:marLeft w:val="0"/>
      <w:marRight w:val="0"/>
      <w:marTop w:val="0"/>
      <w:marBottom w:val="0"/>
      <w:divBdr>
        <w:top w:val="none" w:sz="0" w:space="0" w:color="auto"/>
        <w:left w:val="none" w:sz="0" w:space="0" w:color="auto"/>
        <w:bottom w:val="none" w:sz="0" w:space="0" w:color="auto"/>
        <w:right w:val="none" w:sz="0" w:space="0" w:color="auto"/>
      </w:divBdr>
      <w:divsChild>
        <w:div w:id="427042498">
          <w:marLeft w:val="1166"/>
          <w:marRight w:val="0"/>
          <w:marTop w:val="106"/>
          <w:marBottom w:val="0"/>
          <w:divBdr>
            <w:top w:val="none" w:sz="0" w:space="0" w:color="auto"/>
            <w:left w:val="none" w:sz="0" w:space="0" w:color="auto"/>
            <w:bottom w:val="none" w:sz="0" w:space="0" w:color="auto"/>
            <w:right w:val="none" w:sz="0" w:space="0" w:color="auto"/>
          </w:divBdr>
        </w:div>
      </w:divsChild>
    </w:div>
    <w:div w:id="1827555230">
      <w:bodyDiv w:val="1"/>
      <w:marLeft w:val="0"/>
      <w:marRight w:val="0"/>
      <w:marTop w:val="0"/>
      <w:marBottom w:val="0"/>
      <w:divBdr>
        <w:top w:val="none" w:sz="0" w:space="0" w:color="auto"/>
        <w:left w:val="none" w:sz="0" w:space="0" w:color="auto"/>
        <w:bottom w:val="none" w:sz="0" w:space="0" w:color="auto"/>
        <w:right w:val="none" w:sz="0" w:space="0" w:color="auto"/>
      </w:divBdr>
    </w:div>
    <w:div w:id="1829053458">
      <w:bodyDiv w:val="1"/>
      <w:marLeft w:val="0"/>
      <w:marRight w:val="0"/>
      <w:marTop w:val="0"/>
      <w:marBottom w:val="0"/>
      <w:divBdr>
        <w:top w:val="none" w:sz="0" w:space="0" w:color="auto"/>
        <w:left w:val="none" w:sz="0" w:space="0" w:color="auto"/>
        <w:bottom w:val="none" w:sz="0" w:space="0" w:color="auto"/>
        <w:right w:val="none" w:sz="0" w:space="0" w:color="auto"/>
      </w:divBdr>
      <w:divsChild>
        <w:div w:id="647243495">
          <w:marLeft w:val="0"/>
          <w:marRight w:val="0"/>
          <w:marTop w:val="0"/>
          <w:marBottom w:val="0"/>
          <w:divBdr>
            <w:top w:val="none" w:sz="0" w:space="0" w:color="auto"/>
            <w:left w:val="none" w:sz="0" w:space="0" w:color="auto"/>
            <w:bottom w:val="none" w:sz="0" w:space="0" w:color="auto"/>
            <w:right w:val="none" w:sz="0" w:space="0" w:color="auto"/>
          </w:divBdr>
          <w:divsChild>
            <w:div w:id="1793942723">
              <w:marLeft w:val="0"/>
              <w:marRight w:val="0"/>
              <w:marTop w:val="0"/>
              <w:marBottom w:val="0"/>
              <w:divBdr>
                <w:top w:val="none" w:sz="0" w:space="0" w:color="auto"/>
                <w:left w:val="none" w:sz="0" w:space="0" w:color="auto"/>
                <w:bottom w:val="none" w:sz="0" w:space="0" w:color="auto"/>
                <w:right w:val="none" w:sz="0" w:space="0" w:color="auto"/>
              </w:divBdr>
              <w:divsChild>
                <w:div w:id="1220434586">
                  <w:marLeft w:val="0"/>
                  <w:marRight w:val="0"/>
                  <w:marTop w:val="0"/>
                  <w:marBottom w:val="0"/>
                  <w:divBdr>
                    <w:top w:val="none" w:sz="0" w:space="0" w:color="auto"/>
                    <w:left w:val="none" w:sz="0" w:space="0" w:color="auto"/>
                    <w:bottom w:val="none" w:sz="0" w:space="0" w:color="auto"/>
                    <w:right w:val="none" w:sz="0" w:space="0" w:color="auto"/>
                  </w:divBdr>
                  <w:divsChild>
                    <w:div w:id="374232882">
                      <w:marLeft w:val="0"/>
                      <w:marRight w:val="0"/>
                      <w:marTop w:val="0"/>
                      <w:marBottom w:val="0"/>
                      <w:divBdr>
                        <w:top w:val="none" w:sz="0" w:space="0" w:color="auto"/>
                        <w:left w:val="none" w:sz="0" w:space="0" w:color="auto"/>
                        <w:bottom w:val="none" w:sz="0" w:space="0" w:color="auto"/>
                        <w:right w:val="none" w:sz="0" w:space="0" w:color="auto"/>
                      </w:divBdr>
                      <w:divsChild>
                        <w:div w:id="19417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362965">
      <w:bodyDiv w:val="1"/>
      <w:marLeft w:val="0"/>
      <w:marRight w:val="0"/>
      <w:marTop w:val="0"/>
      <w:marBottom w:val="0"/>
      <w:divBdr>
        <w:top w:val="none" w:sz="0" w:space="0" w:color="auto"/>
        <w:left w:val="none" w:sz="0" w:space="0" w:color="auto"/>
        <w:bottom w:val="none" w:sz="0" w:space="0" w:color="auto"/>
        <w:right w:val="none" w:sz="0" w:space="0" w:color="auto"/>
      </w:divBdr>
    </w:div>
    <w:div w:id="1870215460">
      <w:bodyDiv w:val="1"/>
      <w:marLeft w:val="0"/>
      <w:marRight w:val="0"/>
      <w:marTop w:val="0"/>
      <w:marBottom w:val="0"/>
      <w:divBdr>
        <w:top w:val="none" w:sz="0" w:space="0" w:color="auto"/>
        <w:left w:val="none" w:sz="0" w:space="0" w:color="auto"/>
        <w:bottom w:val="none" w:sz="0" w:space="0" w:color="auto"/>
        <w:right w:val="none" w:sz="0" w:space="0" w:color="auto"/>
      </w:divBdr>
    </w:div>
    <w:div w:id="1891071190">
      <w:bodyDiv w:val="1"/>
      <w:marLeft w:val="0"/>
      <w:marRight w:val="0"/>
      <w:marTop w:val="0"/>
      <w:marBottom w:val="0"/>
      <w:divBdr>
        <w:top w:val="none" w:sz="0" w:space="0" w:color="auto"/>
        <w:left w:val="none" w:sz="0" w:space="0" w:color="auto"/>
        <w:bottom w:val="none" w:sz="0" w:space="0" w:color="auto"/>
        <w:right w:val="none" w:sz="0" w:space="0" w:color="auto"/>
      </w:divBdr>
    </w:div>
    <w:div w:id="1898664928">
      <w:bodyDiv w:val="1"/>
      <w:marLeft w:val="0"/>
      <w:marRight w:val="0"/>
      <w:marTop w:val="0"/>
      <w:marBottom w:val="0"/>
      <w:divBdr>
        <w:top w:val="none" w:sz="0" w:space="0" w:color="auto"/>
        <w:left w:val="none" w:sz="0" w:space="0" w:color="auto"/>
        <w:bottom w:val="none" w:sz="0" w:space="0" w:color="auto"/>
        <w:right w:val="none" w:sz="0" w:space="0" w:color="auto"/>
      </w:divBdr>
      <w:divsChild>
        <w:div w:id="764616469">
          <w:marLeft w:val="1166"/>
          <w:marRight w:val="0"/>
          <w:marTop w:val="106"/>
          <w:marBottom w:val="0"/>
          <w:divBdr>
            <w:top w:val="none" w:sz="0" w:space="0" w:color="auto"/>
            <w:left w:val="none" w:sz="0" w:space="0" w:color="auto"/>
            <w:bottom w:val="none" w:sz="0" w:space="0" w:color="auto"/>
            <w:right w:val="none" w:sz="0" w:space="0" w:color="auto"/>
          </w:divBdr>
        </w:div>
      </w:divsChild>
    </w:div>
    <w:div w:id="1898971724">
      <w:bodyDiv w:val="1"/>
      <w:marLeft w:val="0"/>
      <w:marRight w:val="0"/>
      <w:marTop w:val="0"/>
      <w:marBottom w:val="0"/>
      <w:divBdr>
        <w:top w:val="none" w:sz="0" w:space="0" w:color="auto"/>
        <w:left w:val="none" w:sz="0" w:space="0" w:color="auto"/>
        <w:bottom w:val="none" w:sz="0" w:space="0" w:color="auto"/>
        <w:right w:val="none" w:sz="0" w:space="0" w:color="auto"/>
      </w:divBdr>
      <w:divsChild>
        <w:div w:id="449281616">
          <w:marLeft w:val="0"/>
          <w:marRight w:val="0"/>
          <w:marTop w:val="0"/>
          <w:marBottom w:val="0"/>
          <w:divBdr>
            <w:top w:val="none" w:sz="0" w:space="0" w:color="auto"/>
            <w:left w:val="none" w:sz="0" w:space="0" w:color="auto"/>
            <w:bottom w:val="none" w:sz="0" w:space="0" w:color="auto"/>
            <w:right w:val="none" w:sz="0" w:space="0" w:color="auto"/>
          </w:divBdr>
          <w:divsChild>
            <w:div w:id="12967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63797">
      <w:bodyDiv w:val="1"/>
      <w:marLeft w:val="0"/>
      <w:marRight w:val="0"/>
      <w:marTop w:val="0"/>
      <w:marBottom w:val="0"/>
      <w:divBdr>
        <w:top w:val="none" w:sz="0" w:space="0" w:color="auto"/>
        <w:left w:val="none" w:sz="0" w:space="0" w:color="auto"/>
        <w:bottom w:val="none" w:sz="0" w:space="0" w:color="auto"/>
        <w:right w:val="none" w:sz="0" w:space="0" w:color="auto"/>
      </w:divBdr>
      <w:divsChild>
        <w:div w:id="1872722636">
          <w:marLeft w:val="165"/>
          <w:marRight w:val="0"/>
          <w:marTop w:val="0"/>
          <w:marBottom w:val="0"/>
          <w:divBdr>
            <w:top w:val="none" w:sz="0" w:space="0" w:color="auto"/>
            <w:left w:val="none" w:sz="0" w:space="0" w:color="auto"/>
            <w:bottom w:val="none" w:sz="0" w:space="0" w:color="auto"/>
            <w:right w:val="none" w:sz="0" w:space="0" w:color="auto"/>
          </w:divBdr>
          <w:divsChild>
            <w:div w:id="1447692815">
              <w:marLeft w:val="0"/>
              <w:marRight w:val="0"/>
              <w:marTop w:val="0"/>
              <w:marBottom w:val="0"/>
              <w:divBdr>
                <w:top w:val="none" w:sz="0" w:space="0" w:color="auto"/>
                <w:left w:val="none" w:sz="0" w:space="0" w:color="auto"/>
                <w:bottom w:val="none" w:sz="0" w:space="0" w:color="auto"/>
                <w:right w:val="none" w:sz="0" w:space="0" w:color="auto"/>
              </w:divBdr>
              <w:divsChild>
                <w:div w:id="1748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67124">
          <w:marLeft w:val="165"/>
          <w:marRight w:val="0"/>
          <w:marTop w:val="0"/>
          <w:marBottom w:val="0"/>
          <w:divBdr>
            <w:top w:val="none" w:sz="0" w:space="0" w:color="auto"/>
            <w:left w:val="none" w:sz="0" w:space="0" w:color="auto"/>
            <w:bottom w:val="none" w:sz="0" w:space="0" w:color="auto"/>
            <w:right w:val="none" w:sz="0" w:space="0" w:color="auto"/>
          </w:divBdr>
          <w:divsChild>
            <w:div w:id="775060306">
              <w:marLeft w:val="0"/>
              <w:marRight w:val="0"/>
              <w:marTop w:val="0"/>
              <w:marBottom w:val="0"/>
              <w:divBdr>
                <w:top w:val="none" w:sz="0" w:space="0" w:color="auto"/>
                <w:left w:val="none" w:sz="0" w:space="0" w:color="auto"/>
                <w:bottom w:val="none" w:sz="0" w:space="0" w:color="auto"/>
                <w:right w:val="none" w:sz="0" w:space="0" w:color="auto"/>
              </w:divBdr>
              <w:divsChild>
                <w:div w:id="56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1503">
      <w:bodyDiv w:val="1"/>
      <w:marLeft w:val="0"/>
      <w:marRight w:val="0"/>
      <w:marTop w:val="0"/>
      <w:marBottom w:val="0"/>
      <w:divBdr>
        <w:top w:val="none" w:sz="0" w:space="0" w:color="auto"/>
        <w:left w:val="none" w:sz="0" w:space="0" w:color="auto"/>
        <w:bottom w:val="none" w:sz="0" w:space="0" w:color="auto"/>
        <w:right w:val="none" w:sz="0" w:space="0" w:color="auto"/>
      </w:divBdr>
    </w:div>
    <w:div w:id="1931114235">
      <w:bodyDiv w:val="1"/>
      <w:marLeft w:val="0"/>
      <w:marRight w:val="0"/>
      <w:marTop w:val="0"/>
      <w:marBottom w:val="0"/>
      <w:divBdr>
        <w:top w:val="none" w:sz="0" w:space="0" w:color="auto"/>
        <w:left w:val="none" w:sz="0" w:space="0" w:color="auto"/>
        <w:bottom w:val="none" w:sz="0" w:space="0" w:color="auto"/>
        <w:right w:val="none" w:sz="0" w:space="0" w:color="auto"/>
      </w:divBdr>
    </w:div>
    <w:div w:id="1951011940">
      <w:bodyDiv w:val="1"/>
      <w:marLeft w:val="0"/>
      <w:marRight w:val="0"/>
      <w:marTop w:val="0"/>
      <w:marBottom w:val="0"/>
      <w:divBdr>
        <w:top w:val="none" w:sz="0" w:space="0" w:color="auto"/>
        <w:left w:val="none" w:sz="0" w:space="0" w:color="auto"/>
        <w:bottom w:val="none" w:sz="0" w:space="0" w:color="auto"/>
        <w:right w:val="none" w:sz="0" w:space="0" w:color="auto"/>
      </w:divBdr>
    </w:div>
    <w:div w:id="1956475845">
      <w:bodyDiv w:val="1"/>
      <w:marLeft w:val="0"/>
      <w:marRight w:val="0"/>
      <w:marTop w:val="0"/>
      <w:marBottom w:val="0"/>
      <w:divBdr>
        <w:top w:val="none" w:sz="0" w:space="0" w:color="auto"/>
        <w:left w:val="none" w:sz="0" w:space="0" w:color="auto"/>
        <w:bottom w:val="none" w:sz="0" w:space="0" w:color="auto"/>
        <w:right w:val="none" w:sz="0" w:space="0" w:color="auto"/>
      </w:divBdr>
    </w:div>
    <w:div w:id="1957104886">
      <w:bodyDiv w:val="1"/>
      <w:marLeft w:val="0"/>
      <w:marRight w:val="0"/>
      <w:marTop w:val="0"/>
      <w:marBottom w:val="0"/>
      <w:divBdr>
        <w:top w:val="none" w:sz="0" w:space="0" w:color="auto"/>
        <w:left w:val="none" w:sz="0" w:space="0" w:color="auto"/>
        <w:bottom w:val="none" w:sz="0" w:space="0" w:color="auto"/>
        <w:right w:val="none" w:sz="0" w:space="0" w:color="auto"/>
      </w:divBdr>
    </w:div>
    <w:div w:id="1958636877">
      <w:bodyDiv w:val="1"/>
      <w:marLeft w:val="0"/>
      <w:marRight w:val="0"/>
      <w:marTop w:val="0"/>
      <w:marBottom w:val="0"/>
      <w:divBdr>
        <w:top w:val="none" w:sz="0" w:space="0" w:color="auto"/>
        <w:left w:val="none" w:sz="0" w:space="0" w:color="auto"/>
        <w:bottom w:val="none" w:sz="0" w:space="0" w:color="auto"/>
        <w:right w:val="none" w:sz="0" w:space="0" w:color="auto"/>
      </w:divBdr>
      <w:divsChild>
        <w:div w:id="15351899">
          <w:marLeft w:val="432"/>
          <w:marRight w:val="0"/>
          <w:marTop w:val="240"/>
          <w:marBottom w:val="0"/>
          <w:divBdr>
            <w:top w:val="none" w:sz="0" w:space="0" w:color="auto"/>
            <w:left w:val="none" w:sz="0" w:space="0" w:color="auto"/>
            <w:bottom w:val="none" w:sz="0" w:space="0" w:color="auto"/>
            <w:right w:val="none" w:sz="0" w:space="0" w:color="auto"/>
          </w:divBdr>
        </w:div>
      </w:divsChild>
    </w:div>
    <w:div w:id="1964342629">
      <w:bodyDiv w:val="1"/>
      <w:marLeft w:val="0"/>
      <w:marRight w:val="0"/>
      <w:marTop w:val="0"/>
      <w:marBottom w:val="0"/>
      <w:divBdr>
        <w:top w:val="none" w:sz="0" w:space="0" w:color="auto"/>
        <w:left w:val="none" w:sz="0" w:space="0" w:color="auto"/>
        <w:bottom w:val="none" w:sz="0" w:space="0" w:color="auto"/>
        <w:right w:val="none" w:sz="0" w:space="0" w:color="auto"/>
      </w:divBdr>
    </w:div>
    <w:div w:id="1976838832">
      <w:bodyDiv w:val="1"/>
      <w:marLeft w:val="0"/>
      <w:marRight w:val="0"/>
      <w:marTop w:val="0"/>
      <w:marBottom w:val="0"/>
      <w:divBdr>
        <w:top w:val="none" w:sz="0" w:space="0" w:color="auto"/>
        <w:left w:val="none" w:sz="0" w:space="0" w:color="auto"/>
        <w:bottom w:val="none" w:sz="0" w:space="0" w:color="auto"/>
        <w:right w:val="none" w:sz="0" w:space="0" w:color="auto"/>
      </w:divBdr>
    </w:div>
    <w:div w:id="1988514258">
      <w:bodyDiv w:val="1"/>
      <w:marLeft w:val="0"/>
      <w:marRight w:val="0"/>
      <w:marTop w:val="0"/>
      <w:marBottom w:val="0"/>
      <w:divBdr>
        <w:top w:val="none" w:sz="0" w:space="0" w:color="auto"/>
        <w:left w:val="none" w:sz="0" w:space="0" w:color="auto"/>
        <w:bottom w:val="none" w:sz="0" w:space="0" w:color="auto"/>
        <w:right w:val="none" w:sz="0" w:space="0" w:color="auto"/>
      </w:divBdr>
    </w:div>
    <w:div w:id="1991791276">
      <w:bodyDiv w:val="1"/>
      <w:marLeft w:val="0"/>
      <w:marRight w:val="0"/>
      <w:marTop w:val="0"/>
      <w:marBottom w:val="0"/>
      <w:divBdr>
        <w:top w:val="none" w:sz="0" w:space="0" w:color="auto"/>
        <w:left w:val="none" w:sz="0" w:space="0" w:color="auto"/>
        <w:bottom w:val="none" w:sz="0" w:space="0" w:color="auto"/>
        <w:right w:val="none" w:sz="0" w:space="0" w:color="auto"/>
      </w:divBdr>
    </w:div>
    <w:div w:id="2002078247">
      <w:bodyDiv w:val="1"/>
      <w:marLeft w:val="0"/>
      <w:marRight w:val="0"/>
      <w:marTop w:val="0"/>
      <w:marBottom w:val="0"/>
      <w:divBdr>
        <w:top w:val="none" w:sz="0" w:space="0" w:color="auto"/>
        <w:left w:val="none" w:sz="0" w:space="0" w:color="auto"/>
        <w:bottom w:val="none" w:sz="0" w:space="0" w:color="auto"/>
        <w:right w:val="none" w:sz="0" w:space="0" w:color="auto"/>
      </w:divBdr>
    </w:div>
    <w:div w:id="2026012148">
      <w:bodyDiv w:val="1"/>
      <w:marLeft w:val="0"/>
      <w:marRight w:val="0"/>
      <w:marTop w:val="0"/>
      <w:marBottom w:val="0"/>
      <w:divBdr>
        <w:top w:val="none" w:sz="0" w:space="0" w:color="auto"/>
        <w:left w:val="none" w:sz="0" w:space="0" w:color="auto"/>
        <w:bottom w:val="none" w:sz="0" w:space="0" w:color="auto"/>
        <w:right w:val="none" w:sz="0" w:space="0" w:color="auto"/>
      </w:divBdr>
    </w:div>
    <w:div w:id="2052219800">
      <w:bodyDiv w:val="1"/>
      <w:marLeft w:val="0"/>
      <w:marRight w:val="0"/>
      <w:marTop w:val="0"/>
      <w:marBottom w:val="0"/>
      <w:divBdr>
        <w:top w:val="none" w:sz="0" w:space="0" w:color="auto"/>
        <w:left w:val="none" w:sz="0" w:space="0" w:color="auto"/>
        <w:bottom w:val="none" w:sz="0" w:space="0" w:color="auto"/>
        <w:right w:val="none" w:sz="0" w:space="0" w:color="auto"/>
      </w:divBdr>
    </w:div>
    <w:div w:id="2057001038">
      <w:bodyDiv w:val="1"/>
      <w:marLeft w:val="0"/>
      <w:marRight w:val="0"/>
      <w:marTop w:val="0"/>
      <w:marBottom w:val="0"/>
      <w:divBdr>
        <w:top w:val="none" w:sz="0" w:space="0" w:color="auto"/>
        <w:left w:val="none" w:sz="0" w:space="0" w:color="auto"/>
        <w:bottom w:val="none" w:sz="0" w:space="0" w:color="auto"/>
        <w:right w:val="none" w:sz="0" w:space="0" w:color="auto"/>
      </w:divBdr>
    </w:div>
    <w:div w:id="2060203553">
      <w:bodyDiv w:val="1"/>
      <w:marLeft w:val="0"/>
      <w:marRight w:val="0"/>
      <w:marTop w:val="0"/>
      <w:marBottom w:val="0"/>
      <w:divBdr>
        <w:top w:val="none" w:sz="0" w:space="0" w:color="auto"/>
        <w:left w:val="none" w:sz="0" w:space="0" w:color="auto"/>
        <w:bottom w:val="none" w:sz="0" w:space="0" w:color="auto"/>
        <w:right w:val="none" w:sz="0" w:space="0" w:color="auto"/>
      </w:divBdr>
    </w:div>
    <w:div w:id="2060929893">
      <w:bodyDiv w:val="1"/>
      <w:marLeft w:val="0"/>
      <w:marRight w:val="0"/>
      <w:marTop w:val="0"/>
      <w:marBottom w:val="0"/>
      <w:divBdr>
        <w:top w:val="none" w:sz="0" w:space="0" w:color="auto"/>
        <w:left w:val="none" w:sz="0" w:space="0" w:color="auto"/>
        <w:bottom w:val="none" w:sz="0" w:space="0" w:color="auto"/>
        <w:right w:val="none" w:sz="0" w:space="0" w:color="auto"/>
      </w:divBdr>
    </w:div>
    <w:div w:id="2091149261">
      <w:bodyDiv w:val="1"/>
      <w:marLeft w:val="0"/>
      <w:marRight w:val="0"/>
      <w:marTop w:val="0"/>
      <w:marBottom w:val="0"/>
      <w:divBdr>
        <w:top w:val="none" w:sz="0" w:space="0" w:color="auto"/>
        <w:left w:val="none" w:sz="0" w:space="0" w:color="auto"/>
        <w:bottom w:val="none" w:sz="0" w:space="0" w:color="auto"/>
        <w:right w:val="none" w:sz="0" w:space="0" w:color="auto"/>
      </w:divBdr>
    </w:div>
    <w:div w:id="2094667988">
      <w:bodyDiv w:val="1"/>
      <w:marLeft w:val="0"/>
      <w:marRight w:val="0"/>
      <w:marTop w:val="0"/>
      <w:marBottom w:val="0"/>
      <w:divBdr>
        <w:top w:val="none" w:sz="0" w:space="0" w:color="auto"/>
        <w:left w:val="none" w:sz="0" w:space="0" w:color="auto"/>
        <w:bottom w:val="none" w:sz="0" w:space="0" w:color="auto"/>
        <w:right w:val="none" w:sz="0" w:space="0" w:color="auto"/>
      </w:divBdr>
      <w:divsChild>
        <w:div w:id="1336879050">
          <w:marLeft w:val="1166"/>
          <w:marRight w:val="0"/>
          <w:marTop w:val="106"/>
          <w:marBottom w:val="0"/>
          <w:divBdr>
            <w:top w:val="none" w:sz="0" w:space="0" w:color="auto"/>
            <w:left w:val="none" w:sz="0" w:space="0" w:color="auto"/>
            <w:bottom w:val="none" w:sz="0" w:space="0" w:color="auto"/>
            <w:right w:val="none" w:sz="0" w:space="0" w:color="auto"/>
          </w:divBdr>
        </w:div>
        <w:div w:id="1148740832">
          <w:marLeft w:val="1166"/>
          <w:marRight w:val="0"/>
          <w:marTop w:val="106"/>
          <w:marBottom w:val="0"/>
          <w:divBdr>
            <w:top w:val="none" w:sz="0" w:space="0" w:color="auto"/>
            <w:left w:val="none" w:sz="0" w:space="0" w:color="auto"/>
            <w:bottom w:val="none" w:sz="0" w:space="0" w:color="auto"/>
            <w:right w:val="none" w:sz="0" w:space="0" w:color="auto"/>
          </w:divBdr>
        </w:div>
      </w:divsChild>
    </w:div>
    <w:div w:id="212396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12.emf"/><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hyperlink" Target="http://www.deloitte.com/cz/onas"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header" Target="header7.xml"/><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5.xml"/><Relationship Id="rId40" Type="http://schemas.openxmlformats.org/officeDocument/2006/relationships/image" Target="media/image22.pn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header" Target="header6.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footer" Target="footer4.xml"/><Relationship Id="rId43" Type="http://schemas.openxmlformats.org/officeDocument/2006/relationships/image" Target="media/image25.emf"/><Relationship Id="rId48" Type="http://schemas.openxmlformats.org/officeDocument/2006/relationships/hyperlink" Target="http://www.deloitte.com/cz/onas" TargetMode="External"/><Relationship Id="rId64" Type="http://schemas.microsoft.com/office/2011/relationships/commentsExtended" Target="commentsExtended.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Custom 1">
      <a:dk1>
        <a:sysClr val="windowText" lastClr="000000"/>
      </a:dk1>
      <a:lt1>
        <a:srgbClr val="FFFFFF"/>
      </a:lt1>
      <a:dk2>
        <a:srgbClr val="002776"/>
      </a:dk2>
      <a:lt2>
        <a:srgbClr val="FFFFFF"/>
      </a:lt2>
      <a:accent1>
        <a:srgbClr val="002776"/>
      </a:accent1>
      <a:accent2>
        <a:srgbClr val="92D400"/>
      </a:accent2>
      <a:accent3>
        <a:srgbClr val="00A1DE"/>
      </a:accent3>
      <a:accent4>
        <a:srgbClr val="72C7E7"/>
      </a:accent4>
      <a:accent5>
        <a:srgbClr val="3C8A2E"/>
      </a:accent5>
      <a:accent6>
        <a:srgbClr val="C9DD03"/>
      </a:accent6>
      <a:hlink>
        <a:srgbClr val="3C8A2E"/>
      </a:hlink>
      <a:folHlink>
        <a:srgbClr val="C9DD03"/>
      </a:folHlink>
    </a:clrScheme>
    <a:fontScheme name="Custom 1">
      <a:majorFont>
        <a:latin typeface="Arial"/>
        <a:ea typeface=""/>
        <a:cs typeface=""/>
      </a:majorFont>
      <a:minorFont>
        <a:latin typeface="Arial"/>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4EF90-E476-4718-9962-0E17467A3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44808</Words>
  <Characters>264373</Characters>
  <Application>Microsoft Office Word</Application>
  <DocSecurity>0</DocSecurity>
  <Lines>2203</Lines>
  <Paragraphs>617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LinksUpToDate>false</LinksUpToDate>
  <CharactersWithSpaces>308564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2015-04-10T12:10:00Z</dcterms:created>
  <dcterms:modified xsi:type="dcterms:W3CDTF">2015-06-12T11:19:00Z</dcterms:modified>
</cp:coreProperties>
</file>